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Техника граничных значений: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Т.к. минимальная граница 0,, а максимальная 115, то можно проверить такие граничные значения: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-1 (Значение вне диапазона, должно вызывать ошибку)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 (Граничное значение, должно вызывать "Нельзя оформить")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(Значение после границы, должно вызывать "Нельзя оформить")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114 (Значение перед границей, должно вызывать "Можно оформить")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115 (Граничное значение, должно вызывать "Можно оформить")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116 (Значение вне диапазона, должно вызывать ошибку)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Можно выделить такие классы эквивалентности: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Негативные числа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Пример: -5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Возраст от 0 до 13 лет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Пример: 10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Возраст от 14 до 59 лет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Пример: 30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Возраст от 60 до 115 лет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Пример: 70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Числа больше 115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Пример: 120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 итоге на такие классы эквивалентности мы получим эти ответы::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Класс 1: Ошибка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Класс 2: Нельзя оформить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Класс 3: Можно оформить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Класс 4: Можно оформить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Класс 5: Ошибка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