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B6" w:rsidRPr="005177B6" w:rsidRDefault="005177B6" w:rsidP="005177B6">
      <w:pPr>
        <w:widowControl/>
        <w:wordWrap/>
        <w:autoSpaceDE/>
        <w:autoSpaceDN/>
        <w:spacing w:after="150" w:line="240" w:lineRule="auto"/>
        <w:ind w:left="1360" w:hanging="760"/>
        <w:jc w:val="left"/>
        <w:outlineLvl w:val="2"/>
        <w:rPr>
          <w:rFonts w:ascii="NanumGothic" w:eastAsia="굴림" w:hAnsi="NanumGothic" w:cs="굴림" w:hint="eastAsia"/>
          <w:b/>
          <w:color w:val="232323"/>
          <w:kern w:val="0"/>
          <w:sz w:val="38"/>
          <w:szCs w:val="38"/>
        </w:rPr>
      </w:pPr>
      <w:r w:rsidRPr="005177B6">
        <w:rPr>
          <w:rFonts w:ascii="NanumGothic" w:eastAsia="굴림" w:hAnsi="NanumGothic" w:cs="굴림"/>
          <w:b/>
          <w:color w:val="232323"/>
          <w:kern w:val="0"/>
          <w:sz w:val="38"/>
          <w:szCs w:val="38"/>
        </w:rPr>
        <w:t>자동차로</w:t>
      </w:r>
      <w:r w:rsidRPr="005177B6">
        <w:rPr>
          <w:rFonts w:ascii="NanumGothic" w:eastAsia="굴림" w:hAnsi="NanumGothic" w:cs="굴림"/>
          <w:b/>
          <w:color w:val="232323"/>
          <w:kern w:val="0"/>
          <w:sz w:val="38"/>
          <w:szCs w:val="38"/>
        </w:rPr>
        <w:t xml:space="preserve"> </w:t>
      </w:r>
      <w:r w:rsidRPr="005177B6">
        <w:rPr>
          <w:rFonts w:ascii="NanumGothic" w:eastAsia="굴림" w:hAnsi="NanumGothic" w:cs="굴림"/>
          <w:b/>
          <w:color w:val="232323"/>
          <w:kern w:val="0"/>
          <w:sz w:val="38"/>
          <w:szCs w:val="38"/>
        </w:rPr>
        <w:t>인한</w:t>
      </w:r>
      <w:r w:rsidRPr="005177B6">
        <w:rPr>
          <w:rFonts w:ascii="NanumGothic" w:eastAsia="굴림" w:hAnsi="NanumGothic" w:cs="굴림"/>
          <w:b/>
          <w:color w:val="232323"/>
          <w:kern w:val="0"/>
          <w:sz w:val="38"/>
          <w:szCs w:val="38"/>
        </w:rPr>
        <w:t xml:space="preserve"> </w:t>
      </w:r>
      <w:r w:rsidRPr="005177B6">
        <w:rPr>
          <w:rFonts w:ascii="NanumGothic" w:eastAsia="굴림" w:hAnsi="NanumGothic" w:cs="굴림"/>
          <w:b/>
          <w:color w:val="232323"/>
          <w:kern w:val="0"/>
          <w:sz w:val="38"/>
          <w:szCs w:val="38"/>
        </w:rPr>
        <w:t>대기오염</w:t>
      </w:r>
      <w:r w:rsidRPr="005177B6">
        <w:rPr>
          <w:rFonts w:ascii="NanumGothic" w:eastAsia="굴림" w:hAnsi="NanumGothic" w:cs="굴림"/>
          <w:b/>
          <w:color w:val="232323"/>
          <w:kern w:val="0"/>
          <w:sz w:val="38"/>
          <w:szCs w:val="38"/>
        </w:rPr>
        <w:t xml:space="preserve"> </w:t>
      </w:r>
      <w:r w:rsidRPr="005177B6">
        <w:rPr>
          <w:rFonts w:ascii="NanumGothic" w:eastAsia="굴림" w:hAnsi="NanumGothic" w:cs="굴림"/>
          <w:b/>
          <w:color w:val="232323"/>
          <w:kern w:val="0"/>
          <w:sz w:val="38"/>
          <w:szCs w:val="38"/>
        </w:rPr>
        <w:t>해결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left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-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수도권에서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발생하는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미세먼지의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30%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이상이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경유차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등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자동차에서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배출되는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오염물질로서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,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자동차로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인한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대기오염이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심각해지고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있습니다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.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left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-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또한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,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아파트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주변도로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,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지하주차장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등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국민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생활에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밀접한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곳에서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발생하는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자동차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배출가스는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인체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위해도가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매우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높아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'12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년에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국제암연구소에서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br/>
      </w:r>
      <w:proofErr w:type="gram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  1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군</w:t>
      </w:r>
      <w:proofErr w:type="gram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발암물질로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지정하기도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하였습니다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.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left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-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내연기관차를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친환경차인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전기차로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대체해나갈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경우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자동차로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인한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대기오염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문제를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획기적으로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해결할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수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있습니다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.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left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-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자동차에서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배출되는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유해물질은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일산화탄소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(CO),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탄화수소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(HC),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질소산화물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(NOx),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미세먼지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(PM)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등이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있습니다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.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left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 w:hint="eastAsia"/>
          <w:noProof/>
          <w:color w:val="666666"/>
          <w:kern w:val="0"/>
          <w:szCs w:val="20"/>
        </w:rPr>
        <w:drawing>
          <wp:inline distT="0" distB="0" distL="0" distR="0">
            <wp:extent cx="7924800" cy="4124325"/>
            <wp:effectExtent l="0" t="0" r="0" b="9525"/>
            <wp:docPr id="3" name="그림 3" descr="자동차의 배기가스 평균조성(무게 기준)&#10;          가솔린차 - N2:70.3%/CO2:18.1%/H2O:8.2%/Ar:1.2%/O2:1.1%/유해물질(CO2:0.9%,HC:0.09%,NOX:0.11%)&#10;          디젤차 - N2:73.3%/CO2:10.6%/O2:8.1/H2O:6.2%/유해물질(CO2:1.73%,HC:0.02%,NOX:0.04%,PM:0.01%)&#10;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자동차의 배기가스 평균조성(무게 기준)&#10;          가솔린차 - N2:70.3%/CO2:18.1%/H2O:8.2%/Ar:1.2%/O2:1.1%/유해물질(CO2:0.9%,HC:0.09%,NOX:0.11%)&#10;          디젤차 - N2:73.3%/CO2:10.6%/O2:8.1/H2O:6.2%/유해물질(CO2:1.73%,HC:0.02%,NOX:0.04%,PM:0.01%)&#10;         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7B6" w:rsidRPr="005177B6" w:rsidRDefault="005177B6" w:rsidP="005177B6">
      <w:pPr>
        <w:widowControl/>
        <w:wordWrap/>
        <w:autoSpaceDE/>
        <w:autoSpaceDN/>
        <w:spacing w:before="100" w:beforeAutospacing="1" w:after="150" w:line="240" w:lineRule="auto"/>
        <w:jc w:val="left"/>
        <w:outlineLvl w:val="2"/>
        <w:rPr>
          <w:rFonts w:ascii="NanumGothic" w:eastAsia="굴림" w:hAnsi="NanumGothic" w:cs="굴림" w:hint="eastAsia"/>
          <w:color w:val="232323"/>
          <w:kern w:val="0"/>
          <w:sz w:val="38"/>
          <w:szCs w:val="38"/>
        </w:rPr>
      </w:pP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자동차로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 xml:space="preserve"> 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인한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 xml:space="preserve"> 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기후변화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left"/>
        <w:rPr>
          <w:rFonts w:ascii="NanumGothic" w:eastAsia="굴림" w:hAnsi="NanumGothic" w:cs="굴림" w:hint="eastAsia"/>
          <w:i/>
          <w:color w:val="666666"/>
          <w:kern w:val="0"/>
          <w:szCs w:val="20"/>
        </w:rPr>
      </w:pP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-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전기차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사용량이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증가하면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내연기관차로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인해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발생되는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대기오염물질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,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온실가스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등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배출량이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감소되며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전기차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1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대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보급으로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연간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CO</w:t>
      </w:r>
      <w:r w:rsidRPr="005177B6">
        <w:rPr>
          <w:rFonts w:ascii="NanumGothic" w:eastAsia="굴림" w:hAnsi="NanumGothic" w:cs="굴림"/>
          <w:color w:val="666666"/>
          <w:kern w:val="0"/>
          <w:szCs w:val="20"/>
          <w:vertAlign w:val="subscript"/>
        </w:rPr>
        <w:t>2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 2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톤을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감축하는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br/>
        <w:t>  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효과를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가져옵니다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.</w:t>
      </w:r>
    </w:p>
    <w:p w:rsidR="005177B6" w:rsidRPr="005177B6" w:rsidRDefault="005177B6" w:rsidP="005177B6">
      <w:pPr>
        <w:widowControl/>
        <w:wordWrap/>
        <w:autoSpaceDE/>
        <w:autoSpaceDN/>
        <w:spacing w:line="330" w:lineRule="atLeast"/>
        <w:ind w:left="720"/>
        <w:jc w:val="left"/>
        <w:rPr>
          <w:rFonts w:ascii="NanumGothic" w:eastAsia="굴림" w:hAnsi="NanumGothic" w:cs="굴림" w:hint="eastAsia"/>
          <w:i/>
          <w:color w:val="666666"/>
          <w:kern w:val="0"/>
          <w:szCs w:val="20"/>
        </w:rPr>
      </w:pPr>
      <w:r w:rsidRPr="005177B6">
        <w:rPr>
          <w:rFonts w:ascii="NanumGothic" w:eastAsia="굴림" w:hAnsi="NanumGothic" w:cs="굴림" w:hint="eastAsia"/>
          <w:i/>
          <w:noProof/>
          <w:color w:val="666666"/>
          <w:kern w:val="0"/>
          <w:szCs w:val="20"/>
        </w:rPr>
        <w:lastRenderedPageBreak/>
        <w:drawing>
          <wp:inline distT="0" distB="0" distL="0" distR="0">
            <wp:extent cx="7686675" cy="4743450"/>
            <wp:effectExtent l="0" t="0" r="9525" b="0"/>
            <wp:docPr id="2" name="그림 2" descr="1)온실가스 연간 2톤 감축&#10;      - 에어컨 1대를 1년간 가동시 온실가스 1톤 배출&#10;      2)자동차 배충가스로부터 해방&#10;      - 국제암연구소 자동차 배출가스 1급 발암물질로 지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)온실가스 연간 2톤 감축&#10;      - 에어컨 1대를 1년간 가동시 온실가스 1톤 배출&#10;      2)자동차 배충가스로부터 해방&#10;      - 국제암연구소 자동차 배출가스 1급 발암물질로 지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7B6">
        <w:rPr>
          <w:rFonts w:ascii="NanumGothic" w:eastAsia="굴림" w:hAnsi="NanumGothic" w:cs="굴림"/>
          <w:i/>
          <w:color w:val="666666"/>
          <w:kern w:val="0"/>
          <w:szCs w:val="20"/>
        </w:rPr>
        <w:t> </w:t>
      </w:r>
      <w:r w:rsidRPr="005177B6">
        <w:rPr>
          <w:rFonts w:ascii="NanumGothic" w:eastAsia="굴림" w:hAnsi="NanumGothic" w:cs="굴림" w:hint="eastAsia"/>
          <w:i/>
          <w:noProof/>
          <w:color w:val="666666"/>
          <w:kern w:val="0"/>
          <w:szCs w:val="20"/>
        </w:rPr>
        <w:drawing>
          <wp:inline distT="0" distB="0" distL="0" distR="0">
            <wp:extent cx="6238875" cy="3495675"/>
            <wp:effectExtent l="0" t="0" r="9525" b="9525"/>
            <wp:docPr id="1" name="그림 1" descr="전기차 1대 보급 = 연간 CO2 2톤 감축&#10;      전기차 : CO2배출량-94.1g/KM , 발전94.1g/km+주행0gk&#10;      가솔린차  :  CO2배출량-94.1g/KM , 발전94.1g/km+주행0gkm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전기차 1대 보급 = 연간 CO2 2톤 감축&#10;      전기차 : CO2배출량-94.1g/KM , 발전94.1g/km+주행0gk&#10;      가솔린차  :  CO2배출량-94.1g/KM , 발전94.1g/km+주행0gkm&#10;     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7B6" w:rsidRPr="005177B6" w:rsidRDefault="005177B6" w:rsidP="005177B6">
      <w:pPr>
        <w:widowControl/>
        <w:wordWrap/>
        <w:autoSpaceDE/>
        <w:autoSpaceDN/>
        <w:spacing w:after="150" w:line="240" w:lineRule="auto"/>
        <w:ind w:left="1360" w:hanging="760"/>
        <w:jc w:val="left"/>
        <w:outlineLvl w:val="2"/>
        <w:rPr>
          <w:rFonts w:ascii="NanumGothic" w:eastAsia="굴림" w:hAnsi="NanumGothic" w:cs="굴림" w:hint="eastAsia"/>
          <w:color w:val="232323"/>
          <w:kern w:val="0"/>
          <w:sz w:val="38"/>
          <w:szCs w:val="38"/>
        </w:rPr>
      </w:pP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lastRenderedPageBreak/>
        <w:t>전기차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 xml:space="preserve"> 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연료비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(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개인용완속충전기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 xml:space="preserve"> 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기준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)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left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-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시간대별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전기차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평균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충전요금은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경부하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66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원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/kWh,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중간부하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108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원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/kWh,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최대부하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153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원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/kWh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입니다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.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left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-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아이오닉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(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연비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6.3km/kWh)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기준으로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100km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당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2,759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원이며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,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할인카드를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적용했을때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1,132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원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비용이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발생합니다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.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center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 w:hint="eastAsia"/>
          <w:noProof/>
          <w:color w:val="666666"/>
          <w:kern w:val="0"/>
          <w:szCs w:val="20"/>
        </w:rPr>
        <w:drawing>
          <wp:inline distT="0" distB="0" distL="0" distR="0">
            <wp:extent cx="8286750" cy="5295900"/>
            <wp:effectExtent l="0" t="0" r="0" b="0"/>
            <wp:docPr id="5" name="그림 5" descr="가솔린 대비 유류비(전기세)비교&#10;            쏘울(1.6l 가솔린) 유류비 - 324만원(1,880원/l, 2만km/년 주행기준)&#10;            쏘울(EV) - 중간부하 :75만원(249만원 절감)/경부하:56만원(268만원 절감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가솔린 대비 유류비(전기세)비교&#10;            쏘울(1.6l 가솔린) 유류비 - 324만원(1,880원/l, 2만km/년 주행기준)&#10;            쏘울(EV) - 중간부하 :75만원(249만원 절감)/경부하:56만원(268만원 절감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7B6" w:rsidRPr="005177B6" w:rsidRDefault="005177B6" w:rsidP="005177B6">
      <w:pPr>
        <w:widowControl/>
        <w:wordWrap/>
        <w:autoSpaceDE/>
        <w:autoSpaceDN/>
        <w:spacing w:before="100" w:beforeAutospacing="1" w:after="150" w:line="240" w:lineRule="auto"/>
        <w:jc w:val="left"/>
        <w:outlineLvl w:val="2"/>
        <w:rPr>
          <w:rFonts w:ascii="NanumGothic" w:eastAsia="굴림" w:hAnsi="NanumGothic" w:cs="굴림" w:hint="eastAsia"/>
          <w:color w:val="232323"/>
          <w:kern w:val="0"/>
          <w:sz w:val="38"/>
          <w:szCs w:val="38"/>
        </w:rPr>
      </w:pP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전기차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 xml:space="preserve"> 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운행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 xml:space="preserve"> 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시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 xml:space="preserve"> 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연료비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 xml:space="preserve"> 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절감효과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(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개인용완속충전기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 xml:space="preserve"> 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기준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>)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center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 w:hint="eastAsia"/>
          <w:noProof/>
          <w:color w:val="666666"/>
          <w:kern w:val="0"/>
          <w:szCs w:val="20"/>
        </w:rPr>
        <w:lastRenderedPageBreak/>
        <w:drawing>
          <wp:inline distT="0" distB="0" distL="0" distR="0">
            <wp:extent cx="8286750" cy="6076950"/>
            <wp:effectExtent l="0" t="0" r="0" b="0"/>
            <wp:docPr id="4" name="그림 4" descr="전기차 연료비는 휘발유차의 10%수준&#10;      연 141만원 연료 저감 *완속충전기준&#10;      1)휘발유차(아반떼 1.6):100km 당 연료비 11,448원-&gt;연간 157만원&#10;      2)전기차(아이오닉):100km 당 전기료 1,132원-&gt;연간 16만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전기차 연료비는 휘발유차의 10%수준&#10;      연 141만원 연료 저감 *완속충전기준&#10;      1)휘발유차(아반떼 1.6):100km 당 연료비 11,448원-&gt;연간 157만원&#10;      2)전기차(아이오닉):100km 당 전기료 1,132원-&gt;연간 16만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786" w:rsidRDefault="001B7786">
      <w:pPr>
        <w:rPr>
          <w:i/>
        </w:rPr>
      </w:pPr>
    </w:p>
    <w:p w:rsidR="005177B6" w:rsidRDefault="005177B6">
      <w:pPr>
        <w:rPr>
          <w:i/>
        </w:rPr>
      </w:pPr>
    </w:p>
    <w:p w:rsidR="005177B6" w:rsidRDefault="005177B6">
      <w:pPr>
        <w:rPr>
          <w:i/>
        </w:rPr>
      </w:pPr>
    </w:p>
    <w:p w:rsidR="005177B6" w:rsidRDefault="005177B6">
      <w:pPr>
        <w:rPr>
          <w:i/>
        </w:rPr>
      </w:pPr>
    </w:p>
    <w:p w:rsidR="005177B6" w:rsidRDefault="005177B6">
      <w:pPr>
        <w:rPr>
          <w:i/>
        </w:rPr>
      </w:pPr>
    </w:p>
    <w:p w:rsidR="005177B6" w:rsidRDefault="005177B6">
      <w:pPr>
        <w:rPr>
          <w:i/>
        </w:rPr>
      </w:pPr>
    </w:p>
    <w:p w:rsidR="005177B6" w:rsidRDefault="005177B6">
      <w:pPr>
        <w:rPr>
          <w:i/>
        </w:rPr>
      </w:pPr>
    </w:p>
    <w:p w:rsidR="005177B6" w:rsidRDefault="005177B6">
      <w:pPr>
        <w:rPr>
          <w:i/>
        </w:rPr>
      </w:pPr>
    </w:p>
    <w:p w:rsidR="005177B6" w:rsidRPr="005177B6" w:rsidRDefault="005177B6" w:rsidP="005177B6">
      <w:pPr>
        <w:widowControl/>
        <w:wordWrap/>
        <w:autoSpaceDE/>
        <w:autoSpaceDN/>
        <w:spacing w:after="150" w:line="240" w:lineRule="auto"/>
        <w:ind w:left="1360" w:hanging="760"/>
        <w:jc w:val="left"/>
        <w:outlineLvl w:val="2"/>
        <w:rPr>
          <w:rFonts w:ascii="NanumGothic" w:eastAsia="굴림" w:hAnsi="NanumGothic" w:cs="굴림" w:hint="eastAsia"/>
          <w:color w:val="232323"/>
          <w:kern w:val="0"/>
          <w:sz w:val="38"/>
          <w:szCs w:val="38"/>
        </w:rPr>
      </w:pP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lastRenderedPageBreak/>
        <w:t>전기차와</w:t>
      </w:r>
      <w:r w:rsidRPr="005177B6">
        <w:rPr>
          <w:rFonts w:ascii="NanumGothic" w:eastAsia="굴림" w:hAnsi="NanumGothic" w:cs="굴림"/>
          <w:color w:val="232323"/>
          <w:kern w:val="0"/>
          <w:sz w:val="38"/>
          <w:szCs w:val="38"/>
        </w:rPr>
        <w:t xml:space="preserve"> V2G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left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/>
          <w:color w:val="666666"/>
          <w:kern w:val="0"/>
          <w:szCs w:val="20"/>
        </w:rPr>
        <w:t>- V2G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는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Vehicle To Grid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,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자동차에서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전력망으로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전기를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이동하는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것을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의미하는데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,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즉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, V2G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란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전기차에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저장한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배터리를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에너지저장장치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(ESS)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처럼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br/>
        <w:t>  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활용해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전력계통에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연계하는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기술을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의미합니다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.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left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-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이산화탄소의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배출을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줄이면서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친환경적이고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경제성을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갖추어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지속가능한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성장을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이어갈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수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있는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산업모델로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proofErr w:type="spellStart"/>
      <w:r w:rsidRPr="005177B6">
        <w:rPr>
          <w:rFonts w:ascii="NanumGothic" w:eastAsia="굴림" w:hAnsi="NanumGothic" w:cs="굴림"/>
          <w:color w:val="666666"/>
          <w:kern w:val="0"/>
          <w:szCs w:val="20"/>
        </w:rPr>
        <w:t>정착하게되고</w:t>
      </w:r>
      <w:proofErr w:type="spellEnd"/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향후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V2G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사업자와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수요관리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br/>
        <w:t>  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사업자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등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, V2G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활용하여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피크절감효과뿐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아니라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선진국과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같은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전력계통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주파수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조정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,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신재생에너지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발판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등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다양한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전력보조서비스와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부가가치를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br/>
        <w:t>  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창출할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것입니다</w:t>
      </w:r>
      <w:r w:rsidRPr="005177B6">
        <w:rPr>
          <w:rFonts w:ascii="NanumGothic" w:eastAsia="굴림" w:hAnsi="NanumGothic" w:cs="굴림"/>
          <w:color w:val="666666"/>
          <w:kern w:val="0"/>
          <w:szCs w:val="20"/>
        </w:rPr>
        <w:t>.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left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/>
          <w:color w:val="666666"/>
          <w:kern w:val="0"/>
          <w:szCs w:val="20"/>
        </w:rPr>
        <w:t> 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center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 w:hint="eastAsia"/>
          <w:noProof/>
          <w:color w:val="666666"/>
          <w:kern w:val="0"/>
          <w:szCs w:val="20"/>
        </w:rPr>
        <w:drawing>
          <wp:inline distT="0" distB="0" distL="0" distR="0">
            <wp:extent cx="9353550" cy="6210300"/>
            <wp:effectExtent l="0" t="0" r="0" b="0"/>
            <wp:docPr id="7" name="그림 7" descr="V2G 시스템 기본개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2G 시스템 기본개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center"/>
        <w:rPr>
          <w:rFonts w:ascii="NanumGothic" w:eastAsia="굴림" w:hAnsi="NanumGothic" w:cs="굴림" w:hint="eastAsia"/>
          <w:b/>
          <w:bCs/>
          <w:color w:val="666666"/>
          <w:kern w:val="0"/>
          <w:szCs w:val="20"/>
        </w:rPr>
      </w:pPr>
      <w:r w:rsidRPr="005177B6">
        <w:rPr>
          <w:rFonts w:ascii="NanumGothic" w:eastAsia="굴림" w:hAnsi="NanumGothic" w:cs="굴림"/>
          <w:b/>
          <w:bCs/>
          <w:color w:val="666666"/>
          <w:kern w:val="0"/>
          <w:szCs w:val="20"/>
        </w:rPr>
        <w:lastRenderedPageBreak/>
        <w:t xml:space="preserve">V2G </w:t>
      </w:r>
      <w:r w:rsidRPr="005177B6">
        <w:rPr>
          <w:rFonts w:ascii="NanumGothic" w:eastAsia="굴림" w:hAnsi="NanumGothic" w:cs="굴림"/>
          <w:b/>
          <w:bCs/>
          <w:color w:val="666666"/>
          <w:kern w:val="0"/>
          <w:szCs w:val="20"/>
        </w:rPr>
        <w:t>시스템</w:t>
      </w:r>
      <w:r w:rsidRPr="005177B6">
        <w:rPr>
          <w:rFonts w:ascii="NanumGothic" w:eastAsia="굴림" w:hAnsi="NanumGothic" w:cs="굴림"/>
          <w:b/>
          <w:bCs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b/>
          <w:bCs/>
          <w:color w:val="666666"/>
          <w:kern w:val="0"/>
          <w:szCs w:val="20"/>
        </w:rPr>
        <w:t>기본</w:t>
      </w:r>
      <w:r w:rsidRPr="005177B6">
        <w:rPr>
          <w:rFonts w:ascii="NanumGothic" w:eastAsia="굴림" w:hAnsi="NanumGothic" w:cs="굴림"/>
          <w:b/>
          <w:bCs/>
          <w:color w:val="666666"/>
          <w:kern w:val="0"/>
          <w:szCs w:val="20"/>
        </w:rPr>
        <w:t xml:space="preserve"> </w:t>
      </w:r>
      <w:r w:rsidRPr="005177B6">
        <w:rPr>
          <w:rFonts w:ascii="NanumGothic" w:eastAsia="굴림" w:hAnsi="NanumGothic" w:cs="굴림"/>
          <w:b/>
          <w:bCs/>
          <w:color w:val="666666"/>
          <w:kern w:val="0"/>
          <w:szCs w:val="20"/>
        </w:rPr>
        <w:t>개념</w:t>
      </w:r>
      <w:r w:rsidRPr="005177B6">
        <w:rPr>
          <w:rFonts w:ascii="NanumGothic" w:eastAsia="굴림" w:hAnsi="NanumGothic" w:cs="굴림"/>
          <w:b/>
          <w:bCs/>
          <w:color w:val="666666"/>
          <w:kern w:val="0"/>
          <w:szCs w:val="20"/>
        </w:rPr>
        <w:br/>
        <w:t>[</w:t>
      </w:r>
      <w:r w:rsidRPr="005177B6">
        <w:rPr>
          <w:rFonts w:ascii="NanumGothic" w:eastAsia="굴림" w:hAnsi="NanumGothic" w:cs="굴림"/>
          <w:b/>
          <w:bCs/>
          <w:color w:val="666666"/>
          <w:kern w:val="0"/>
          <w:szCs w:val="20"/>
        </w:rPr>
        <w:t>출처</w:t>
      </w:r>
      <w:r w:rsidRPr="005177B6">
        <w:rPr>
          <w:rFonts w:ascii="NanumGothic" w:eastAsia="굴림" w:hAnsi="NanumGothic" w:cs="굴림"/>
          <w:b/>
          <w:bCs/>
          <w:color w:val="666666"/>
          <w:kern w:val="0"/>
          <w:szCs w:val="20"/>
        </w:rPr>
        <w:t>] http://ps.anygate.com/common/case/case01_view.asp?idx=13&amp;bm_id=1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left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/>
          <w:color w:val="666666"/>
          <w:kern w:val="0"/>
          <w:szCs w:val="20"/>
        </w:rPr>
        <w:t> </w:t>
      </w:r>
    </w:p>
    <w:p w:rsidR="005177B6" w:rsidRPr="005177B6" w:rsidRDefault="005177B6" w:rsidP="005177B6">
      <w:pPr>
        <w:widowControl/>
        <w:wordWrap/>
        <w:autoSpaceDE/>
        <w:autoSpaceDN/>
        <w:spacing w:after="0" w:line="330" w:lineRule="atLeast"/>
        <w:ind w:left="720"/>
        <w:jc w:val="center"/>
        <w:rPr>
          <w:rFonts w:ascii="NanumGothic" w:eastAsia="굴림" w:hAnsi="NanumGothic" w:cs="굴림" w:hint="eastAsia"/>
          <w:color w:val="666666"/>
          <w:kern w:val="0"/>
          <w:szCs w:val="20"/>
        </w:rPr>
      </w:pPr>
      <w:r w:rsidRPr="005177B6">
        <w:rPr>
          <w:rFonts w:ascii="NanumGothic" w:eastAsia="굴림" w:hAnsi="NanumGothic" w:cs="굴림" w:hint="eastAsia"/>
          <w:noProof/>
          <w:color w:val="666666"/>
          <w:kern w:val="0"/>
          <w:szCs w:val="20"/>
        </w:rPr>
        <w:drawing>
          <wp:inline distT="0" distB="0" distL="0" distR="0">
            <wp:extent cx="9353550" cy="6210300"/>
            <wp:effectExtent l="0" t="0" r="0" b="0"/>
            <wp:docPr id="6" name="그림 6" descr="V2G 시스템 구성도 예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2G 시스템 구성도 예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7B6" w:rsidRPr="005177B6" w:rsidRDefault="00981D4F">
      <w:pPr>
        <w:rPr>
          <w:i/>
        </w:rPr>
      </w:pPr>
      <w:hyperlink r:id="rId11" w:history="1">
        <w:r>
          <w:rPr>
            <w:rStyle w:val="a3"/>
          </w:rPr>
          <w:t>https://ev.or.kr/portal/industryeffect?pMENUMST_ID=21541</w:t>
        </w:r>
      </w:hyperlink>
      <w:bookmarkStart w:id="0" w:name="_GoBack"/>
      <w:bookmarkEnd w:id="0"/>
    </w:p>
    <w:sectPr w:rsidR="005177B6" w:rsidRPr="005177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B6"/>
    <w:rsid w:val="001B7786"/>
    <w:rsid w:val="005177B6"/>
    <w:rsid w:val="0098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847F4-B008-499A-83E1-D35CBFFD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177B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177B6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1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8120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0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ev.or.kr/portal/industryeffect?pMENUMST_ID=21541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2019-09-10T00:21:00Z</dcterms:created>
  <dcterms:modified xsi:type="dcterms:W3CDTF">2019-09-10T00:23:00Z</dcterms:modified>
</cp:coreProperties>
</file>