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세계 각국이 내연기관차의 배기가스 배출을 규제하고, 친환경차 도입을 위한 각종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지원정책을 이어가고 있다. 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>출처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"https://news.hmgjournal.com/Group-Story/%EC%A0%84%EA%B8%B0%EC%B0%A8%EB%8A%94-%EC%99%9C-%EB%8C%80%EC%84%B8%EA%B0%80-%EB%90%90%EB%82%98"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w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m</w:t>
      </w:r>
      <w:r>
        <w:rPr>
          <w:color w:val="0563C1"/>
        </w:rPr>
        <w:t>g</w:t>
      </w:r>
      <w:r>
        <w:rPr>
          <w:color w:val="0563C1"/>
        </w:rPr>
        <w:t>j</w:t>
      </w:r>
      <w:r>
        <w:rPr>
          <w:color w:val="0563C1"/>
        </w:rPr>
        <w:t>o</w:t>
      </w:r>
      <w:r>
        <w:rPr>
          <w:color w:val="0563C1"/>
        </w:rPr>
        <w:t>u</w:t>
      </w:r>
      <w:r>
        <w:rPr>
          <w:color w:val="0563C1"/>
        </w:rPr>
        <w:t>r</w:t>
      </w:r>
      <w:r>
        <w:rPr>
          <w:color w:val="0563C1"/>
        </w:rPr>
        <w:t>n</w:t>
      </w:r>
      <w:r>
        <w:rPr>
          <w:color w:val="0563C1"/>
        </w:rPr>
        <w:t>a</w:t>
      </w:r>
      <w:r>
        <w:rPr>
          <w:color w:val="0563C1"/>
        </w:rPr>
        <w:t>l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r</w:t>
      </w:r>
      <w:r>
        <w:rPr>
          <w:color w:val="0563C1"/>
        </w:rPr>
        <w:t>o</w:t>
      </w:r>
      <w:r>
        <w:rPr>
          <w:color w:val="0563C1"/>
        </w:rPr>
        <w:t>u</w:t>
      </w:r>
      <w:r>
        <w:rPr>
          <w:color w:val="0563C1"/>
        </w:rPr>
        <w:t>p</w:t>
      </w:r>
      <w:r>
        <w:rPr>
          <w:color w:val="0563C1"/>
        </w:rPr>
        <w:t>-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/</w:t>
      </w:r>
      <w:r>
        <w:rPr>
          <w:color w:val="0563C1"/>
        </w:rPr>
        <w:t>전</w:t>
      </w:r>
      <w:r>
        <w:rPr>
          <w:color w:val="0563C1"/>
        </w:rPr>
        <w:t>기</w:t>
      </w:r>
      <w:r>
        <w:rPr>
          <w:color w:val="0563C1"/>
        </w:rPr>
        <w:t>차</w:t>
      </w:r>
      <w:r>
        <w:rPr>
          <w:color w:val="0563C1"/>
        </w:rPr>
        <w:t>는</w:t>
      </w:r>
      <w:r>
        <w:rPr>
          <w:color w:val="0563C1"/>
        </w:rPr>
        <w:t>-</w:t>
      </w:r>
      <w:r>
        <w:rPr>
          <w:color w:val="0563C1"/>
        </w:rPr>
        <w:t>왜</w:t>
      </w:r>
      <w:r>
        <w:rPr>
          <w:color w:val="0563C1"/>
        </w:rPr>
        <w:t>-</w:t>
      </w:r>
      <w:r>
        <w:rPr>
          <w:color w:val="0563C1"/>
        </w:rPr>
        <w:t>대</w:t>
      </w:r>
      <w:r>
        <w:rPr>
          <w:color w:val="0563C1"/>
        </w:rPr>
        <w:t>세</w:t>
      </w:r>
      <w:r>
        <w:rPr>
          <w:color w:val="0563C1"/>
        </w:rPr>
        <w:t>가</w:t>
      </w:r>
      <w:r>
        <w:rPr>
          <w:color w:val="0563C1"/>
        </w:rPr>
        <w:t>-</w:t>
      </w:r>
      <w:r>
        <w:rPr>
          <w:color w:val="0563C1"/>
        </w:rPr>
        <w:t>됐</w:t>
      </w:r>
      <w:r>
        <w:rPr>
          <w:color w:val="0563C1"/>
        </w:rPr>
        <w:t>나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전기차란?</w:t>
      </w:r>
    </w:p>
    <w:p>
      <w:pPr>
        <w:spacing w:lineRule="auto" w:line="259"/>
        <w:rPr/>
      </w:pPr>
      <w:r>
        <w:rPr/>
        <w:t xml:space="preserve">왜 필요한가?</w:t>
      </w:r>
    </w:p>
    <w:p>
      <w:pPr>
        <w:spacing w:lineRule="auto" w:line="259"/>
        <w:rPr/>
      </w:pPr>
      <w:r>
        <w:rPr/>
        <w:t xml:space="preserve">프로젝트 목표</w:t>
      </w:r>
    </w:p>
    <w:p>
      <w:pPr>
        <w:spacing w:lineRule="auto" w:line="259"/>
        <w:rPr/>
      </w:pPr>
      <w:r>
        <w:rPr/>
        <w:t xml:space="preserve">우리나라 전기차 현황</w:t>
      </w:r>
    </w:p>
    <w:p>
      <w:pPr>
        <w:spacing w:lineRule="auto" w:line="259"/>
        <w:rPr/>
      </w:pPr>
      <w:r>
        <w:rPr/>
        <w:t xml:space="preserve">- 자동차 등록수와 인구밀도 상관관계(송파구 등록률 높게, 강남구 30~40대비 낮다)</w:t>
      </w:r>
    </w:p>
    <w:p>
      <w:pPr>
        <w:spacing w:lineRule="auto" w:line="259"/>
        <w:rPr/>
      </w:pPr>
      <w:r>
        <w:rPr/>
        <w:t xml:space="preserve">- 전기자동차 등록수(강남구가 많다)</w:t>
      </w:r>
    </w:p>
    <w:p>
      <w:pPr>
        <w:spacing w:lineRule="auto" w:line="259"/>
        <w:rPr/>
      </w:pPr>
      <w:r>
        <w:rPr/>
        <w:t xml:space="preserve">- 휘발유차와 전기차 등록수 그래프</w:t>
      </w:r>
    </w:p>
    <w:p>
      <w:pPr>
        <w:spacing w:lineRule="auto" w:line="259"/>
        <w:rPr/>
      </w:pPr>
      <w:r>
        <w:rPr/>
        <w:t xml:space="preserve">우리나라 전기차 충전소 현황</w:t>
      </w:r>
    </w:p>
    <w:p>
      <w:pPr>
        <w:spacing w:lineRule="auto" w:line="259"/>
        <w:rPr/>
      </w:pPr>
      <w:r>
        <w:rPr/>
        <w:t xml:space="preserve">- 제주도 충전소 현황</w:t>
      </w:r>
    </w:p>
    <w:p>
      <w:pPr>
        <w:spacing w:lineRule="auto" w:line="259"/>
        <w:rPr/>
      </w:pPr>
      <w:r>
        <w:rPr/>
        <w:t xml:space="preserve">- 왜 그 지역에 많은가? &gt;&gt; 인프라와 상관관계(쇼핑몰, 관광지, 음식점 변수)</w:t>
      </w:r>
    </w:p>
    <w:p>
      <w:pPr>
        <w:spacing w:lineRule="auto" w:line="259"/>
        <w:rPr/>
      </w:pPr>
      <w:r>
        <w:rPr/>
        <w:t xml:space="preserve">- 인프라현황에 가장 적합한 위치 선정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전기차와 검색량, 기사량, 전년도 분석하여 20년의 대수 현황 파악하여 전기차 대수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>예측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보급 확산이유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1. 2010년 이후 세계 경제가 회복되며 석유 수요의 급증으로 고유가 시대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2. 기후변화 대응 및 온실가스 감축 차원에서 전세계적으로 자동차 연비 규제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3. 소비자 니즈 변화(저렴 연비좋은 차량)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전기자동차의 다양한 장점 때문에 상용화를 위해 노력해야한다.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그 예로 환경부의 전기차 구매 보조금, 전국 충전소 1896곳, 각종 세제혜택이 있따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특히 제주도에서는 전기차 360대 보급, 충전소 497곳으로 면적당 충전 인프라 세계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최고 수준이다. 따라서 제주도의 인프라와 충전소 현황을 알아보았다.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>문제점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1. 인프라 설치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- 정부 or 기업이 설치 할 것인가? 규모가 크고 비싼 인프라 설치는 기업도 정부도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섣불리 나서지 못하고 있다 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&gt;&gt;&gt;&gt; 제주도의 최적의 위치를 파악했다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2. 충전방식 표준화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- 전기차 보급계획을 갖긴 국가는 충전방식을 통일하고 그에 맞는 충전소만을 설치해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나가고 있으나 우리나라는 표준화가 이루어지지 않아서 충전소 설치 및 이용에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어려움이 있따.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3. 비싼 전기자동차 가격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- 일부 지역에서 전기차 구매시 정부로부터 지원금을 받지만, 동급의 내연기관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자동차와 비교하면 비싼 가격이다.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4. 향후 전기 자동차 증가로 인한 배전망 과부하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- 계속되는 발전소 건설로 송전망의 전력 예비율은 넉넉하지만 향후 전기차 </w:t>
      </w: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증가로인해 배전망의 전력공급을 확대하기 위한 배전설비용량을 늘려야한다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1) 년도 만 넣고 예측</w:t>
      </w:r>
    </w:p>
    <w:p>
      <w:pPr>
        <w:spacing w:lineRule="auto" w:line="259"/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</w:pPr>
      <w:r>
        <w:rPr>
          <w:spacing w:val="0"/>
          <w:i w:val="0"/>
          <w:b w:val="0"/>
          <w:color w:val="5E5E5E"/>
          <w:sz w:val="22"/>
          <w:szCs w:val="22"/>
          <w:highlight w:val="white"/>
          <w:rFonts w:ascii="NanumBarunGothic" w:eastAsia="NanumBarunGothic" w:hAnsi="NanumBarunGothic" w:cs="NanumBarunGothic"/>
        </w:rPr>
        <w:t xml:space="preserve">2) 세계 전기차 판매량/뉴스 기사량/ 전기차충전소 (2011-2018년도)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이찬희</dc:creator>
  <cp:lastModifiedBy/>
</cp:coreProperties>
</file>