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3A8A"/>
          <w:sz w:val="40"/>
          <w:szCs w:val="40"/>
        </w:rPr>
        <w:t xml:space="preserve">EventFlow — Pricing Comparison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A6473"/>
          <w:sz w:val="22"/>
          <w:szCs w:val="22"/>
        </w:rPr>
        <w:t xml:space="preserve">Free vs. Single Event · per-event pricing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EventFlow prices per event, not per account. Every organizer runs unlimited free events. To make any individual event professional-grade, you spend one Single Event credit ($19) and apply it to that event — no subscription.</w:t>
      </w:r>
    </w:p>
    <w:p>
      <w:pPr>
        <w:pStyle w:val="Heading1"/>
      </w:pPr>
      <w:r>
        <w:t xml:space="preserve">Free vs Single Event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2600"/>
        <w:gridCol w:w="2600"/>
      </w:tblGrid>
      <w:tr>
        <w:trPr>
          <w:tblHeader/>
        </w:trPr>
        <w:tc>
          <w:tcPr>
            <w:tcW w:type="dxa" w:w="4160"/>
            <w:tcBorders>
              <w:top w:val="single" w:color="CCD3E0" w:sz="1"/>
              <w:left w:val="single" w:color="CCD3E0" w:sz="1"/>
              <w:bottom w:val="single" w:color="CCD3E0" w:sz="1"/>
              <w:right w:val="single" w:color="CCD3E0" w:sz="1"/>
            </w:tcBorders>
            <w:shd w:fill="1F3A8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CCD3E0" w:sz="1"/>
              <w:left w:val="single" w:color="CCD3E0" w:sz="1"/>
              <w:bottom w:val="single" w:color="CCD3E0" w:sz="1"/>
              <w:right w:val="single" w:color="CCD3E0" w:sz="1"/>
            </w:tcBorders>
            <w:shd w:fill="1F3A8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event</w:t>
            </w:r>
          </w:p>
        </w:tc>
        <w:tc>
          <w:tcPr>
            <w:tcW w:type="dxa" w:w="4160"/>
            <w:tcBorders>
              <w:top w:val="single" w:color="CCD3E0" w:sz="1"/>
              <w:left w:val="single" w:color="CCD3E0" w:sz="1"/>
              <w:bottom w:val="single" w:color="CCD3E0" w:sz="1"/>
              <w:right w:val="single" w:color="CCD3E0" w:sz="1"/>
            </w:tcBorders>
            <w:shd w:fill="1F3A8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Single Event</w:t>
            </w:r>
          </w:p>
        </w:tc>
      </w:tr>
      <w:tr>
        <w:tc>
          <w:tcPr>
            <w:tcW w:type="dxa" w:w="4160"/>
            <w:tcBorders>
              <w:top w:val="single" w:color="CCD3E0" w:sz="1"/>
              <w:left w:val="single" w:color="CCD3E0" w:sz="1"/>
              <w:bottom w:val="single" w:color="CCD3E0" w:sz="1"/>
              <w:right w:val="single" w:color="CCD3E0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Price</w:t>
            </w:r>
          </w:p>
        </w:tc>
        <w:tc>
          <w:tcPr>
            <w:tcW w:type="dxa" w:w="2600"/>
            <w:tcBorders>
              <w:top w:val="single" w:color="CCD3E0" w:sz="1"/>
              <w:left w:val="single" w:color="CCD3E0" w:sz="1"/>
              <w:bottom w:val="single" w:color="CCD3E0" w:sz="1"/>
              <w:right w:val="single" w:color="CCD3E0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$0</w:t>
            </w:r>
          </w:p>
        </w:tc>
        <w:tc>
          <w:tcPr>
            <w:tcW w:type="dxa" w:w="2600"/>
            <w:tcBorders>
              <w:top w:val="single" w:color="CCD3E0" w:sz="1"/>
              <w:left w:val="single" w:color="CCD3E0" w:sz="1"/>
              <w:bottom w:val="single" w:color="CCD3E0" w:sz="1"/>
              <w:right w:val="single" w:color="CCD3E0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$19 per event (one-time credit)</w:t>
            </w:r>
          </w:p>
        </w:tc>
      </w:tr>
      <w:tr>
        <w:tc>
          <w:tcPr>
            <w:tcW w:type="dxa" w:w="4160"/>
            <w:tcBorders>
              <w:top w:val="single" w:color="CCD3E0" w:sz="1"/>
              <w:left w:val="single" w:color="CCD3E0" w:sz="1"/>
              <w:bottom w:val="single" w:color="CCD3E0" w:sz="1"/>
              <w:right w:val="single" w:color="CCD3E0" w:sz="1"/>
            </w:tcBorders>
            <w:shd w:fill="EEF2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How many</w:t>
            </w:r>
          </w:p>
        </w:tc>
        <w:tc>
          <w:tcPr>
            <w:tcW w:type="dxa" w:w="2600"/>
            <w:tcBorders>
              <w:top w:val="single" w:color="CCD3E0" w:sz="1"/>
              <w:left w:val="single" w:color="CCD3E0" w:sz="1"/>
              <w:bottom w:val="single" w:color="CCD3E0" w:sz="1"/>
              <w:right w:val="single" w:color="CCD3E0" w:sz="1"/>
            </w:tcBorders>
            <w:shd w:fill="EEF2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Unlimited free events</w:t>
            </w:r>
          </w:p>
        </w:tc>
        <w:tc>
          <w:tcPr>
            <w:tcW w:type="dxa" w:w="2600"/>
            <w:tcBorders>
              <w:top w:val="single" w:color="CCD3E0" w:sz="1"/>
              <w:left w:val="single" w:color="CCD3E0" w:sz="1"/>
              <w:bottom w:val="single" w:color="CCD3E0" w:sz="1"/>
              <w:right w:val="single" w:color="CCD3E0" w:sz="1"/>
            </w:tcBorders>
            <w:shd w:fill="EEF2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One credit = one premium event</w:t>
            </w:r>
          </w:p>
        </w:tc>
      </w:tr>
      <w:tr>
        <w:tc>
          <w:tcPr>
            <w:tcW w:type="dxa" w:w="4160"/>
            <w:tcBorders>
              <w:top w:val="single" w:color="CCD3E0" w:sz="1"/>
              <w:left w:val="single" w:color="CCD3E0" w:sz="1"/>
              <w:bottom w:val="single" w:color="CCD3E0" w:sz="1"/>
              <w:right w:val="single" w:color="CCD3E0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Registrations per event</w:t>
            </w:r>
          </w:p>
        </w:tc>
        <w:tc>
          <w:tcPr>
            <w:tcW w:type="dxa" w:w="2600"/>
            <w:tcBorders>
              <w:top w:val="single" w:color="CCD3E0" w:sz="1"/>
              <w:left w:val="single" w:color="CCD3E0" w:sz="1"/>
              <w:bottom w:val="single" w:color="CCD3E0" w:sz="1"/>
              <w:right w:val="single" w:color="CCD3E0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 to 50</w:t>
            </w:r>
          </w:p>
        </w:tc>
        <w:tc>
          <w:tcPr>
            <w:tcW w:type="dxa" w:w="2600"/>
            <w:tcBorders>
              <w:top w:val="single" w:color="CCD3E0" w:sz="1"/>
              <w:left w:val="single" w:color="CCD3E0" w:sz="1"/>
              <w:bottom w:val="single" w:color="CCD3E0" w:sz="1"/>
              <w:right w:val="single" w:color="CCD3E0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4160"/>
            <w:tcBorders>
              <w:top w:val="single" w:color="CCD3E0" w:sz="1"/>
              <w:left w:val="single" w:color="CCD3E0" w:sz="1"/>
              <w:bottom w:val="single" w:color="CCD3E0" w:sz="1"/>
              <w:right w:val="single" w:color="CCD3E0" w:sz="1"/>
            </w:tcBorders>
            <w:shd w:fill="EEF2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 broadcasts per event</w:t>
            </w:r>
          </w:p>
        </w:tc>
        <w:tc>
          <w:tcPr>
            <w:tcW w:type="dxa" w:w="2600"/>
            <w:tcBorders>
              <w:top w:val="single" w:color="CCD3E0" w:sz="1"/>
              <w:left w:val="single" w:color="CCD3E0" w:sz="1"/>
              <w:bottom w:val="single" w:color="CCD3E0" w:sz="1"/>
              <w:right w:val="single" w:color="CCD3E0" w:sz="1"/>
            </w:tcBorders>
            <w:shd w:fill="EEF2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D3E0" w:sz="1"/>
              <w:left w:val="single" w:color="CCD3E0" w:sz="1"/>
              <w:bottom w:val="single" w:color="CCD3E0" w:sz="1"/>
              <w:right w:val="single" w:color="CCD3E0" w:sz="1"/>
            </w:tcBorders>
            <w:shd w:fill="EEF2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160"/>
            <w:tcBorders>
              <w:top w:val="single" w:color="CCD3E0" w:sz="1"/>
              <w:left w:val="single" w:color="CCD3E0" w:sz="1"/>
              <w:bottom w:val="single" w:color="CCD3E0" w:sz="1"/>
              <w:right w:val="single" w:color="CCD3E0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Vendor applications</w:t>
            </w:r>
          </w:p>
        </w:tc>
        <w:tc>
          <w:tcPr>
            <w:tcW w:type="dxa" w:w="2600"/>
            <w:tcBorders>
              <w:top w:val="single" w:color="CCD3E0" w:sz="1"/>
              <w:left w:val="single" w:color="CCD3E0" w:sz="1"/>
              <w:bottom w:val="single" w:color="CCD3E0" w:sz="1"/>
              <w:right w:val="single" w:color="CCD3E0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A93A3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D3E0" w:sz="1"/>
              <w:left w:val="single" w:color="CCD3E0" w:sz="1"/>
              <w:bottom w:val="single" w:color="CCD3E0" w:sz="1"/>
              <w:right w:val="single" w:color="CCD3E0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 (apply, approve, pay)</w:t>
            </w:r>
          </w:p>
        </w:tc>
      </w:tr>
      <w:tr>
        <w:tc>
          <w:tcPr>
            <w:tcW w:type="dxa" w:w="4160"/>
            <w:tcBorders>
              <w:top w:val="single" w:color="CCD3E0" w:sz="1"/>
              <w:left w:val="single" w:color="CCD3E0" w:sz="1"/>
              <w:bottom w:val="single" w:color="CCD3E0" w:sz="1"/>
              <w:right w:val="single" w:color="CCD3E0" w:sz="1"/>
            </w:tcBorders>
            <w:shd w:fill="EEF2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Custom branding (logo + color)</w:t>
            </w:r>
          </w:p>
        </w:tc>
        <w:tc>
          <w:tcPr>
            <w:tcW w:type="dxa" w:w="2600"/>
            <w:tcBorders>
              <w:top w:val="single" w:color="CCD3E0" w:sz="1"/>
              <w:left w:val="single" w:color="CCD3E0" w:sz="1"/>
              <w:bottom w:val="single" w:color="CCD3E0" w:sz="1"/>
              <w:right w:val="single" w:color="CCD3E0" w:sz="1"/>
            </w:tcBorders>
            <w:shd w:fill="EEF2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A93A3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D3E0" w:sz="1"/>
              <w:left w:val="single" w:color="CCD3E0" w:sz="1"/>
              <w:bottom w:val="single" w:color="CCD3E0" w:sz="1"/>
              <w:right w:val="single" w:color="CCD3E0" w:sz="1"/>
            </w:tcBorders>
            <w:shd w:fill="EEF2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160"/>
            <w:tcBorders>
              <w:top w:val="single" w:color="CCD3E0" w:sz="1"/>
              <w:left w:val="single" w:color="CCD3E0" w:sz="1"/>
              <w:bottom w:val="single" w:color="CCD3E0" w:sz="1"/>
              <w:right w:val="single" w:color="CCD3E0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Team invites + per-event roles</w:t>
            </w:r>
          </w:p>
        </w:tc>
        <w:tc>
          <w:tcPr>
            <w:tcW w:type="dxa" w:w="2600"/>
            <w:tcBorders>
              <w:top w:val="single" w:color="CCD3E0" w:sz="1"/>
              <w:left w:val="single" w:color="CCD3E0" w:sz="1"/>
              <w:bottom w:val="single" w:color="CCD3E0" w:sz="1"/>
              <w:right w:val="single" w:color="CCD3E0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A93A3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D3E0" w:sz="1"/>
              <w:left w:val="single" w:color="CCD3E0" w:sz="1"/>
              <w:bottom w:val="single" w:color="CCD3E0" w:sz="1"/>
              <w:right w:val="single" w:color="CCD3E0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160"/>
            <w:tcBorders>
              <w:top w:val="single" w:color="CCD3E0" w:sz="1"/>
              <w:left w:val="single" w:color="CCD3E0" w:sz="1"/>
              <w:bottom w:val="single" w:color="CCD3E0" w:sz="1"/>
              <w:right w:val="single" w:color="CCD3E0" w:sz="1"/>
            </w:tcBorders>
            <w:shd w:fill="EEF2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QR tickets &amp; calendar files</w:t>
            </w:r>
          </w:p>
        </w:tc>
        <w:tc>
          <w:tcPr>
            <w:tcW w:type="dxa" w:w="2600"/>
            <w:tcBorders>
              <w:top w:val="single" w:color="CCD3E0" w:sz="1"/>
              <w:left w:val="single" w:color="CCD3E0" w:sz="1"/>
              <w:bottom w:val="single" w:color="CCD3E0" w:sz="1"/>
              <w:right w:val="single" w:color="CCD3E0" w:sz="1"/>
            </w:tcBorders>
            <w:shd w:fill="EEF2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600"/>
            <w:tcBorders>
              <w:top w:val="single" w:color="CCD3E0" w:sz="1"/>
              <w:left w:val="single" w:color="CCD3E0" w:sz="1"/>
              <w:bottom w:val="single" w:color="CCD3E0" w:sz="1"/>
              <w:right w:val="single" w:color="CCD3E0" w:sz="1"/>
            </w:tcBorders>
            <w:shd w:fill="EEF2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160"/>
            <w:tcBorders>
              <w:top w:val="single" w:color="CCD3E0" w:sz="1"/>
              <w:left w:val="single" w:color="CCD3E0" w:sz="1"/>
              <w:bottom w:val="single" w:color="CCD3E0" w:sz="1"/>
              <w:right w:val="single" w:color="CCD3E0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Check-in scanner</w:t>
            </w:r>
          </w:p>
        </w:tc>
        <w:tc>
          <w:tcPr>
            <w:tcW w:type="dxa" w:w="2600"/>
            <w:tcBorders>
              <w:top w:val="single" w:color="CCD3E0" w:sz="1"/>
              <w:left w:val="single" w:color="CCD3E0" w:sz="1"/>
              <w:bottom w:val="single" w:color="CCD3E0" w:sz="1"/>
              <w:right w:val="single" w:color="CCD3E0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600"/>
            <w:tcBorders>
              <w:top w:val="single" w:color="CCD3E0" w:sz="1"/>
              <w:left w:val="single" w:color="CCD3E0" w:sz="1"/>
              <w:bottom w:val="single" w:color="CCD3E0" w:sz="1"/>
              <w:right w:val="single" w:color="CCD3E0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160"/>
            <w:tcBorders>
              <w:top w:val="single" w:color="CCD3E0" w:sz="1"/>
              <w:left w:val="single" w:color="CCD3E0" w:sz="1"/>
              <w:bottom w:val="single" w:color="CCD3E0" w:sz="1"/>
              <w:right w:val="single" w:color="CCD3E0" w:sz="1"/>
            </w:tcBorders>
            <w:shd w:fill="EEF2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CSV export (registrations &amp; vendors)</w:t>
            </w:r>
          </w:p>
        </w:tc>
        <w:tc>
          <w:tcPr>
            <w:tcW w:type="dxa" w:w="2600"/>
            <w:tcBorders>
              <w:top w:val="single" w:color="CCD3E0" w:sz="1"/>
              <w:left w:val="single" w:color="CCD3E0" w:sz="1"/>
              <w:bottom w:val="single" w:color="CCD3E0" w:sz="1"/>
              <w:right w:val="single" w:color="CCD3E0" w:sz="1"/>
            </w:tcBorders>
            <w:shd w:fill="EEF2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600"/>
            <w:tcBorders>
              <w:top w:val="single" w:color="CCD3E0" w:sz="1"/>
              <w:left w:val="single" w:color="CCD3E0" w:sz="1"/>
              <w:bottom w:val="single" w:color="CCD3E0" w:sz="1"/>
              <w:right w:val="single" w:color="CCD3E0" w:sz="1"/>
            </w:tcBorders>
            <w:shd w:fill="EEF2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160"/>
            <w:tcBorders>
              <w:top w:val="single" w:color="CCD3E0" w:sz="1"/>
              <w:left w:val="single" w:color="CCD3E0" w:sz="1"/>
              <w:bottom w:val="single" w:color="CCD3E0" w:sz="1"/>
              <w:right w:val="single" w:color="CCD3E0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Promo codes &amp; presale discounts</w:t>
            </w:r>
          </w:p>
        </w:tc>
        <w:tc>
          <w:tcPr>
            <w:tcW w:type="dxa" w:w="2600"/>
            <w:tcBorders>
              <w:top w:val="single" w:color="CCD3E0" w:sz="1"/>
              <w:left w:val="single" w:color="CCD3E0" w:sz="1"/>
              <w:bottom w:val="single" w:color="CCD3E0" w:sz="1"/>
              <w:right w:val="single" w:color="CCD3E0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600"/>
            <w:tcBorders>
              <w:top w:val="single" w:color="CCD3E0" w:sz="1"/>
              <w:left w:val="single" w:color="CCD3E0" w:sz="1"/>
              <w:bottom w:val="single" w:color="CCD3E0" w:sz="1"/>
              <w:right w:val="single" w:color="CCD3E0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160"/>
            <w:tcBorders>
              <w:top w:val="single" w:color="CCD3E0" w:sz="1"/>
              <w:left w:val="single" w:color="CCD3E0" w:sz="1"/>
              <w:bottom w:val="single" w:color="CCD3E0" w:sz="1"/>
              <w:right w:val="single" w:color="CCD3E0" w:sz="1"/>
            </w:tcBorders>
            <w:shd w:fill="EEF2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Take payments (Stripe)</w:t>
            </w:r>
          </w:p>
        </w:tc>
        <w:tc>
          <w:tcPr>
            <w:tcW w:type="dxa" w:w="2600"/>
            <w:tcBorders>
              <w:top w:val="single" w:color="CCD3E0" w:sz="1"/>
              <w:left w:val="single" w:color="CCD3E0" w:sz="1"/>
              <w:bottom w:val="single" w:color="CCD3E0" w:sz="1"/>
              <w:right w:val="single" w:color="CCD3E0" w:sz="1"/>
            </w:tcBorders>
            <w:shd w:fill="EEF2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600"/>
            <w:tcBorders>
              <w:top w:val="single" w:color="CCD3E0" w:sz="1"/>
              <w:left w:val="single" w:color="CCD3E0" w:sz="1"/>
              <w:bottom w:val="single" w:color="CCD3E0" w:sz="1"/>
              <w:right w:val="single" w:color="CCD3E0" w:sz="1"/>
            </w:tcBorders>
            <w:shd w:fill="EEF2F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</w:tr>
    </w:tbl>
    <w:p>
      <w:pPr>
        <w:pStyle w:val="Heading1"/>
      </w:pPr>
      <w:r>
        <w:t xml:space="preserve">What this means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four real differentiators a credit unlocks: unlimited registrations, vendor application flow, custom branding, and 5 email broadcasts (vs. 1). Team invites are bundled in as premium.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Everything else is in both tiers — ticketing, paid tickets, QR check-in, CSV export, promo codes, and presale discounts. The core engine is free; the $19 credit makes a specific event premium.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Separately from tiers, a 4.5% platform fee applies to paid ticket sales on any event (Free or Single Event). That is the always-on revenue stream; the $19 credit is incremental.</w:t>
      </w:r>
    </w:p>
    <w:p>
      <w:pPr>
        <w:pStyle w:val="Heading1"/>
      </w:pPr>
      <w:r>
        <w:t xml:space="preserve">Positioning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Free — small or casual events: a community meetup, a 30-person workshop, a free RSVP. Capped at 50 attendees and one email broadcast.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Single Event — “I’m running a real event”: a market with vendors, a branded conference, anything that will exceed 50 people or needs your logo on it. One $19 payment, no subscription.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8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2026-06-14T19:16:30.980Z</dcterms:created>
  <dcterms:modified xsi:type="dcterms:W3CDTF">2026-06-14T19:16:30.982Z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