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7/2019 – Present</w:t>
      </w:r>
      <w:r w:rsidDel="00000000" w:rsidR="00000000" w:rsidRPr="00000000">
        <w:rPr>
          <w:rtl w:val="0"/>
        </w:rPr>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18">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22">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2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2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C">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3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3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