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5, Angular 6, RxJS, ngrx, AngularJS 1, React Native, Redux, Knockout, Backbone, Bootstrap, TypeScript, Flow, DOJO, ExtJS, Node, JQuery, jQuery UI, D3, C3, Highcharts, Chartist, Next, AJAX,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EXPERIENCE</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Tenable, 2/2018 – Present</w:t>
      </w:r>
      <w:r w:rsidDel="00000000" w:rsidR="00000000" w:rsidRPr="00000000">
        <w:rPr>
          <w:rtl w:val="0"/>
        </w:rPr>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security dashboard using React and Redux.</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18">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5/2017 - 1/2018</w:t>
      </w:r>
      <w:r w:rsidDel="00000000" w:rsidR="00000000" w:rsidRPr="00000000">
        <w:rPr>
          <w:rtl w:val="0"/>
        </w:rPr>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Angular 4/5, TypeScript, ngrx, HTML5, Chartist charts, Highcharts, D3, GraphQL.  This application contains complex custom grid components as well as many charting features.</w:t>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Vue.</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20">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1">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2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2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