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b/>
          <w:color w:val="10253D"/>
          <w:sz w:val="72"/>
        </w:rPr>
        <w:t>GRUBER AI</w:t>
      </w:r>
    </w:p>
    <w:p>
      <w:pPr>
        <w:jc w:val="center"/>
      </w:pPr>
      <w:r>
        <w:rPr>
          <w:rFonts w:ascii="Arial" w:hAnsi="Arial"/>
          <w:b/>
          <w:color w:val="096C94"/>
          <w:sz w:val="48"/>
        </w:rPr>
        <w:t>Procurement Intelligence System</w:t>
      </w:r>
    </w:p>
    <w:p>
      <w:pPr>
        <w:jc w:val="center"/>
      </w:pPr>
      <w:r>
        <w:rPr>
          <w:rFonts w:ascii="Arial" w:hAnsi="Arial"/>
          <w:color w:val="5A6976"/>
          <w:sz w:val="34"/>
        </w:rPr>
        <w:t>Product Requirements Document</w:t>
      </w:r>
    </w:p>
    <w:p/>
    <w:tbl>
      <w:tblPr>
        <w:tblW w:type="auto" w:w="0"/>
        <w:jc w:val="center"/>
        <w:tblLook w:firstColumn="1" w:firstRow="1" w:lastColumn="0" w:lastRow="0" w:noHBand="0" w:noVBand="1" w:val="04A0"/>
      </w:tblPr>
      <w:tblGrid>
        <w:gridCol w:w="10310"/>
      </w:tblGrid>
      <w:tr>
        <w:tc>
          <w:tcPr>
            <w:tcW w:type="dxa" w:w="10310"/>
            <w:shd w:fill="EAF4F8"/>
          </w:tcPr>
          <w:p>
            <w:pPr>
              <w:spacing w:after="0"/>
            </w:pPr>
            <w:r/>
            <w:r>
              <w:rPr>
                <w:rFonts w:ascii="Arial" w:hAnsi="Arial"/>
                <w:b/>
                <w:color w:val="096C94"/>
                <w:sz w:val="20"/>
              </w:rPr>
              <w:t>Product vision</w:t>
              <w:br/>
            </w:r>
            <w:r>
              <w:rPr>
                <w:rFonts w:ascii="Arial" w:hAnsi="Arial"/>
                <w:color w:val="101C2C"/>
                <w:sz w:val="18"/>
              </w:rPr>
              <w:t>Create the first in-house AI operating layer for the Gruber organization: a centralized web application that connects procurement, suppliers, inventory, projects, service work, vehicle work, savings and leadership reporting across five businesses.</w:t>
            </w:r>
          </w:p>
        </w:tc>
      </w:tr>
    </w:tbl>
    <w:p>
      <w:pPr>
        <w:spacing w:after="0"/>
      </w:pPr>
    </w:p>
    <w:p>
      <w:pPr>
        <w:spacing w:before="440"/>
        <w:jc w:val="center"/>
      </w:pPr>
      <w:r>
        <w:rPr>
          <w:rFonts w:ascii="Arial" w:hAnsi="Arial"/>
          <w:color w:val="646E78"/>
          <w:sz w:val="20"/>
        </w:rPr>
        <w:t>Version 1.0  |  July 2026</w:t>
      </w:r>
    </w:p>
    <w:p>
      <w:r>
        <w:br w:type="page"/>
      </w:r>
    </w:p>
    <w:p>
      <w:pPr>
        <w:pStyle w:val="Heading1"/>
      </w:pPr>
      <w:r>
        <w:t>Document Map</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1440"/>
            <w:vAlign w:val="center"/>
            <w:shd w:fill="10253D"/>
          </w:tcPr>
          <w:p>
            <w:pPr>
              <w:spacing w:after="0"/>
            </w:pPr>
            <w:r/>
            <w:r>
              <w:rPr>
                <w:rFonts w:ascii="Arial" w:hAnsi="Arial"/>
                <w:b/>
                <w:color w:val="FFFFFF"/>
                <w:sz w:val="16"/>
              </w:rPr>
              <w:t>Section</w:t>
            </w:r>
          </w:p>
        </w:tc>
        <w:tc>
          <w:tcPr>
            <w:tcW w:type="dxa" w:w="9216"/>
            <w:vAlign w:val="center"/>
            <w:shd w:fill="10253D"/>
          </w:tcPr>
          <w:p>
            <w:pPr>
              <w:spacing w:after="0"/>
            </w:pPr>
            <w:r/>
            <w:r>
              <w:rPr>
                <w:rFonts w:ascii="Arial" w:hAnsi="Arial"/>
                <w:b/>
                <w:color w:val="FFFFFF"/>
                <w:sz w:val="16"/>
              </w:rPr>
              <w:t>Coverage</w:t>
            </w:r>
          </w:p>
        </w:tc>
      </w:tr>
      <w:tr>
        <w:tc>
          <w:tcPr>
            <w:tcW w:type="dxa" w:w="1440"/>
            <w:vAlign w:val="center"/>
          </w:tcPr>
          <w:p>
            <w:pPr>
              <w:spacing w:after="0"/>
            </w:pPr>
            <w:r/>
            <w:r>
              <w:rPr>
                <w:rFonts w:ascii="Arial" w:hAnsi="Arial"/>
                <w:b w:val="0"/>
                <w:color w:val="101C2C"/>
                <w:sz w:val="17"/>
              </w:rPr>
              <w:t>1–3</w:t>
            </w:r>
          </w:p>
        </w:tc>
        <w:tc>
          <w:tcPr>
            <w:tcW w:type="dxa" w:w="9216"/>
            <w:vAlign w:val="center"/>
          </w:tcPr>
          <w:p>
            <w:pPr>
              <w:spacing w:after="0"/>
            </w:pPr>
            <w:r/>
            <w:r>
              <w:rPr>
                <w:rFonts w:ascii="Arial" w:hAnsi="Arial"/>
                <w:b w:val="0"/>
                <w:color w:val="101C2C"/>
                <w:sz w:val="17"/>
              </w:rPr>
              <w:t>Executive summary, product goals and operating principles</w:t>
            </w:r>
          </w:p>
        </w:tc>
      </w:tr>
      <w:tr>
        <w:tc>
          <w:tcPr>
            <w:tcW w:type="dxa" w:w="1440"/>
            <w:vAlign w:val="center"/>
          </w:tcPr>
          <w:p>
            <w:pPr>
              <w:spacing w:after="0"/>
            </w:pPr>
            <w:r/>
            <w:r>
              <w:rPr>
                <w:rFonts w:ascii="Arial" w:hAnsi="Arial"/>
                <w:b w:val="0"/>
                <w:color w:val="101C2C"/>
                <w:sz w:val="17"/>
              </w:rPr>
              <w:t>4–6</w:t>
            </w:r>
          </w:p>
        </w:tc>
        <w:tc>
          <w:tcPr>
            <w:tcW w:type="dxa" w:w="9216"/>
            <w:vAlign w:val="center"/>
          </w:tcPr>
          <w:p>
            <w:pPr>
              <w:spacing w:after="0"/>
            </w:pPr>
            <w:r/>
            <w:r>
              <w:rPr>
                <w:rFonts w:ascii="Arial" w:hAnsi="Arial"/>
                <w:b w:val="0"/>
                <w:color w:val="101C2C"/>
                <w:sz w:val="17"/>
              </w:rPr>
              <w:t>Business scope, users, roles and major modules</w:t>
            </w:r>
          </w:p>
        </w:tc>
      </w:tr>
      <w:tr>
        <w:tc>
          <w:tcPr>
            <w:tcW w:type="dxa" w:w="1440"/>
            <w:vAlign w:val="center"/>
          </w:tcPr>
          <w:p>
            <w:pPr>
              <w:spacing w:after="0"/>
            </w:pPr>
            <w:r/>
            <w:r>
              <w:rPr>
                <w:rFonts w:ascii="Arial" w:hAnsi="Arial"/>
                <w:b w:val="0"/>
                <w:color w:val="101C2C"/>
                <w:sz w:val="17"/>
              </w:rPr>
              <w:t>7–9</w:t>
            </w:r>
          </w:p>
        </w:tc>
        <w:tc>
          <w:tcPr>
            <w:tcW w:type="dxa" w:w="9216"/>
            <w:vAlign w:val="center"/>
          </w:tcPr>
          <w:p>
            <w:pPr>
              <w:spacing w:after="0"/>
            </w:pPr>
            <w:r/>
            <w:r>
              <w:rPr>
                <w:rFonts w:ascii="Arial" w:hAnsi="Arial"/>
                <w:b w:val="0"/>
                <w:color w:val="101C2C"/>
                <w:sz w:val="17"/>
              </w:rPr>
              <w:t>Core workflows, AI agents and reporting</w:t>
            </w:r>
          </w:p>
        </w:tc>
      </w:tr>
      <w:tr>
        <w:tc>
          <w:tcPr>
            <w:tcW w:type="dxa" w:w="1440"/>
            <w:vAlign w:val="center"/>
          </w:tcPr>
          <w:p>
            <w:pPr>
              <w:spacing w:after="0"/>
            </w:pPr>
            <w:r/>
            <w:r>
              <w:rPr>
                <w:rFonts w:ascii="Arial" w:hAnsi="Arial"/>
                <w:b w:val="0"/>
                <w:color w:val="101C2C"/>
                <w:sz w:val="17"/>
              </w:rPr>
              <w:t>10–12</w:t>
            </w:r>
          </w:p>
        </w:tc>
        <w:tc>
          <w:tcPr>
            <w:tcW w:type="dxa" w:w="9216"/>
            <w:vAlign w:val="center"/>
          </w:tcPr>
          <w:p>
            <w:pPr>
              <w:spacing w:after="0"/>
            </w:pPr>
            <w:r/>
            <w:r>
              <w:rPr>
                <w:rFonts w:ascii="Arial" w:hAnsi="Arial"/>
                <w:b w:val="0"/>
                <w:color w:val="101C2C"/>
                <w:sz w:val="17"/>
              </w:rPr>
              <w:t>Data, integrations, security and nonfunctional requirements</w:t>
            </w:r>
          </w:p>
        </w:tc>
      </w:tr>
      <w:tr>
        <w:tc>
          <w:tcPr>
            <w:tcW w:type="dxa" w:w="1440"/>
            <w:vAlign w:val="center"/>
          </w:tcPr>
          <w:p>
            <w:pPr>
              <w:spacing w:after="0"/>
            </w:pPr>
            <w:r/>
            <w:r>
              <w:rPr>
                <w:rFonts w:ascii="Arial" w:hAnsi="Arial"/>
                <w:b w:val="0"/>
                <w:color w:val="101C2C"/>
                <w:sz w:val="17"/>
              </w:rPr>
              <w:t>13–16</w:t>
            </w:r>
          </w:p>
        </w:tc>
        <w:tc>
          <w:tcPr>
            <w:tcW w:type="dxa" w:w="9216"/>
            <w:vAlign w:val="center"/>
          </w:tcPr>
          <w:p>
            <w:pPr>
              <w:spacing w:after="0"/>
            </w:pPr>
            <w:r/>
            <w:r>
              <w:rPr>
                <w:rFonts w:ascii="Arial" w:hAnsi="Arial"/>
                <w:b w:val="0"/>
                <w:color w:val="101C2C"/>
                <w:sz w:val="17"/>
              </w:rPr>
              <w:t>MVP scope, roadmap, acceptance criteria and implementation decisions</w:t>
            </w:r>
          </w:p>
        </w:tc>
      </w:tr>
    </w:tbl>
    <w:p>
      <w:pPr>
        <w:spacing w:after="0"/>
      </w:pPr>
    </w:p>
    <w:p>
      <w:pPr>
        <w:pStyle w:val="Heading1"/>
      </w:pPr>
      <w:r>
        <w:t>1. Executive Summary</w:t>
      </w:r>
    </w:p>
    <w:p>
      <w:r>
        <w:t>Gruber AI Procurement Intelligence System is a multi-company internal web application designed to turn purchasing and inventory into a strategic enterprise capability. The product will create one trusted operating layer across Gruber Communications, Gruber Power Services, Gruber Technical Services, Gruber Motor Company and EV Preserve while preserving the specialized workflows required by each business.</w:t>
      </w:r>
    </w:p>
    <w:tbl>
      <w:tblPr>
        <w:tblW w:type="auto" w:w="0"/>
        <w:jc w:val="center"/>
        <w:tblLook w:firstColumn="1" w:firstRow="1" w:lastColumn="0" w:lastRow="0" w:noHBand="0" w:noVBand="1" w:val="04A0"/>
      </w:tblPr>
      <w:tblGrid>
        <w:gridCol w:w="10310"/>
      </w:tblGrid>
      <w:tr>
        <w:tc>
          <w:tcPr>
            <w:tcW w:type="dxa" w:w="10310"/>
            <w:shd w:fill="EAF4F8"/>
          </w:tcPr>
          <w:p>
            <w:pPr>
              <w:spacing w:after="0"/>
            </w:pPr>
            <w:r/>
            <w:r>
              <w:rPr>
                <w:rFonts w:ascii="Arial" w:hAnsi="Arial"/>
                <w:b/>
                <w:color w:val="096C94"/>
                <w:sz w:val="20"/>
              </w:rPr>
              <w:t>Core transformation</w:t>
              <w:br/>
            </w:r>
            <w:r>
              <w:rPr>
                <w:rFonts w:ascii="Arial" w:hAnsi="Arial"/>
                <w:color w:val="101C2C"/>
                <w:sz w:val="18"/>
              </w:rPr>
              <w:t>Reports will not be static endpoints. Each exception will connect to supporting records, ownership, action, evidence, financial impact and closure. Structured workflows will then provide the foundation for human-supervised AI agents.</w:t>
            </w:r>
          </w:p>
        </w:tc>
      </w:tr>
    </w:tbl>
    <w:p>
      <w:pPr>
        <w:spacing w:after="0"/>
      </w:pPr>
    </w:p>
    <w:p>
      <w:pPr>
        <w:pStyle w:val="ListBullet"/>
        <w:spacing w:after="40"/>
        <w:ind w:left="317" w:hanging="187"/>
      </w:pPr>
      <w:r>
        <w:rPr>
          <w:rFonts w:ascii="Arial" w:hAnsi="Arial"/>
          <w:color w:val="101C2C"/>
          <w:sz w:val="18"/>
        </w:rPr>
        <w:t>Centralize master data, supplier leverage, policy, reporting and AI intelligence.</w:t>
      </w:r>
    </w:p>
    <w:p>
      <w:pPr>
        <w:pStyle w:val="ListBullet"/>
        <w:spacing w:after="40"/>
        <w:ind w:left="317" w:hanging="187"/>
      </w:pPr>
      <w:r>
        <w:rPr>
          <w:rFonts w:ascii="Arial" w:hAnsi="Arial"/>
          <w:color w:val="101C2C"/>
          <w:sz w:val="18"/>
        </w:rPr>
        <w:t>Preserve company-level execution for manufacturing, service, construction, automotive and storage operations.</w:t>
      </w:r>
    </w:p>
    <w:p>
      <w:pPr>
        <w:pStyle w:val="ListBullet"/>
        <w:spacing w:after="40"/>
        <w:ind w:left="317" w:hanging="187"/>
      </w:pPr>
      <w:r>
        <w:rPr>
          <w:rFonts w:ascii="Arial" w:hAnsi="Arial"/>
          <w:color w:val="101C2C"/>
          <w:sz w:val="18"/>
        </w:rPr>
        <w:t>Create reliable financial and operational baselines before introducing predictive or autonomous behavior.</w:t>
      </w:r>
    </w:p>
    <w:p>
      <w:pPr>
        <w:pStyle w:val="ListBullet"/>
        <w:spacing w:after="40"/>
        <w:ind w:left="317" w:hanging="187"/>
      </w:pPr>
      <w:r>
        <w:rPr>
          <w:rFonts w:ascii="Arial" w:hAnsi="Arial"/>
          <w:color w:val="101C2C"/>
          <w:sz w:val="18"/>
        </w:rPr>
        <w:t>Use AI to analyze, summarize and recommend; require people to approve and execute.</w:t>
      </w:r>
    </w:p>
    <w:p>
      <w:pPr>
        <w:pStyle w:val="Heading1"/>
      </w:pPr>
      <w:r>
        <w:t>2. Product Goals and Success Measures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1944"/>
            <w:vAlign w:val="center"/>
            <w:shd w:fill="10253D"/>
          </w:tcPr>
          <w:p>
            <w:pPr>
              <w:spacing w:after="0"/>
            </w:pPr>
            <w:r/>
            <w:r>
              <w:rPr>
                <w:rFonts w:ascii="Arial" w:hAnsi="Arial"/>
                <w:b/>
                <w:color w:val="FFFFFF"/>
                <w:sz w:val="16"/>
              </w:rPr>
              <w:t>Goal</w:t>
            </w:r>
          </w:p>
        </w:tc>
        <w:tc>
          <w:tcPr>
            <w:tcW w:type="dxa" w:w="4320"/>
            <w:vAlign w:val="center"/>
            <w:shd w:fill="10253D"/>
          </w:tcPr>
          <w:p>
            <w:pPr>
              <w:spacing w:after="0"/>
            </w:pPr>
            <w:r/>
            <w:r>
              <w:rPr>
                <w:rFonts w:ascii="Arial" w:hAnsi="Arial"/>
                <w:b/>
                <w:color w:val="FFFFFF"/>
                <w:sz w:val="16"/>
              </w:rPr>
              <w:t>Product Capability</w:t>
            </w:r>
          </w:p>
        </w:tc>
        <w:tc>
          <w:tcPr>
            <w:tcW w:type="dxa" w:w="4392"/>
            <w:vAlign w:val="center"/>
            <w:shd w:fill="10253D"/>
          </w:tcPr>
          <w:p>
            <w:pPr>
              <w:spacing w:after="0"/>
            </w:pPr>
            <w:r/>
            <w:r>
              <w:rPr>
                <w:rFonts w:ascii="Arial" w:hAnsi="Arial"/>
                <w:b/>
                <w:color w:val="FFFFFF"/>
                <w:sz w:val="16"/>
              </w:rPr>
              <w:t>Measure of Success</w:t>
            </w:r>
          </w:p>
        </w:tc>
      </w:tr>
      <w:tr>
        <w:tc>
          <w:tcPr>
            <w:tcW w:type="dxa" w:w="1944"/>
            <w:vAlign w:val="center"/>
          </w:tcPr>
          <w:p>
            <w:pPr>
              <w:spacing w:after="0"/>
            </w:pPr>
            <w:r/>
            <w:r>
              <w:rPr>
                <w:rFonts w:ascii="Arial" w:hAnsi="Arial"/>
                <w:b w:val="0"/>
                <w:color w:val="101C2C"/>
                <w:sz w:val="15"/>
              </w:rPr>
              <w:t>Enterprise visibility</w:t>
            </w:r>
          </w:p>
        </w:tc>
        <w:tc>
          <w:tcPr>
            <w:tcW w:type="dxa" w:w="4320"/>
            <w:vAlign w:val="center"/>
          </w:tcPr>
          <w:p>
            <w:pPr>
              <w:spacing w:after="0"/>
            </w:pPr>
            <w:r/>
            <w:r>
              <w:rPr>
                <w:rFonts w:ascii="Arial" w:hAnsi="Arial"/>
                <w:b w:val="0"/>
                <w:color w:val="101C2C"/>
                <w:sz w:val="15"/>
              </w:rPr>
              <w:t>Shared dashboards, normalized data and company filtering</w:t>
            </w:r>
          </w:p>
        </w:tc>
        <w:tc>
          <w:tcPr>
            <w:tcW w:type="dxa" w:w="4392"/>
            <w:vAlign w:val="center"/>
          </w:tcPr>
          <w:p>
            <w:pPr>
              <w:spacing w:after="0"/>
            </w:pPr>
            <w:r/>
            <w:r>
              <w:rPr>
                <w:rFonts w:ascii="Arial" w:hAnsi="Arial"/>
                <w:b w:val="0"/>
                <w:color w:val="101C2C"/>
                <w:sz w:val="15"/>
              </w:rPr>
              <w:t>Leadership can reconcile spend, inventory and savings to source data.</w:t>
            </w:r>
          </w:p>
        </w:tc>
      </w:tr>
      <w:tr>
        <w:tc>
          <w:tcPr>
            <w:tcW w:type="dxa" w:w="1944"/>
            <w:vAlign w:val="center"/>
          </w:tcPr>
          <w:p>
            <w:pPr>
              <w:spacing w:after="0"/>
            </w:pPr>
            <w:r/>
            <w:r>
              <w:rPr>
                <w:rFonts w:ascii="Arial" w:hAnsi="Arial"/>
                <w:b w:val="0"/>
                <w:color w:val="101C2C"/>
                <w:sz w:val="15"/>
              </w:rPr>
              <w:t>Supplier leverage</w:t>
            </w:r>
          </w:p>
        </w:tc>
        <w:tc>
          <w:tcPr>
            <w:tcW w:type="dxa" w:w="4320"/>
            <w:vAlign w:val="center"/>
          </w:tcPr>
          <w:p>
            <w:pPr>
              <w:spacing w:after="0"/>
            </w:pPr>
            <w:r/>
            <w:r>
              <w:rPr>
                <w:rFonts w:ascii="Arial" w:hAnsi="Arial"/>
                <w:b w:val="0"/>
                <w:color w:val="101C2C"/>
                <w:sz w:val="15"/>
              </w:rPr>
              <w:t>Supplier master, contracts, scorecards and negotiation workspace</w:t>
            </w:r>
          </w:p>
        </w:tc>
        <w:tc>
          <w:tcPr>
            <w:tcW w:type="dxa" w:w="4392"/>
            <w:vAlign w:val="center"/>
          </w:tcPr>
          <w:p>
            <w:pPr>
              <w:spacing w:after="0"/>
            </w:pPr>
            <w:r/>
            <w:r>
              <w:rPr>
                <w:rFonts w:ascii="Arial" w:hAnsi="Arial"/>
                <w:b w:val="0"/>
                <w:color w:val="101C2C"/>
                <w:sz w:val="15"/>
              </w:rPr>
              <w:t>Lower fragmentation, stronger terms and measurable supplier improvement.</w:t>
            </w:r>
          </w:p>
        </w:tc>
      </w:tr>
      <w:tr>
        <w:tc>
          <w:tcPr>
            <w:tcW w:type="dxa" w:w="1944"/>
            <w:vAlign w:val="center"/>
          </w:tcPr>
          <w:p>
            <w:pPr>
              <w:spacing w:after="0"/>
            </w:pPr>
            <w:r/>
            <w:r>
              <w:rPr>
                <w:rFonts w:ascii="Arial" w:hAnsi="Arial"/>
                <w:b w:val="0"/>
                <w:color w:val="101C2C"/>
                <w:sz w:val="15"/>
              </w:rPr>
              <w:t>Inventory performance</w:t>
            </w:r>
          </w:p>
        </w:tc>
        <w:tc>
          <w:tcPr>
            <w:tcW w:type="dxa" w:w="4320"/>
            <w:vAlign w:val="center"/>
          </w:tcPr>
          <w:p>
            <w:pPr>
              <w:spacing w:after="0"/>
            </w:pPr>
            <w:r/>
            <w:r>
              <w:rPr>
                <w:rFonts w:ascii="Arial" w:hAnsi="Arial"/>
                <w:b w:val="0"/>
                <w:color w:val="101C2C"/>
                <w:sz w:val="15"/>
              </w:rPr>
              <w:t>Location balances, aging, transfers, cycle counts and strategic legacy controls</w:t>
            </w:r>
          </w:p>
        </w:tc>
        <w:tc>
          <w:tcPr>
            <w:tcW w:type="dxa" w:w="4392"/>
            <w:vAlign w:val="center"/>
          </w:tcPr>
          <w:p>
            <w:pPr>
              <w:spacing w:after="0"/>
            </w:pPr>
            <w:r/>
            <w:r>
              <w:rPr>
                <w:rFonts w:ascii="Arial" w:hAnsi="Arial"/>
                <w:b w:val="0"/>
                <w:color w:val="101C2C"/>
                <w:sz w:val="15"/>
              </w:rPr>
              <w:t>Higher accuracy and availability with lower avoidable inventory investment.</w:t>
            </w:r>
          </w:p>
        </w:tc>
      </w:tr>
      <w:tr>
        <w:tc>
          <w:tcPr>
            <w:tcW w:type="dxa" w:w="1944"/>
            <w:vAlign w:val="center"/>
          </w:tcPr>
          <w:p>
            <w:pPr>
              <w:spacing w:after="0"/>
            </w:pPr>
            <w:r/>
            <w:r>
              <w:rPr>
                <w:rFonts w:ascii="Arial" w:hAnsi="Arial"/>
                <w:b w:val="0"/>
                <w:color w:val="101C2C"/>
                <w:sz w:val="15"/>
              </w:rPr>
              <w:t>Operational reliability</w:t>
            </w:r>
          </w:p>
        </w:tc>
        <w:tc>
          <w:tcPr>
            <w:tcW w:type="dxa" w:w="4320"/>
            <w:vAlign w:val="center"/>
          </w:tcPr>
          <w:p>
            <w:pPr>
              <w:spacing w:after="0"/>
            </w:pPr>
            <w:r/>
            <w:r>
              <w:rPr>
                <w:rFonts w:ascii="Arial" w:hAnsi="Arial"/>
                <w:b w:val="0"/>
                <w:color w:val="101C2C"/>
                <w:sz w:val="15"/>
              </w:rPr>
              <w:t>Open PO, stockout, project and service-impact workflows</w:t>
            </w:r>
          </w:p>
        </w:tc>
        <w:tc>
          <w:tcPr>
            <w:tcW w:type="dxa" w:w="4392"/>
            <w:vAlign w:val="center"/>
          </w:tcPr>
          <w:p>
            <w:pPr>
              <w:spacing w:after="0"/>
            </w:pPr>
            <w:r/>
            <w:r>
              <w:rPr>
                <w:rFonts w:ascii="Arial" w:hAnsi="Arial"/>
                <w:b w:val="0"/>
                <w:color w:val="101C2C"/>
                <w:sz w:val="15"/>
              </w:rPr>
              <w:t>Fewer preventable delays and expedited purchases.</w:t>
            </w:r>
          </w:p>
        </w:tc>
      </w:tr>
      <w:tr>
        <w:tc>
          <w:tcPr>
            <w:tcW w:type="dxa" w:w="1944"/>
            <w:vAlign w:val="center"/>
          </w:tcPr>
          <w:p>
            <w:pPr>
              <w:spacing w:after="0"/>
            </w:pPr>
            <w:r/>
            <w:r>
              <w:rPr>
                <w:rFonts w:ascii="Arial" w:hAnsi="Arial"/>
                <w:b w:val="0"/>
                <w:color w:val="101C2C"/>
                <w:sz w:val="15"/>
              </w:rPr>
              <w:t>Financial accountability</w:t>
            </w:r>
          </w:p>
        </w:tc>
        <w:tc>
          <w:tcPr>
            <w:tcW w:type="dxa" w:w="4320"/>
            <w:vAlign w:val="center"/>
          </w:tcPr>
          <w:p>
            <w:pPr>
              <w:spacing w:after="0"/>
            </w:pPr>
            <w:r/>
            <w:r>
              <w:rPr>
                <w:rFonts w:ascii="Arial" w:hAnsi="Arial"/>
                <w:b w:val="0"/>
                <w:color w:val="101C2C"/>
                <w:sz w:val="15"/>
              </w:rPr>
              <w:t>Savings pipeline and Accounting validation</w:t>
            </w:r>
          </w:p>
        </w:tc>
        <w:tc>
          <w:tcPr>
            <w:tcW w:type="dxa" w:w="4392"/>
            <w:vAlign w:val="center"/>
          </w:tcPr>
          <w:p>
            <w:pPr>
              <w:spacing w:after="0"/>
            </w:pPr>
            <w:r/>
            <w:r>
              <w:rPr>
                <w:rFonts w:ascii="Arial" w:hAnsi="Arial"/>
                <w:b w:val="0"/>
                <w:color w:val="101C2C"/>
                <w:sz w:val="15"/>
              </w:rPr>
              <w:t>Only validated, repeatable benefits are reported as realized savings.</w:t>
            </w:r>
          </w:p>
        </w:tc>
      </w:tr>
      <w:tr>
        <w:tc>
          <w:tcPr>
            <w:tcW w:type="dxa" w:w="1944"/>
            <w:vAlign w:val="center"/>
          </w:tcPr>
          <w:p>
            <w:pPr>
              <w:spacing w:after="0"/>
            </w:pPr>
            <w:r/>
            <w:r>
              <w:rPr>
                <w:rFonts w:ascii="Arial" w:hAnsi="Arial"/>
                <w:b w:val="0"/>
                <w:color w:val="101C2C"/>
                <w:sz w:val="15"/>
              </w:rPr>
              <w:t>AI readiness</w:t>
            </w:r>
          </w:p>
        </w:tc>
        <w:tc>
          <w:tcPr>
            <w:tcW w:type="dxa" w:w="4320"/>
            <w:vAlign w:val="center"/>
          </w:tcPr>
          <w:p>
            <w:pPr>
              <w:spacing w:after="0"/>
            </w:pPr>
            <w:r/>
            <w:r>
              <w:rPr>
                <w:rFonts w:ascii="Arial" w:hAnsi="Arial"/>
                <w:b w:val="0"/>
                <w:color w:val="101C2C"/>
                <w:sz w:val="15"/>
              </w:rPr>
              <w:t>Evidence-based findings, prompt/version records and human review</w:t>
            </w:r>
          </w:p>
        </w:tc>
        <w:tc>
          <w:tcPr>
            <w:tcW w:type="dxa" w:w="4392"/>
            <w:vAlign w:val="center"/>
          </w:tcPr>
          <w:p>
            <w:pPr>
              <w:spacing w:after="0"/>
            </w:pPr>
            <w:r/>
            <w:r>
              <w:rPr>
                <w:rFonts w:ascii="Arial" w:hAnsi="Arial"/>
                <w:b w:val="0"/>
                <w:color w:val="101C2C"/>
                <w:sz w:val="15"/>
              </w:rPr>
              <w:t>AI recommendations are explainable, auditable and actionable.</w:t>
            </w:r>
          </w:p>
        </w:tc>
      </w:tr>
    </w:tbl>
    <w:p>
      <w:pPr>
        <w:spacing w:after="0"/>
      </w:pPr>
    </w:p>
    <w:p>
      <w:pPr>
        <w:pStyle w:val="Heading1"/>
      </w:pPr>
      <w:r>
        <w:t>3. Operating Principles</w:t>
      </w:r>
    </w:p>
    <w:p>
      <w:pPr>
        <w:pStyle w:val="ListBullet"/>
        <w:spacing w:after="40"/>
        <w:ind w:left="317" w:hanging="187"/>
      </w:pPr>
      <w:r>
        <w:rPr>
          <w:rFonts w:ascii="Arial" w:hAnsi="Arial"/>
          <w:color w:val="101C2C"/>
          <w:sz w:val="18"/>
        </w:rPr>
        <w:t>Centralize intelligence without centralizing every operational decision.</w:t>
      </w:r>
    </w:p>
    <w:p>
      <w:pPr>
        <w:pStyle w:val="ListBullet"/>
        <w:spacing w:after="40"/>
        <w:ind w:left="317" w:hanging="187"/>
      </w:pPr>
      <w:r>
        <w:rPr>
          <w:rFonts w:ascii="Arial" w:hAnsi="Arial"/>
          <w:color w:val="101C2C"/>
          <w:sz w:val="18"/>
        </w:rPr>
        <w:t>Use one normalized supplier, item, category, company, location and business-purpose structure.</w:t>
      </w:r>
    </w:p>
    <w:p>
      <w:pPr>
        <w:pStyle w:val="ListBullet"/>
        <w:spacing w:after="40"/>
        <w:ind w:left="317" w:hanging="187"/>
      </w:pPr>
      <w:r>
        <w:rPr>
          <w:rFonts w:ascii="Arial" w:hAnsi="Arial"/>
          <w:color w:val="101C2C"/>
          <w:sz w:val="18"/>
        </w:rPr>
        <w:t>Connect every material purchase to inventory, a customer order, manufacturing order, service work order, construction project, vehicle repair/restoration, facility expense or capital investment.</w:t>
      </w:r>
    </w:p>
    <w:p>
      <w:pPr>
        <w:pStyle w:val="ListBullet"/>
        <w:spacing w:after="40"/>
        <w:ind w:left="317" w:hanging="187"/>
      </w:pPr>
      <w:r>
        <w:rPr>
          <w:rFonts w:ascii="Arial" w:hAnsi="Arial"/>
          <w:color w:val="101C2C"/>
          <w:sz w:val="18"/>
        </w:rPr>
        <w:t>Search approved enterprise inventory before creating avoidable duplicate purchases.</w:t>
      </w:r>
    </w:p>
    <w:p>
      <w:pPr>
        <w:pStyle w:val="ListBullet"/>
        <w:spacing w:after="40"/>
        <w:ind w:left="317" w:hanging="187"/>
      </w:pPr>
      <w:r>
        <w:rPr>
          <w:rFonts w:ascii="Arial" w:hAnsi="Arial"/>
          <w:color w:val="101C2C"/>
          <w:sz w:val="18"/>
        </w:rPr>
        <w:t>Protect strategic legacy inventory from automatic obsolescence or transfer decisions.</w:t>
      </w:r>
    </w:p>
    <w:p>
      <w:pPr>
        <w:pStyle w:val="ListBullet"/>
        <w:spacing w:after="40"/>
        <w:ind w:left="317" w:hanging="187"/>
      </w:pPr>
      <w:r>
        <w:rPr>
          <w:rFonts w:ascii="Arial" w:hAnsi="Arial"/>
          <w:color w:val="101C2C"/>
          <w:sz w:val="18"/>
        </w:rPr>
        <w:t>Require Accounting validation before reporting realized savings.</w:t>
      </w:r>
    </w:p>
    <w:p>
      <w:pPr>
        <w:pStyle w:val="ListBullet"/>
        <w:spacing w:after="40"/>
        <w:ind w:left="317" w:hanging="187"/>
      </w:pPr>
      <w:r>
        <w:rPr>
          <w:rFonts w:ascii="Arial" w:hAnsi="Arial"/>
          <w:color w:val="101C2C"/>
          <w:sz w:val="18"/>
        </w:rPr>
        <w:t>Retain an immutable audit trail for approvals, imports, adjustments, findings and financial decisions.</w:t>
      </w:r>
    </w:p>
    <w:p>
      <w:pPr>
        <w:pStyle w:val="ListBullet"/>
        <w:spacing w:after="40"/>
        <w:ind w:left="317" w:hanging="187"/>
      </w:pPr>
      <w:r>
        <w:rPr>
          <w:rFonts w:ascii="Arial" w:hAnsi="Arial"/>
          <w:color w:val="101C2C"/>
          <w:sz w:val="18"/>
        </w:rPr>
        <w:t>AI recommends; authorized Gruber personnel approve and execute.</w:t>
      </w:r>
    </w:p>
    <w:p>
      <w:pPr>
        <w:pStyle w:val="Heading1"/>
      </w:pPr>
      <w:r>
        <w:t>4. Business Scope</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232"/>
            <w:vAlign w:val="center"/>
            <w:shd w:fill="10253D"/>
          </w:tcPr>
          <w:p>
            <w:pPr>
              <w:spacing w:after="0"/>
            </w:pPr>
            <w:r/>
            <w:r>
              <w:rPr>
                <w:rFonts w:ascii="Arial" w:hAnsi="Arial"/>
                <w:b/>
                <w:color w:val="FFFFFF"/>
                <w:sz w:val="16"/>
              </w:rPr>
              <w:t>Business</w:t>
            </w:r>
          </w:p>
        </w:tc>
        <w:tc>
          <w:tcPr>
            <w:tcW w:type="dxa" w:w="3888"/>
            <w:vAlign w:val="center"/>
            <w:shd w:fill="10253D"/>
          </w:tcPr>
          <w:p>
            <w:pPr>
              <w:spacing w:after="0"/>
            </w:pPr>
            <w:r/>
            <w:r>
              <w:rPr>
                <w:rFonts w:ascii="Arial" w:hAnsi="Arial"/>
                <w:b/>
                <w:color w:val="FFFFFF"/>
                <w:sz w:val="16"/>
              </w:rPr>
              <w:t>Primary Operational Model</w:t>
            </w:r>
          </w:p>
        </w:tc>
        <w:tc>
          <w:tcPr>
            <w:tcW w:type="dxa" w:w="4536"/>
            <w:vAlign w:val="center"/>
            <w:shd w:fill="10253D"/>
          </w:tcPr>
          <w:p>
            <w:pPr>
              <w:spacing w:after="0"/>
            </w:pPr>
            <w:r/>
            <w:r>
              <w:rPr>
                <w:rFonts w:ascii="Arial" w:hAnsi="Arial"/>
                <w:b/>
                <w:color w:val="FFFFFF"/>
                <w:sz w:val="16"/>
              </w:rPr>
              <w:t>Priority Capabilities</w:t>
            </w:r>
          </w:p>
        </w:tc>
      </w:tr>
      <w:tr>
        <w:tc>
          <w:tcPr>
            <w:tcW w:type="dxa" w:w="2232"/>
            <w:vAlign w:val="center"/>
          </w:tcPr>
          <w:p>
            <w:pPr>
              <w:spacing w:after="0"/>
            </w:pPr>
            <w:r/>
            <w:r>
              <w:rPr>
                <w:rFonts w:ascii="Arial" w:hAnsi="Arial"/>
                <w:b w:val="0"/>
                <w:color w:val="101C2C"/>
                <w:sz w:val="15"/>
              </w:rPr>
              <w:t>Gruber Communications</w:t>
            </w:r>
          </w:p>
        </w:tc>
        <w:tc>
          <w:tcPr>
            <w:tcW w:type="dxa" w:w="3888"/>
            <w:vAlign w:val="center"/>
          </w:tcPr>
          <w:p>
            <w:pPr>
              <w:spacing w:after="0"/>
            </w:pPr>
            <w:r/>
            <w:r>
              <w:rPr>
                <w:rFonts w:ascii="Arial" w:hAnsi="Arial"/>
                <w:b w:val="0"/>
                <w:color w:val="101C2C"/>
                <w:sz w:val="15"/>
              </w:rPr>
              <w:t>Manufacturing, distribution, custom assemblies and e-commerce</w:t>
            </w:r>
          </w:p>
        </w:tc>
        <w:tc>
          <w:tcPr>
            <w:tcW w:type="dxa" w:w="4536"/>
            <w:vAlign w:val="center"/>
          </w:tcPr>
          <w:p>
            <w:pPr>
              <w:spacing w:after="0"/>
            </w:pPr>
            <w:r/>
            <w:r>
              <w:rPr>
                <w:rFonts w:ascii="Arial" w:hAnsi="Arial"/>
                <w:b w:val="0"/>
                <w:color w:val="101C2C"/>
                <w:sz w:val="15"/>
              </w:rPr>
              <w:t>Raw material usage, finished-goods availability, BOM/material yield, price and supplier analysis.</w:t>
            </w:r>
          </w:p>
        </w:tc>
      </w:tr>
      <w:tr>
        <w:tc>
          <w:tcPr>
            <w:tcW w:type="dxa" w:w="2232"/>
            <w:vAlign w:val="center"/>
          </w:tcPr>
          <w:p>
            <w:pPr>
              <w:spacing w:after="0"/>
            </w:pPr>
            <w:r/>
            <w:r>
              <w:rPr>
                <w:rFonts w:ascii="Arial" w:hAnsi="Arial"/>
                <w:b w:val="0"/>
                <w:color w:val="101C2C"/>
                <w:sz w:val="15"/>
              </w:rPr>
              <w:t>Gruber Power Services</w:t>
            </w:r>
          </w:p>
        </w:tc>
        <w:tc>
          <w:tcPr>
            <w:tcW w:type="dxa" w:w="3888"/>
            <w:vAlign w:val="center"/>
          </w:tcPr>
          <w:p>
            <w:pPr>
              <w:spacing w:after="0"/>
            </w:pPr>
            <w:r/>
            <w:r>
              <w:rPr>
                <w:rFonts w:ascii="Arial" w:hAnsi="Arial"/>
                <w:b w:val="0"/>
                <w:color w:val="101C2C"/>
                <w:sz w:val="15"/>
              </w:rPr>
              <w:t>Critical power equipment, service, repair, field inventory and asset recovery</w:t>
            </w:r>
          </w:p>
        </w:tc>
        <w:tc>
          <w:tcPr>
            <w:tcW w:type="dxa" w:w="4536"/>
            <w:vAlign w:val="center"/>
          </w:tcPr>
          <w:p>
            <w:pPr>
              <w:spacing w:after="0"/>
            </w:pPr>
            <w:r/>
            <w:r>
              <w:rPr>
                <w:rFonts w:ascii="Arial" w:hAnsi="Arial"/>
                <w:b w:val="0"/>
                <w:color w:val="101C2C"/>
                <w:sz w:val="15"/>
              </w:rPr>
              <w:t>High-value inventory, service-critical parts, legacy components, repair-vs-replace and supplier delivery.</w:t>
            </w:r>
          </w:p>
        </w:tc>
      </w:tr>
      <w:tr>
        <w:tc>
          <w:tcPr>
            <w:tcW w:type="dxa" w:w="2232"/>
            <w:vAlign w:val="center"/>
          </w:tcPr>
          <w:p>
            <w:pPr>
              <w:spacing w:after="0"/>
            </w:pPr>
            <w:r/>
            <w:r>
              <w:rPr>
                <w:rFonts w:ascii="Arial" w:hAnsi="Arial"/>
                <w:b w:val="0"/>
                <w:color w:val="101C2C"/>
                <w:sz w:val="15"/>
              </w:rPr>
              <w:t>Gruber Technical Services</w:t>
            </w:r>
          </w:p>
        </w:tc>
        <w:tc>
          <w:tcPr>
            <w:tcW w:type="dxa" w:w="3888"/>
            <w:vAlign w:val="center"/>
          </w:tcPr>
          <w:p>
            <w:pPr>
              <w:spacing w:after="0"/>
            </w:pPr>
            <w:r/>
            <w:r>
              <w:rPr>
                <w:rFonts w:ascii="Arial" w:hAnsi="Arial"/>
                <w:b w:val="0"/>
                <w:color w:val="101C2C"/>
                <w:sz w:val="15"/>
              </w:rPr>
              <w:t>Construction projects, electrical, structured cabling and flooring</w:t>
            </w:r>
          </w:p>
        </w:tc>
        <w:tc>
          <w:tcPr>
            <w:tcW w:type="dxa" w:w="4536"/>
            <w:vAlign w:val="center"/>
          </w:tcPr>
          <w:p>
            <w:pPr>
              <w:spacing w:after="0"/>
            </w:pPr>
            <w:r/>
            <w:r>
              <w:rPr>
                <w:rFonts w:ascii="Arial" w:hAnsi="Arial"/>
                <w:b w:val="0"/>
                <w:color w:val="101C2C"/>
                <w:sz w:val="15"/>
              </w:rPr>
              <w:t>Project commitments, material budget, delivery risk, returns, scrap, change orders and job margin.</w:t>
            </w:r>
          </w:p>
        </w:tc>
      </w:tr>
      <w:tr>
        <w:tc>
          <w:tcPr>
            <w:tcW w:type="dxa" w:w="2232"/>
            <w:vAlign w:val="center"/>
          </w:tcPr>
          <w:p>
            <w:pPr>
              <w:spacing w:after="0"/>
            </w:pPr>
            <w:r/>
            <w:r>
              <w:rPr>
                <w:rFonts w:ascii="Arial" w:hAnsi="Arial"/>
                <w:b w:val="0"/>
                <w:color w:val="101C2C"/>
                <w:sz w:val="15"/>
              </w:rPr>
              <w:t>Gruber Motor Company</w:t>
            </w:r>
          </w:p>
        </w:tc>
        <w:tc>
          <w:tcPr>
            <w:tcW w:type="dxa" w:w="3888"/>
            <w:vAlign w:val="center"/>
          </w:tcPr>
          <w:p>
            <w:pPr>
              <w:spacing w:after="0"/>
            </w:pPr>
            <w:r/>
            <w:r>
              <w:rPr>
                <w:rFonts w:ascii="Arial" w:hAnsi="Arial"/>
                <w:b w:val="0"/>
                <w:color w:val="101C2C"/>
                <w:sz w:val="15"/>
              </w:rPr>
              <w:t>Tesla/EV repair, Roadster preservation, restoration, donor parts and e-commerce</w:t>
            </w:r>
          </w:p>
        </w:tc>
        <w:tc>
          <w:tcPr>
            <w:tcW w:type="dxa" w:w="4536"/>
            <w:vAlign w:val="center"/>
          </w:tcPr>
          <w:p>
            <w:pPr>
              <w:spacing w:after="0"/>
            </w:pPr>
            <w:r/>
            <w:r>
              <w:rPr>
                <w:rFonts w:ascii="Arial" w:hAnsi="Arial"/>
                <w:b w:val="0"/>
                <w:color w:val="101C2C"/>
                <w:sz w:val="15"/>
              </w:rPr>
              <w:t>Legacy part control, donor harvest, work-order usage, restoration material variance and parts availability.</w:t>
            </w:r>
          </w:p>
        </w:tc>
      </w:tr>
      <w:tr>
        <w:tc>
          <w:tcPr>
            <w:tcW w:type="dxa" w:w="2232"/>
            <w:vAlign w:val="center"/>
          </w:tcPr>
          <w:p>
            <w:pPr>
              <w:spacing w:after="0"/>
            </w:pPr>
            <w:r/>
            <w:r>
              <w:rPr>
                <w:rFonts w:ascii="Arial" w:hAnsi="Arial"/>
                <w:b w:val="0"/>
                <w:color w:val="101C2C"/>
                <w:sz w:val="15"/>
              </w:rPr>
              <w:t>EV Preserve</w:t>
            </w:r>
          </w:p>
        </w:tc>
        <w:tc>
          <w:tcPr>
            <w:tcW w:type="dxa" w:w="3888"/>
            <w:vAlign w:val="center"/>
          </w:tcPr>
          <w:p>
            <w:pPr>
              <w:spacing w:after="0"/>
            </w:pPr>
            <w:r/>
            <w:r>
              <w:rPr>
                <w:rFonts w:ascii="Arial" w:hAnsi="Arial"/>
                <w:b w:val="0"/>
                <w:color w:val="101C2C"/>
                <w:sz w:val="15"/>
              </w:rPr>
              <w:t>Managed EV storage, monitoring, intake, facility care and service coordination</w:t>
            </w:r>
          </w:p>
        </w:tc>
        <w:tc>
          <w:tcPr>
            <w:tcW w:type="dxa" w:w="4536"/>
            <w:vAlign w:val="center"/>
          </w:tcPr>
          <w:p>
            <w:pPr>
              <w:spacing w:after="0"/>
            </w:pPr>
            <w:r/>
            <w:r>
              <w:rPr>
                <w:rFonts w:ascii="Arial" w:hAnsi="Arial"/>
                <w:b w:val="0"/>
                <w:color w:val="101C2C"/>
                <w:sz w:val="15"/>
              </w:rPr>
              <w:t>Facility procurement, customer profitability, service referrals, transportation and operating supplies.</w:t>
            </w:r>
          </w:p>
        </w:tc>
      </w:tr>
    </w:tbl>
    <w:p>
      <w:pPr>
        <w:spacing w:after="0"/>
      </w:pPr>
    </w:p>
    <w:p>
      <w:pPr>
        <w:pStyle w:val="Heading1"/>
      </w:pPr>
      <w:r>
        <w:t>5. Users, Roles and Permissions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088"/>
            <w:vAlign w:val="center"/>
            <w:shd w:fill="10253D"/>
          </w:tcPr>
          <w:p>
            <w:pPr>
              <w:spacing w:after="0"/>
            </w:pPr>
            <w:r/>
            <w:r>
              <w:rPr>
                <w:rFonts w:ascii="Arial" w:hAnsi="Arial"/>
                <w:b/>
                <w:color w:val="FFFFFF"/>
                <w:sz w:val="16"/>
              </w:rPr>
              <w:t>Role</w:t>
            </w:r>
          </w:p>
        </w:tc>
        <w:tc>
          <w:tcPr>
            <w:tcW w:type="dxa" w:w="4680"/>
            <w:vAlign w:val="center"/>
            <w:shd w:fill="10253D"/>
          </w:tcPr>
          <w:p>
            <w:pPr>
              <w:spacing w:after="0"/>
            </w:pPr>
            <w:r/>
            <w:r>
              <w:rPr>
                <w:rFonts w:ascii="Arial" w:hAnsi="Arial"/>
                <w:b/>
                <w:color w:val="FFFFFF"/>
                <w:sz w:val="16"/>
              </w:rPr>
              <w:t>Primary Access</w:t>
            </w:r>
          </w:p>
        </w:tc>
        <w:tc>
          <w:tcPr>
            <w:tcW w:type="dxa" w:w="3888"/>
            <w:vAlign w:val="center"/>
            <w:shd w:fill="10253D"/>
          </w:tcPr>
          <w:p>
            <w:pPr>
              <w:spacing w:after="0"/>
            </w:pPr>
            <w:r/>
            <w:r>
              <w:rPr>
                <w:rFonts w:ascii="Arial" w:hAnsi="Arial"/>
                <w:b/>
                <w:color w:val="FFFFFF"/>
                <w:sz w:val="16"/>
              </w:rPr>
              <w:t>Restricted Actions</w:t>
            </w:r>
          </w:p>
        </w:tc>
      </w:tr>
      <w:tr>
        <w:tc>
          <w:tcPr>
            <w:tcW w:type="dxa" w:w="2088"/>
            <w:vAlign w:val="center"/>
          </w:tcPr>
          <w:p>
            <w:pPr>
              <w:spacing w:after="0"/>
            </w:pPr>
            <w:r/>
            <w:r>
              <w:rPr>
                <w:rFonts w:ascii="Arial" w:hAnsi="Arial"/>
                <w:b w:val="0"/>
                <w:color w:val="101C2C"/>
                <w:sz w:val="14"/>
              </w:rPr>
              <w:t>Super Admin</w:t>
            </w:r>
          </w:p>
        </w:tc>
        <w:tc>
          <w:tcPr>
            <w:tcW w:type="dxa" w:w="4680"/>
            <w:vAlign w:val="center"/>
          </w:tcPr>
          <w:p>
            <w:pPr>
              <w:spacing w:after="0"/>
            </w:pPr>
            <w:r/>
            <w:r>
              <w:rPr>
                <w:rFonts w:ascii="Arial" w:hAnsi="Arial"/>
                <w:b w:val="0"/>
                <w:color w:val="101C2C"/>
                <w:sz w:val="14"/>
              </w:rPr>
              <w:t>Enterprise configuration, users, roles, integrations and audit</w:t>
            </w:r>
          </w:p>
        </w:tc>
        <w:tc>
          <w:tcPr>
            <w:tcW w:type="dxa" w:w="3888"/>
            <w:vAlign w:val="center"/>
          </w:tcPr>
          <w:p>
            <w:pPr>
              <w:spacing w:after="0"/>
            </w:pPr>
            <w:r/>
            <w:r>
              <w:rPr>
                <w:rFonts w:ascii="Arial" w:hAnsi="Arial"/>
                <w:b w:val="0"/>
                <w:color w:val="101C2C"/>
                <w:sz w:val="14"/>
              </w:rPr>
              <w:t>Cannot bypass required financial or operational approvals without a logged emergency override.</w:t>
            </w:r>
          </w:p>
        </w:tc>
      </w:tr>
      <w:tr>
        <w:tc>
          <w:tcPr>
            <w:tcW w:type="dxa" w:w="2088"/>
            <w:vAlign w:val="center"/>
          </w:tcPr>
          <w:p>
            <w:pPr>
              <w:spacing w:after="0"/>
            </w:pPr>
            <w:r/>
            <w:r>
              <w:rPr>
                <w:rFonts w:ascii="Arial" w:hAnsi="Arial"/>
                <w:b w:val="0"/>
                <w:color w:val="101C2C"/>
                <w:sz w:val="14"/>
              </w:rPr>
              <w:t>Executive Viewer</w:t>
            </w:r>
          </w:p>
        </w:tc>
        <w:tc>
          <w:tcPr>
            <w:tcW w:type="dxa" w:w="4680"/>
            <w:vAlign w:val="center"/>
          </w:tcPr>
          <w:p>
            <w:pPr>
              <w:spacing w:after="0"/>
            </w:pPr>
            <w:r/>
            <w:r>
              <w:rPr>
                <w:rFonts w:ascii="Arial" w:hAnsi="Arial"/>
                <w:b w:val="0"/>
                <w:color w:val="101C2C"/>
                <w:sz w:val="14"/>
              </w:rPr>
              <w:t>Enterprise dashboards, published briefings and approved reports</w:t>
            </w:r>
          </w:p>
        </w:tc>
        <w:tc>
          <w:tcPr>
            <w:tcW w:type="dxa" w:w="3888"/>
            <w:vAlign w:val="center"/>
          </w:tcPr>
          <w:p>
            <w:pPr>
              <w:spacing w:after="0"/>
            </w:pPr>
            <w:r/>
            <w:r>
              <w:rPr>
                <w:rFonts w:ascii="Arial" w:hAnsi="Arial"/>
                <w:b w:val="0"/>
                <w:color w:val="101C2C"/>
                <w:sz w:val="14"/>
              </w:rPr>
              <w:t>No transactional creation, posting or validation.</w:t>
            </w:r>
          </w:p>
        </w:tc>
      </w:tr>
      <w:tr>
        <w:tc>
          <w:tcPr>
            <w:tcW w:type="dxa" w:w="2088"/>
            <w:vAlign w:val="center"/>
          </w:tcPr>
          <w:p>
            <w:pPr>
              <w:spacing w:after="0"/>
            </w:pPr>
            <w:r/>
            <w:r>
              <w:rPr>
                <w:rFonts w:ascii="Arial" w:hAnsi="Arial"/>
                <w:b w:val="0"/>
                <w:color w:val="101C2C"/>
                <w:sz w:val="14"/>
              </w:rPr>
              <w:t>Procurement Lead</w:t>
            </w:r>
          </w:p>
        </w:tc>
        <w:tc>
          <w:tcPr>
            <w:tcW w:type="dxa" w:w="4680"/>
            <w:vAlign w:val="center"/>
          </w:tcPr>
          <w:p>
            <w:pPr>
              <w:spacing w:after="0"/>
            </w:pPr>
            <w:r/>
            <w:r>
              <w:rPr>
                <w:rFonts w:ascii="Arial" w:hAnsi="Arial"/>
                <w:b w:val="0"/>
                <w:color w:val="101C2C"/>
                <w:sz w:val="14"/>
              </w:rPr>
              <w:t>Supplier strategy, requests, POs, contracts, scorecards, savings and AI review</w:t>
            </w:r>
          </w:p>
        </w:tc>
        <w:tc>
          <w:tcPr>
            <w:tcW w:type="dxa" w:w="3888"/>
            <w:vAlign w:val="center"/>
          </w:tcPr>
          <w:p>
            <w:pPr>
              <w:spacing w:after="0"/>
            </w:pPr>
            <w:r/>
            <w:r>
              <w:rPr>
                <w:rFonts w:ascii="Arial" w:hAnsi="Arial"/>
                <w:b w:val="0"/>
                <w:color w:val="101C2C"/>
                <w:sz w:val="14"/>
              </w:rPr>
              <w:t>Cannot validate Accounting savings.</w:t>
            </w:r>
          </w:p>
        </w:tc>
      </w:tr>
      <w:tr>
        <w:tc>
          <w:tcPr>
            <w:tcW w:type="dxa" w:w="2088"/>
            <w:vAlign w:val="center"/>
          </w:tcPr>
          <w:p>
            <w:pPr>
              <w:spacing w:after="0"/>
            </w:pPr>
            <w:r/>
            <w:r>
              <w:rPr>
                <w:rFonts w:ascii="Arial" w:hAnsi="Arial"/>
                <w:b w:val="0"/>
                <w:color w:val="101C2C"/>
                <w:sz w:val="14"/>
              </w:rPr>
              <w:t>Buyer</w:t>
            </w:r>
          </w:p>
        </w:tc>
        <w:tc>
          <w:tcPr>
            <w:tcW w:type="dxa" w:w="4680"/>
            <w:vAlign w:val="center"/>
          </w:tcPr>
          <w:p>
            <w:pPr>
              <w:spacing w:after="0"/>
            </w:pPr>
            <w:r/>
            <w:r>
              <w:rPr>
                <w:rFonts w:ascii="Arial" w:hAnsi="Arial"/>
                <w:b w:val="0"/>
                <w:color w:val="101C2C"/>
                <w:sz w:val="14"/>
              </w:rPr>
              <w:t>Requests, quotes, POs, supplier follow-up and assigned actions</w:t>
            </w:r>
          </w:p>
        </w:tc>
        <w:tc>
          <w:tcPr>
            <w:tcW w:type="dxa" w:w="3888"/>
            <w:vAlign w:val="center"/>
          </w:tcPr>
          <w:p>
            <w:pPr>
              <w:spacing w:after="0"/>
            </w:pPr>
            <w:r/>
            <w:r>
              <w:rPr>
                <w:rFonts w:ascii="Arial" w:hAnsi="Arial"/>
                <w:b w:val="0"/>
                <w:color w:val="101C2C"/>
                <w:sz w:val="14"/>
              </w:rPr>
              <w:t>Limited by company and approval thresholds.</w:t>
            </w:r>
          </w:p>
        </w:tc>
      </w:tr>
      <w:tr>
        <w:tc>
          <w:tcPr>
            <w:tcW w:type="dxa" w:w="2088"/>
            <w:vAlign w:val="center"/>
          </w:tcPr>
          <w:p>
            <w:pPr>
              <w:spacing w:after="0"/>
            </w:pPr>
            <w:r/>
            <w:r>
              <w:rPr>
                <w:rFonts w:ascii="Arial" w:hAnsi="Arial"/>
                <w:b w:val="0"/>
                <w:color w:val="101C2C"/>
                <w:sz w:val="14"/>
              </w:rPr>
              <w:t>Inventory Manager</w:t>
            </w:r>
          </w:p>
        </w:tc>
        <w:tc>
          <w:tcPr>
            <w:tcW w:type="dxa" w:w="4680"/>
            <w:vAlign w:val="center"/>
          </w:tcPr>
          <w:p>
            <w:pPr>
              <w:spacing w:after="0"/>
            </w:pPr>
            <w:r/>
            <w:r>
              <w:rPr>
                <w:rFonts w:ascii="Arial" w:hAnsi="Arial"/>
                <w:b w:val="0"/>
                <w:color w:val="101C2C"/>
                <w:sz w:val="14"/>
              </w:rPr>
              <w:t>Receiving, balances, transfers, cycle counts, adjustments and disposition</w:t>
            </w:r>
          </w:p>
        </w:tc>
        <w:tc>
          <w:tcPr>
            <w:tcW w:type="dxa" w:w="3888"/>
            <w:vAlign w:val="center"/>
          </w:tcPr>
          <w:p>
            <w:pPr>
              <w:spacing w:after="0"/>
            </w:pPr>
            <w:r/>
            <w:r>
              <w:rPr>
                <w:rFonts w:ascii="Arial" w:hAnsi="Arial"/>
                <w:b w:val="0"/>
                <w:color w:val="101C2C"/>
                <w:sz w:val="14"/>
              </w:rPr>
              <w:t>Cannot approve own material write-off above threshold.</w:t>
            </w:r>
          </w:p>
        </w:tc>
      </w:tr>
      <w:tr>
        <w:tc>
          <w:tcPr>
            <w:tcW w:type="dxa" w:w="2088"/>
            <w:vAlign w:val="center"/>
          </w:tcPr>
          <w:p>
            <w:pPr>
              <w:spacing w:after="0"/>
            </w:pPr>
            <w:r/>
            <w:r>
              <w:rPr>
                <w:rFonts w:ascii="Arial" w:hAnsi="Arial"/>
                <w:b w:val="0"/>
                <w:color w:val="101C2C"/>
                <w:sz w:val="14"/>
              </w:rPr>
              <w:t>Accounting Reviewer</w:t>
            </w:r>
          </w:p>
        </w:tc>
        <w:tc>
          <w:tcPr>
            <w:tcW w:type="dxa" w:w="4680"/>
            <w:vAlign w:val="center"/>
          </w:tcPr>
          <w:p>
            <w:pPr>
              <w:spacing w:after="0"/>
            </w:pPr>
            <w:r/>
            <w:r>
              <w:rPr>
                <w:rFonts w:ascii="Arial" w:hAnsi="Arial"/>
                <w:b w:val="0"/>
                <w:color w:val="101C2C"/>
                <w:sz w:val="14"/>
              </w:rPr>
              <w:t>Costs, invoice reconciliation, financial baselines and savings validation</w:t>
            </w:r>
          </w:p>
        </w:tc>
        <w:tc>
          <w:tcPr>
            <w:tcW w:type="dxa" w:w="3888"/>
            <w:vAlign w:val="center"/>
          </w:tcPr>
          <w:p>
            <w:pPr>
              <w:spacing w:after="0"/>
            </w:pPr>
            <w:r/>
            <w:r>
              <w:rPr>
                <w:rFonts w:ascii="Arial" w:hAnsi="Arial"/>
                <w:b w:val="0"/>
                <w:color w:val="101C2C"/>
                <w:sz w:val="14"/>
              </w:rPr>
              <w:t>No supplier selection or operational inventory posting unless separately authorized.</w:t>
            </w:r>
          </w:p>
        </w:tc>
      </w:tr>
      <w:tr>
        <w:tc>
          <w:tcPr>
            <w:tcW w:type="dxa" w:w="2088"/>
            <w:vAlign w:val="center"/>
          </w:tcPr>
          <w:p>
            <w:pPr>
              <w:spacing w:after="0"/>
            </w:pPr>
            <w:r/>
            <w:r>
              <w:rPr>
                <w:rFonts w:ascii="Arial" w:hAnsi="Arial"/>
                <w:b w:val="0"/>
                <w:color w:val="101C2C"/>
                <w:sz w:val="14"/>
              </w:rPr>
              <w:t>Company Manager</w:t>
            </w:r>
          </w:p>
        </w:tc>
        <w:tc>
          <w:tcPr>
            <w:tcW w:type="dxa" w:w="4680"/>
            <w:vAlign w:val="center"/>
          </w:tcPr>
          <w:p>
            <w:pPr>
              <w:spacing w:after="0"/>
            </w:pPr>
            <w:r/>
            <w:r>
              <w:rPr>
                <w:rFonts w:ascii="Arial" w:hAnsi="Arial"/>
                <w:b w:val="0"/>
                <w:color w:val="101C2C"/>
                <w:sz w:val="14"/>
              </w:rPr>
              <w:t>Company dashboards, approvals, projects and exceptions</w:t>
            </w:r>
          </w:p>
        </w:tc>
        <w:tc>
          <w:tcPr>
            <w:tcW w:type="dxa" w:w="3888"/>
            <w:vAlign w:val="center"/>
          </w:tcPr>
          <w:p>
            <w:pPr>
              <w:spacing w:after="0"/>
            </w:pPr>
            <w:r/>
            <w:r>
              <w:rPr>
                <w:rFonts w:ascii="Arial" w:hAnsi="Arial"/>
                <w:b w:val="0"/>
                <w:color w:val="101C2C"/>
                <w:sz w:val="14"/>
              </w:rPr>
              <w:t>No enterprise data outside assigned companies.</w:t>
            </w:r>
          </w:p>
        </w:tc>
      </w:tr>
      <w:tr>
        <w:tc>
          <w:tcPr>
            <w:tcW w:type="dxa" w:w="2088"/>
            <w:vAlign w:val="center"/>
          </w:tcPr>
          <w:p>
            <w:pPr>
              <w:spacing w:after="0"/>
            </w:pPr>
            <w:r/>
            <w:r>
              <w:rPr>
                <w:rFonts w:ascii="Arial" w:hAnsi="Arial"/>
                <w:b w:val="0"/>
                <w:color w:val="101C2C"/>
                <w:sz w:val="14"/>
              </w:rPr>
              <w:t>Project/Work Order Manager</w:t>
            </w:r>
          </w:p>
        </w:tc>
        <w:tc>
          <w:tcPr>
            <w:tcW w:type="dxa" w:w="4680"/>
            <w:vAlign w:val="center"/>
          </w:tcPr>
          <w:p>
            <w:pPr>
              <w:spacing w:after="0"/>
            </w:pPr>
            <w:r/>
            <w:r>
              <w:rPr>
                <w:rFonts w:ascii="Arial" w:hAnsi="Arial"/>
                <w:b w:val="0"/>
                <w:color w:val="101C2C"/>
                <w:sz w:val="14"/>
              </w:rPr>
              <w:t>Material budget, requests, issues, returns, scrap and closeout</w:t>
            </w:r>
          </w:p>
        </w:tc>
        <w:tc>
          <w:tcPr>
            <w:tcW w:type="dxa" w:w="3888"/>
            <w:vAlign w:val="center"/>
          </w:tcPr>
          <w:p>
            <w:pPr>
              <w:spacing w:after="0"/>
            </w:pPr>
            <w:r/>
            <w:r>
              <w:rPr>
                <w:rFonts w:ascii="Arial" w:hAnsi="Arial"/>
                <w:b w:val="0"/>
                <w:color w:val="101C2C"/>
                <w:sz w:val="14"/>
              </w:rPr>
              <w:t>No enterprise supplier or contract administration.</w:t>
            </w:r>
          </w:p>
        </w:tc>
      </w:tr>
      <w:tr>
        <w:tc>
          <w:tcPr>
            <w:tcW w:type="dxa" w:w="2088"/>
            <w:vAlign w:val="center"/>
          </w:tcPr>
          <w:p>
            <w:pPr>
              <w:spacing w:after="0"/>
            </w:pPr>
            <w:r/>
            <w:r>
              <w:rPr>
                <w:rFonts w:ascii="Arial" w:hAnsi="Arial"/>
                <w:b w:val="0"/>
                <w:color w:val="101C2C"/>
                <w:sz w:val="14"/>
              </w:rPr>
              <w:t>AI Reviewer</w:t>
            </w:r>
          </w:p>
        </w:tc>
        <w:tc>
          <w:tcPr>
            <w:tcW w:type="dxa" w:w="4680"/>
            <w:vAlign w:val="center"/>
          </w:tcPr>
          <w:p>
            <w:pPr>
              <w:spacing w:after="0"/>
            </w:pPr>
            <w:r/>
            <w:r>
              <w:rPr>
                <w:rFonts w:ascii="Arial" w:hAnsi="Arial"/>
                <w:b w:val="0"/>
                <w:color w:val="101C2C"/>
                <w:sz w:val="14"/>
              </w:rPr>
              <w:t>Briefing review, finding acceptance/dismissal and assignment</w:t>
            </w:r>
          </w:p>
        </w:tc>
        <w:tc>
          <w:tcPr>
            <w:tcW w:type="dxa" w:w="3888"/>
            <w:vAlign w:val="center"/>
          </w:tcPr>
          <w:p>
            <w:pPr>
              <w:spacing w:after="0"/>
            </w:pPr>
            <w:r/>
            <w:r>
              <w:rPr>
                <w:rFonts w:ascii="Arial" w:hAnsi="Arial"/>
                <w:b w:val="0"/>
                <w:color w:val="101C2C"/>
                <w:sz w:val="14"/>
              </w:rPr>
              <w:t>No direct purchasing, inventory or financial posting from an AI finding.</w:t>
            </w:r>
          </w:p>
        </w:tc>
      </w:tr>
    </w:tbl>
    <w:p>
      <w:pPr>
        <w:spacing w:after="0"/>
      </w:pPr>
    </w:p>
    <w:tbl>
      <w:tblPr>
        <w:tblW w:type="auto" w:w="0"/>
        <w:jc w:val="center"/>
        <w:tblLook w:firstColumn="1" w:firstRow="1" w:lastColumn="0" w:lastRow="0" w:noHBand="0" w:noVBand="1" w:val="04A0"/>
      </w:tblPr>
      <w:tblGrid>
        <w:gridCol w:w="10310"/>
      </w:tblGrid>
      <w:tr>
        <w:tc>
          <w:tcPr>
            <w:tcW w:type="dxa" w:w="10310"/>
            <w:shd w:fill="FFF1D6"/>
          </w:tcPr>
          <w:p>
            <w:pPr>
              <w:spacing w:after="0"/>
            </w:pPr>
            <w:r/>
            <w:r>
              <w:rPr>
                <w:rFonts w:ascii="Arial" w:hAnsi="Arial"/>
                <w:b/>
                <w:color w:val="096C94"/>
                <w:sz w:val="20"/>
              </w:rPr>
              <w:t>Permission model</w:t>
              <w:br/>
            </w:r>
            <w:r>
              <w:rPr>
                <w:rFonts w:ascii="Arial" w:hAnsi="Arial"/>
                <w:color w:val="101C2C"/>
                <w:sz w:val="18"/>
              </w:rPr>
              <w:t>Permissions must combine role, company scope, location scope, dollar threshold and action type. Enterprise visibility is not equivalent to enterprise transaction authority.</w:t>
            </w:r>
          </w:p>
        </w:tc>
      </w:tr>
    </w:tbl>
    <w:p>
      <w:pPr>
        <w:spacing w:after="0"/>
      </w:pPr>
    </w:p>
    <w:p>
      <w:pPr>
        <w:pStyle w:val="Heading1"/>
      </w:pPr>
      <w:r>
        <w:t>6. Functional Modules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448"/>
            <w:vAlign w:val="center"/>
            <w:shd w:fill="10253D"/>
          </w:tcPr>
          <w:p>
            <w:pPr>
              <w:spacing w:after="0"/>
            </w:pPr>
            <w:r/>
            <w:r>
              <w:rPr>
                <w:rFonts w:ascii="Arial" w:hAnsi="Arial"/>
                <w:b/>
                <w:color w:val="FFFFFF"/>
                <w:sz w:val="16"/>
              </w:rPr>
              <w:t>Module</w:t>
            </w:r>
          </w:p>
        </w:tc>
        <w:tc>
          <w:tcPr>
            <w:tcW w:type="dxa" w:w="8208"/>
            <w:vAlign w:val="center"/>
            <w:shd w:fill="10253D"/>
          </w:tcPr>
          <w:p>
            <w:pPr>
              <w:spacing w:after="0"/>
            </w:pPr>
            <w:r/>
            <w:r>
              <w:rPr>
                <w:rFonts w:ascii="Arial" w:hAnsi="Arial"/>
                <w:b/>
                <w:color w:val="FFFFFF"/>
                <w:sz w:val="16"/>
              </w:rPr>
              <w:t>Requirements Summary</w:t>
            </w:r>
          </w:p>
        </w:tc>
      </w:tr>
      <w:tr>
        <w:tc>
          <w:tcPr>
            <w:tcW w:type="dxa" w:w="2448"/>
            <w:vAlign w:val="center"/>
          </w:tcPr>
          <w:p>
            <w:pPr>
              <w:spacing w:after="0"/>
            </w:pPr>
            <w:r/>
            <w:r>
              <w:rPr>
                <w:rFonts w:ascii="Arial" w:hAnsi="Arial"/>
                <w:b w:val="0"/>
                <w:color w:val="101C2C"/>
                <w:sz w:val="16"/>
              </w:rPr>
              <w:t>Executive Dashboard</w:t>
            </w:r>
          </w:p>
        </w:tc>
        <w:tc>
          <w:tcPr>
            <w:tcW w:type="dxa" w:w="8208"/>
            <w:vAlign w:val="center"/>
          </w:tcPr>
          <w:p>
            <w:pPr>
              <w:spacing w:after="0"/>
            </w:pPr>
            <w:r/>
            <w:r>
              <w:rPr>
                <w:rFonts w:ascii="Arial" w:hAnsi="Arial"/>
                <w:b w:val="0"/>
                <w:color w:val="101C2C"/>
                <w:sz w:val="16"/>
              </w:rPr>
              <w:t>Spend, open commitments, inventory, aging, supplier risk, expedites, savings, company comparisons and AI summary.</w:t>
            </w:r>
          </w:p>
        </w:tc>
      </w:tr>
      <w:tr>
        <w:tc>
          <w:tcPr>
            <w:tcW w:type="dxa" w:w="2448"/>
            <w:vAlign w:val="center"/>
          </w:tcPr>
          <w:p>
            <w:pPr>
              <w:spacing w:after="0"/>
            </w:pPr>
            <w:r/>
            <w:r>
              <w:rPr>
                <w:rFonts w:ascii="Arial" w:hAnsi="Arial"/>
                <w:b w:val="0"/>
                <w:color w:val="101C2C"/>
                <w:sz w:val="16"/>
              </w:rPr>
              <w:t>Procurement</w:t>
            </w:r>
          </w:p>
        </w:tc>
        <w:tc>
          <w:tcPr>
            <w:tcW w:type="dxa" w:w="8208"/>
            <w:vAlign w:val="center"/>
          </w:tcPr>
          <w:p>
            <w:pPr>
              <w:spacing w:after="0"/>
            </w:pPr>
            <w:r/>
            <w:r>
              <w:rPr>
                <w:rFonts w:ascii="Arial" w:hAnsi="Arial"/>
                <w:b w:val="0"/>
                <w:color w:val="101C2C"/>
                <w:sz w:val="16"/>
              </w:rPr>
              <w:t>Purchase requests, approvals, quotes, purchase orders, supplier acknowledgement, receiving and import management.</w:t>
            </w:r>
          </w:p>
        </w:tc>
      </w:tr>
      <w:tr>
        <w:tc>
          <w:tcPr>
            <w:tcW w:type="dxa" w:w="2448"/>
            <w:vAlign w:val="center"/>
          </w:tcPr>
          <w:p>
            <w:pPr>
              <w:spacing w:after="0"/>
            </w:pPr>
            <w:r/>
            <w:r>
              <w:rPr>
                <w:rFonts w:ascii="Arial" w:hAnsi="Arial"/>
                <w:b w:val="0"/>
                <w:color w:val="101C2C"/>
                <w:sz w:val="16"/>
              </w:rPr>
              <w:t>Suppliers</w:t>
            </w:r>
          </w:p>
        </w:tc>
        <w:tc>
          <w:tcPr>
            <w:tcW w:type="dxa" w:w="8208"/>
            <w:vAlign w:val="center"/>
          </w:tcPr>
          <w:p>
            <w:pPr>
              <w:spacing w:after="0"/>
            </w:pPr>
            <w:r/>
            <w:r>
              <w:rPr>
                <w:rFonts w:ascii="Arial" w:hAnsi="Arial"/>
                <w:b w:val="0"/>
                <w:color w:val="101C2C"/>
                <w:sz w:val="16"/>
              </w:rPr>
              <w:t>Directory, duplicate review, profiles, company accounts, contacts, contracts, performance, quality and reviews.</w:t>
            </w:r>
          </w:p>
        </w:tc>
      </w:tr>
      <w:tr>
        <w:tc>
          <w:tcPr>
            <w:tcW w:type="dxa" w:w="2448"/>
            <w:vAlign w:val="center"/>
          </w:tcPr>
          <w:p>
            <w:pPr>
              <w:spacing w:after="0"/>
            </w:pPr>
            <w:r/>
            <w:r>
              <w:rPr>
                <w:rFonts w:ascii="Arial" w:hAnsi="Arial"/>
                <w:b w:val="0"/>
                <w:color w:val="101C2C"/>
                <w:sz w:val="16"/>
              </w:rPr>
              <w:t>Items &amp; Inventory</w:t>
            </w:r>
          </w:p>
        </w:tc>
        <w:tc>
          <w:tcPr>
            <w:tcW w:type="dxa" w:w="8208"/>
            <w:vAlign w:val="center"/>
          </w:tcPr>
          <w:p>
            <w:pPr>
              <w:spacing w:after="0"/>
            </w:pPr>
            <w:r/>
            <w:r>
              <w:rPr>
                <w:rFonts w:ascii="Arial" w:hAnsi="Arial"/>
                <w:b w:val="0"/>
                <w:color w:val="101C2C"/>
                <w:sz w:val="16"/>
              </w:rPr>
              <w:t>Item master, supplier-item pricing, balances, locations, aging, transfers, cycle counts and disposition.</w:t>
            </w:r>
          </w:p>
        </w:tc>
      </w:tr>
      <w:tr>
        <w:tc>
          <w:tcPr>
            <w:tcW w:type="dxa" w:w="2448"/>
            <w:vAlign w:val="center"/>
          </w:tcPr>
          <w:p>
            <w:pPr>
              <w:spacing w:after="0"/>
            </w:pPr>
            <w:r/>
            <w:r>
              <w:rPr>
                <w:rFonts w:ascii="Arial" w:hAnsi="Arial"/>
                <w:b w:val="0"/>
                <w:color w:val="101C2C"/>
                <w:sz w:val="16"/>
              </w:rPr>
              <w:t>Projects &amp; Work Orders</w:t>
            </w:r>
          </w:p>
        </w:tc>
        <w:tc>
          <w:tcPr>
            <w:tcW w:type="dxa" w:w="8208"/>
            <w:vAlign w:val="center"/>
          </w:tcPr>
          <w:p>
            <w:pPr>
              <w:spacing w:after="0"/>
            </w:pPr>
            <w:r/>
            <w:r>
              <w:rPr>
                <w:rFonts w:ascii="Arial" w:hAnsi="Arial"/>
                <w:b w:val="0"/>
                <w:color w:val="101C2C"/>
                <w:sz w:val="16"/>
              </w:rPr>
              <w:t>Customer, manufacturing, service, construction, vehicle, restoration, facility and capital material control.</w:t>
            </w:r>
          </w:p>
        </w:tc>
      </w:tr>
      <w:tr>
        <w:tc>
          <w:tcPr>
            <w:tcW w:type="dxa" w:w="2448"/>
            <w:vAlign w:val="center"/>
          </w:tcPr>
          <w:p>
            <w:pPr>
              <w:spacing w:after="0"/>
            </w:pPr>
            <w:r/>
            <w:r>
              <w:rPr>
                <w:rFonts w:ascii="Arial" w:hAnsi="Arial"/>
                <w:b w:val="0"/>
                <w:color w:val="101C2C"/>
                <w:sz w:val="16"/>
              </w:rPr>
              <w:t>Savings Pipeline</w:t>
            </w:r>
          </w:p>
        </w:tc>
        <w:tc>
          <w:tcPr>
            <w:tcW w:type="dxa" w:w="8208"/>
            <w:vAlign w:val="center"/>
          </w:tcPr>
          <w:p>
            <w:pPr>
              <w:spacing w:after="0"/>
            </w:pPr>
            <w:r/>
            <w:r>
              <w:rPr>
                <w:rFonts w:ascii="Arial" w:hAnsi="Arial"/>
                <w:b w:val="0"/>
                <w:color w:val="101C2C"/>
                <w:sz w:val="16"/>
              </w:rPr>
              <w:t>Opportunity stages, financial baselines, negotiation, implementation, evidence and Accounting validation.</w:t>
            </w:r>
          </w:p>
        </w:tc>
      </w:tr>
      <w:tr>
        <w:tc>
          <w:tcPr>
            <w:tcW w:type="dxa" w:w="2448"/>
            <w:vAlign w:val="center"/>
          </w:tcPr>
          <w:p>
            <w:pPr>
              <w:spacing w:after="0"/>
            </w:pPr>
            <w:r/>
            <w:r>
              <w:rPr>
                <w:rFonts w:ascii="Arial" w:hAnsi="Arial"/>
                <w:b w:val="0"/>
                <w:color w:val="101C2C"/>
                <w:sz w:val="16"/>
              </w:rPr>
              <w:t>AI Briefing Room</w:t>
            </w:r>
          </w:p>
        </w:tc>
        <w:tc>
          <w:tcPr>
            <w:tcW w:type="dxa" w:w="8208"/>
            <w:vAlign w:val="center"/>
          </w:tcPr>
          <w:p>
            <w:pPr>
              <w:spacing w:after="0"/>
            </w:pPr>
            <w:r/>
            <w:r>
              <w:rPr>
                <w:rFonts w:ascii="Arial" w:hAnsi="Arial"/>
                <w:b w:val="0"/>
                <w:color w:val="101C2C"/>
                <w:sz w:val="16"/>
              </w:rPr>
              <w:t>Briefing generation, findings queue, evidence, confidence, review, assignment, publication and archive.</w:t>
            </w:r>
          </w:p>
        </w:tc>
      </w:tr>
      <w:tr>
        <w:tc>
          <w:tcPr>
            <w:tcW w:type="dxa" w:w="2448"/>
            <w:vAlign w:val="center"/>
          </w:tcPr>
          <w:p>
            <w:pPr>
              <w:spacing w:after="0"/>
            </w:pPr>
            <w:r/>
            <w:r>
              <w:rPr>
                <w:rFonts w:ascii="Arial" w:hAnsi="Arial"/>
                <w:b w:val="0"/>
                <w:color w:val="101C2C"/>
                <w:sz w:val="16"/>
              </w:rPr>
              <w:t>Reports</w:t>
            </w:r>
          </w:p>
        </w:tc>
        <w:tc>
          <w:tcPr>
            <w:tcW w:type="dxa" w:w="8208"/>
            <w:vAlign w:val="center"/>
          </w:tcPr>
          <w:p>
            <w:pPr>
              <w:spacing w:after="0"/>
            </w:pPr>
            <w:r/>
            <w:r>
              <w:rPr>
                <w:rFonts w:ascii="Arial" w:hAnsi="Arial"/>
                <w:b w:val="0"/>
                <w:color w:val="101C2C"/>
                <w:sz w:val="16"/>
              </w:rPr>
              <w:t>Saved filters, drill-down, export, scheduled delivery, snapshots, comments and assignments.</w:t>
            </w:r>
          </w:p>
        </w:tc>
      </w:tr>
      <w:tr>
        <w:tc>
          <w:tcPr>
            <w:tcW w:type="dxa" w:w="2448"/>
            <w:vAlign w:val="center"/>
          </w:tcPr>
          <w:p>
            <w:pPr>
              <w:spacing w:after="0"/>
            </w:pPr>
            <w:r/>
            <w:r>
              <w:rPr>
                <w:rFonts w:ascii="Arial" w:hAnsi="Arial"/>
                <w:b w:val="0"/>
                <w:color w:val="101C2C"/>
                <w:sz w:val="16"/>
              </w:rPr>
              <w:t>Administration</w:t>
            </w:r>
          </w:p>
        </w:tc>
        <w:tc>
          <w:tcPr>
            <w:tcW w:type="dxa" w:w="8208"/>
            <w:vAlign w:val="center"/>
          </w:tcPr>
          <w:p>
            <w:pPr>
              <w:spacing w:after="0"/>
            </w:pPr>
            <w:r/>
            <w:r>
              <w:rPr>
                <w:rFonts w:ascii="Arial" w:hAnsi="Arial"/>
                <w:b w:val="0"/>
                <w:color w:val="101C2C"/>
                <w:sz w:val="16"/>
              </w:rPr>
              <w:t>Companies, locations, departments, users, roles, thresholds, categories, reason codes, mappings and audit.</w:t>
            </w:r>
          </w:p>
        </w:tc>
      </w:tr>
    </w:tbl>
    <w:p>
      <w:pPr>
        <w:spacing w:after="0"/>
      </w:pPr>
    </w:p>
    <w:p>
      <w:pPr>
        <w:pStyle w:val="Heading1"/>
      </w:pPr>
      <w:r>
        <w:t>7. Core Workflows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448"/>
            <w:vAlign w:val="center"/>
            <w:shd w:fill="10253D"/>
          </w:tcPr>
          <w:p>
            <w:pPr>
              <w:spacing w:after="0"/>
            </w:pPr>
            <w:r/>
            <w:r>
              <w:rPr>
                <w:rFonts w:ascii="Arial" w:hAnsi="Arial"/>
                <w:b/>
                <w:color w:val="FFFFFF"/>
                <w:sz w:val="16"/>
              </w:rPr>
              <w:t>Workflow</w:t>
            </w:r>
          </w:p>
        </w:tc>
        <w:tc>
          <w:tcPr>
            <w:tcW w:type="dxa" w:w="8208"/>
            <w:vAlign w:val="center"/>
            <w:shd w:fill="10253D"/>
          </w:tcPr>
          <w:p>
            <w:pPr>
              <w:spacing w:after="0"/>
            </w:pPr>
            <w:r/>
            <w:r>
              <w:rPr>
                <w:rFonts w:ascii="Arial" w:hAnsi="Arial"/>
                <w:b/>
                <w:color w:val="FFFFFF"/>
                <w:sz w:val="16"/>
              </w:rPr>
              <w:t>Required Flow</w:t>
            </w:r>
          </w:p>
        </w:tc>
      </w:tr>
      <w:tr>
        <w:tc>
          <w:tcPr>
            <w:tcW w:type="dxa" w:w="2448"/>
            <w:vAlign w:val="center"/>
          </w:tcPr>
          <w:p>
            <w:pPr>
              <w:spacing w:after="0"/>
            </w:pPr>
            <w:r/>
            <w:r>
              <w:rPr>
                <w:rFonts w:ascii="Arial" w:hAnsi="Arial"/>
                <w:b w:val="0"/>
                <w:color w:val="101C2C"/>
                <w:sz w:val="16"/>
              </w:rPr>
              <w:t>Purchase request to receipt</w:t>
            </w:r>
          </w:p>
        </w:tc>
        <w:tc>
          <w:tcPr>
            <w:tcW w:type="dxa" w:w="8208"/>
            <w:vAlign w:val="center"/>
          </w:tcPr>
          <w:p>
            <w:pPr>
              <w:spacing w:after="0"/>
            </w:pPr>
            <w:r/>
            <w:r>
              <w:rPr>
                <w:rFonts w:ascii="Arial" w:hAnsi="Arial"/>
                <w:b w:val="0"/>
                <w:color w:val="101C2C"/>
                <w:sz w:val="16"/>
              </w:rPr>
              <w:t>Draft request -&gt; business purpose/project link -&gt; approval -&gt; quote/source -&gt; PO -&gt; supplier acknowledgement -&gt; receipt -&gt; inventory/project issue -&gt; close.</w:t>
            </w:r>
          </w:p>
        </w:tc>
      </w:tr>
      <w:tr>
        <w:tc>
          <w:tcPr>
            <w:tcW w:type="dxa" w:w="2448"/>
            <w:vAlign w:val="center"/>
          </w:tcPr>
          <w:p>
            <w:pPr>
              <w:spacing w:after="0"/>
            </w:pPr>
            <w:r/>
            <w:r>
              <w:rPr>
                <w:rFonts w:ascii="Arial" w:hAnsi="Arial"/>
                <w:b w:val="0"/>
                <w:color w:val="101C2C"/>
                <w:sz w:val="16"/>
              </w:rPr>
              <w:t>Open PO exception</w:t>
            </w:r>
          </w:p>
        </w:tc>
        <w:tc>
          <w:tcPr>
            <w:tcW w:type="dxa" w:w="8208"/>
            <w:vAlign w:val="center"/>
          </w:tcPr>
          <w:p>
            <w:pPr>
              <w:spacing w:after="0"/>
            </w:pPr>
            <w:r/>
            <w:r>
              <w:rPr>
                <w:rFonts w:ascii="Arial" w:hAnsi="Arial"/>
                <w:b w:val="0"/>
                <w:color w:val="101C2C"/>
                <w:sz w:val="16"/>
              </w:rPr>
              <w:t>Detect late/unconfirmed order -&gt; rank business impact -&gt; assign buyer -&gt; contact supplier/source alternative -&gt; update expected date -&gt; close exception.</w:t>
            </w:r>
          </w:p>
        </w:tc>
      </w:tr>
      <w:tr>
        <w:tc>
          <w:tcPr>
            <w:tcW w:type="dxa" w:w="2448"/>
            <w:vAlign w:val="center"/>
          </w:tcPr>
          <w:p>
            <w:pPr>
              <w:spacing w:after="0"/>
            </w:pPr>
            <w:r/>
            <w:r>
              <w:rPr>
                <w:rFonts w:ascii="Arial" w:hAnsi="Arial"/>
                <w:b w:val="0"/>
                <w:color w:val="101C2C"/>
                <w:sz w:val="16"/>
              </w:rPr>
              <w:t>Inventory transfer</w:t>
            </w:r>
          </w:p>
        </w:tc>
        <w:tc>
          <w:tcPr>
            <w:tcW w:type="dxa" w:w="8208"/>
            <w:vAlign w:val="center"/>
          </w:tcPr>
          <w:p>
            <w:pPr>
              <w:spacing w:after="0"/>
            </w:pPr>
            <w:r/>
            <w:r>
              <w:rPr>
                <w:rFonts w:ascii="Arial" w:hAnsi="Arial"/>
                <w:b w:val="0"/>
                <w:color w:val="101C2C"/>
                <w:sz w:val="16"/>
              </w:rPr>
              <w:t>New demand -&gt; search enterprise availability -&gt; apply restrictions -&gt; recommend transfer -&gt; approval -&gt; ship -&gt; receive -&gt; record avoided purchase.</w:t>
            </w:r>
          </w:p>
        </w:tc>
      </w:tr>
      <w:tr>
        <w:tc>
          <w:tcPr>
            <w:tcW w:type="dxa" w:w="2448"/>
            <w:vAlign w:val="center"/>
          </w:tcPr>
          <w:p>
            <w:pPr>
              <w:spacing w:after="0"/>
            </w:pPr>
            <w:r/>
            <w:r>
              <w:rPr>
                <w:rFonts w:ascii="Arial" w:hAnsi="Arial"/>
                <w:b w:val="0"/>
                <w:color w:val="101C2C"/>
                <w:sz w:val="16"/>
              </w:rPr>
              <w:t>Cycle count</w:t>
            </w:r>
          </w:p>
        </w:tc>
        <w:tc>
          <w:tcPr>
            <w:tcW w:type="dxa" w:w="8208"/>
            <w:vAlign w:val="center"/>
          </w:tcPr>
          <w:p>
            <w:pPr>
              <w:spacing w:after="0"/>
            </w:pPr>
            <w:r/>
            <w:r>
              <w:rPr>
                <w:rFonts w:ascii="Arial" w:hAnsi="Arial"/>
                <w:b w:val="0"/>
                <w:color w:val="101C2C"/>
                <w:sz w:val="16"/>
              </w:rPr>
              <w:t>Schedule -&gt; count -&gt; variance reason -&gt; review -&gt; approval -&gt; adjustment -&gt; accuracy trend.</w:t>
            </w:r>
          </w:p>
        </w:tc>
      </w:tr>
      <w:tr>
        <w:tc>
          <w:tcPr>
            <w:tcW w:type="dxa" w:w="2448"/>
            <w:vAlign w:val="center"/>
          </w:tcPr>
          <w:p>
            <w:pPr>
              <w:spacing w:after="0"/>
            </w:pPr>
            <w:r/>
            <w:r>
              <w:rPr>
                <w:rFonts w:ascii="Arial" w:hAnsi="Arial"/>
                <w:b w:val="0"/>
                <w:color w:val="101C2C"/>
                <w:sz w:val="16"/>
              </w:rPr>
              <w:t>Supplier quality event</w:t>
            </w:r>
          </w:p>
        </w:tc>
        <w:tc>
          <w:tcPr>
            <w:tcW w:type="dxa" w:w="8208"/>
            <w:vAlign w:val="center"/>
          </w:tcPr>
          <w:p>
            <w:pPr>
              <w:spacing w:after="0"/>
            </w:pPr>
            <w:r/>
            <w:r>
              <w:rPr>
                <w:rFonts w:ascii="Arial" w:hAnsi="Arial"/>
                <w:b w:val="0"/>
                <w:color w:val="101C2C"/>
                <w:sz w:val="16"/>
              </w:rPr>
              <w:t>Record defect/error -&gt; financial and customer impact -&gt; supplier corrective action -&gt; recovery -&gt; scorecard update -&gt; close.</w:t>
            </w:r>
          </w:p>
        </w:tc>
      </w:tr>
      <w:tr>
        <w:tc>
          <w:tcPr>
            <w:tcW w:type="dxa" w:w="2448"/>
            <w:vAlign w:val="center"/>
          </w:tcPr>
          <w:p>
            <w:pPr>
              <w:spacing w:after="0"/>
            </w:pPr>
            <w:r/>
            <w:r>
              <w:rPr>
                <w:rFonts w:ascii="Arial" w:hAnsi="Arial"/>
                <w:b w:val="0"/>
                <w:color w:val="101C2C"/>
                <w:sz w:val="16"/>
              </w:rPr>
              <w:t>Savings opportunity</w:t>
            </w:r>
          </w:p>
        </w:tc>
        <w:tc>
          <w:tcPr>
            <w:tcW w:type="dxa" w:w="8208"/>
            <w:vAlign w:val="center"/>
          </w:tcPr>
          <w:p>
            <w:pPr>
              <w:spacing w:after="0"/>
            </w:pPr>
            <w:r/>
            <w:r>
              <w:rPr>
                <w:rFonts w:ascii="Arial" w:hAnsi="Arial"/>
                <w:b w:val="0"/>
                <w:color w:val="101C2C"/>
                <w:sz w:val="16"/>
              </w:rPr>
              <w:t>Identify -&gt; define baseline -&gt; analyze -&gt; negotiate/approve -&gt; implement -&gt; measure -&gt; Accounting validate -&gt; report realized benefit.</w:t>
            </w:r>
          </w:p>
        </w:tc>
      </w:tr>
      <w:tr>
        <w:tc>
          <w:tcPr>
            <w:tcW w:type="dxa" w:w="2448"/>
            <w:vAlign w:val="center"/>
          </w:tcPr>
          <w:p>
            <w:pPr>
              <w:spacing w:after="0"/>
            </w:pPr>
            <w:r/>
            <w:r>
              <w:rPr>
                <w:rFonts w:ascii="Arial" w:hAnsi="Arial"/>
                <w:b w:val="0"/>
                <w:color w:val="101C2C"/>
                <w:sz w:val="16"/>
              </w:rPr>
              <w:t>AI finding</w:t>
            </w:r>
          </w:p>
        </w:tc>
        <w:tc>
          <w:tcPr>
            <w:tcW w:type="dxa" w:w="8208"/>
            <w:vAlign w:val="center"/>
          </w:tcPr>
          <w:p>
            <w:pPr>
              <w:spacing w:after="0"/>
            </w:pPr>
            <w:r/>
            <w:r>
              <w:rPr>
                <w:rFonts w:ascii="Arial" w:hAnsi="Arial"/>
                <w:b w:val="0"/>
                <w:color w:val="101C2C"/>
                <w:sz w:val="16"/>
              </w:rPr>
              <w:t>Generate -&gt; show evidence/confidence -&gt; human review -&gt; accept/dismiss -&gt; assign -&gt; action -&gt; verify -&gt; close.</w:t>
            </w:r>
          </w:p>
        </w:tc>
      </w:tr>
    </w:tbl>
    <w:p>
      <w:pPr>
        <w:spacing w:after="0"/>
      </w:pPr>
    </w:p>
    <w:p>
      <w:pPr>
        <w:pStyle w:val="Heading1"/>
      </w:pPr>
      <w:r>
        <w:t>8. AI Intelligence Layer</w:t>
      </w:r>
    </w:p>
    <w:p>
      <w:r>
        <w:t>The initial AI layer will operate on approved read-only snapshots and deterministic calculations. Agents may summarize, compare, rank and recommend. They may create draft findings and briefings but cannot execute operational or financial actions.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232"/>
            <w:vAlign w:val="center"/>
            <w:shd w:fill="10253D"/>
          </w:tcPr>
          <w:p>
            <w:pPr>
              <w:spacing w:after="0"/>
            </w:pPr>
            <w:r/>
            <w:r>
              <w:rPr>
                <w:rFonts w:ascii="Arial" w:hAnsi="Arial"/>
                <w:b/>
                <w:color w:val="FFFFFF"/>
                <w:sz w:val="16"/>
              </w:rPr>
              <w:t>Agent</w:t>
            </w:r>
          </w:p>
        </w:tc>
        <w:tc>
          <w:tcPr>
            <w:tcW w:type="dxa" w:w="3744"/>
            <w:vAlign w:val="center"/>
            <w:shd w:fill="10253D"/>
          </w:tcPr>
          <w:p>
            <w:pPr>
              <w:spacing w:after="0"/>
            </w:pPr>
            <w:r/>
            <w:r>
              <w:rPr>
                <w:rFonts w:ascii="Arial" w:hAnsi="Arial"/>
                <w:b/>
                <w:color w:val="FFFFFF"/>
                <w:sz w:val="16"/>
              </w:rPr>
              <w:t>Primary Function</w:t>
            </w:r>
          </w:p>
        </w:tc>
        <w:tc>
          <w:tcPr>
            <w:tcW w:type="dxa" w:w="4680"/>
            <w:vAlign w:val="center"/>
            <w:shd w:fill="10253D"/>
          </w:tcPr>
          <w:p>
            <w:pPr>
              <w:spacing w:after="0"/>
            </w:pPr>
            <w:r/>
            <w:r>
              <w:rPr>
                <w:rFonts w:ascii="Arial" w:hAnsi="Arial"/>
                <w:b/>
                <w:color w:val="FFFFFF"/>
                <w:sz w:val="16"/>
              </w:rPr>
              <w:t>First Release Output</w:t>
            </w:r>
          </w:p>
        </w:tc>
      </w:tr>
      <w:tr>
        <w:tc>
          <w:tcPr>
            <w:tcW w:type="dxa" w:w="2232"/>
            <w:vAlign w:val="center"/>
          </w:tcPr>
          <w:p>
            <w:pPr>
              <w:spacing w:after="0"/>
            </w:pPr>
            <w:r/>
            <w:r>
              <w:rPr>
                <w:rFonts w:ascii="Arial" w:hAnsi="Arial"/>
                <w:b w:val="0"/>
                <w:color w:val="101C2C"/>
                <w:sz w:val="15"/>
              </w:rPr>
              <w:t>Executive Brief Agent</w:t>
            </w:r>
          </w:p>
        </w:tc>
        <w:tc>
          <w:tcPr>
            <w:tcW w:type="dxa" w:w="3744"/>
            <w:vAlign w:val="center"/>
          </w:tcPr>
          <w:p>
            <w:pPr>
              <w:spacing w:after="0"/>
            </w:pPr>
            <w:r/>
            <w:r>
              <w:rPr>
                <w:rFonts w:ascii="Arial" w:hAnsi="Arial"/>
                <w:b w:val="0"/>
                <w:color w:val="101C2C"/>
                <w:sz w:val="15"/>
              </w:rPr>
              <w:t>Summarize material weekly changes</w:t>
            </w:r>
          </w:p>
        </w:tc>
        <w:tc>
          <w:tcPr>
            <w:tcW w:type="dxa" w:w="4680"/>
            <w:vAlign w:val="center"/>
          </w:tcPr>
          <w:p>
            <w:pPr>
              <w:spacing w:after="0"/>
            </w:pPr>
            <w:r/>
            <w:r>
              <w:rPr>
                <w:rFonts w:ascii="Arial" w:hAnsi="Arial"/>
                <w:b w:val="0"/>
                <w:color w:val="101C2C"/>
                <w:sz w:val="15"/>
              </w:rPr>
              <w:t>Top risks, opportunities, decisions and company highlights.</w:t>
            </w:r>
          </w:p>
        </w:tc>
      </w:tr>
      <w:tr>
        <w:tc>
          <w:tcPr>
            <w:tcW w:type="dxa" w:w="2232"/>
            <w:vAlign w:val="center"/>
          </w:tcPr>
          <w:p>
            <w:pPr>
              <w:spacing w:after="0"/>
            </w:pPr>
            <w:r/>
            <w:r>
              <w:rPr>
                <w:rFonts w:ascii="Arial" w:hAnsi="Arial"/>
                <w:b w:val="0"/>
                <w:color w:val="101C2C"/>
                <w:sz w:val="15"/>
              </w:rPr>
              <w:t>Supplier Consolidation Agent</w:t>
            </w:r>
          </w:p>
        </w:tc>
        <w:tc>
          <w:tcPr>
            <w:tcW w:type="dxa" w:w="3744"/>
            <w:vAlign w:val="center"/>
          </w:tcPr>
          <w:p>
            <w:pPr>
              <w:spacing w:after="0"/>
            </w:pPr>
            <w:r/>
            <w:r>
              <w:rPr>
                <w:rFonts w:ascii="Arial" w:hAnsi="Arial"/>
                <w:b w:val="0"/>
                <w:color w:val="101C2C"/>
                <w:sz w:val="15"/>
              </w:rPr>
              <w:t>Find duplicate suppliers and fragmented categories</w:t>
            </w:r>
          </w:p>
        </w:tc>
        <w:tc>
          <w:tcPr>
            <w:tcW w:type="dxa" w:w="4680"/>
            <w:vAlign w:val="center"/>
          </w:tcPr>
          <w:p>
            <w:pPr>
              <w:spacing w:after="0"/>
            </w:pPr>
            <w:r/>
            <w:r>
              <w:rPr>
                <w:rFonts w:ascii="Arial" w:hAnsi="Arial"/>
                <w:b w:val="0"/>
                <w:color w:val="101C2C"/>
                <w:sz w:val="15"/>
              </w:rPr>
              <w:t>Candidate group, combined spend, price/term differences and negotiation approach.</w:t>
            </w:r>
          </w:p>
        </w:tc>
      </w:tr>
      <w:tr>
        <w:tc>
          <w:tcPr>
            <w:tcW w:type="dxa" w:w="2232"/>
            <w:vAlign w:val="center"/>
          </w:tcPr>
          <w:p>
            <w:pPr>
              <w:spacing w:after="0"/>
            </w:pPr>
            <w:r/>
            <w:r>
              <w:rPr>
                <w:rFonts w:ascii="Arial" w:hAnsi="Arial"/>
                <w:b w:val="0"/>
                <w:color w:val="101C2C"/>
                <w:sz w:val="15"/>
              </w:rPr>
              <w:t>Price Variance Watcher</w:t>
            </w:r>
          </w:p>
        </w:tc>
        <w:tc>
          <w:tcPr>
            <w:tcW w:type="dxa" w:w="3744"/>
            <w:vAlign w:val="center"/>
          </w:tcPr>
          <w:p>
            <w:pPr>
              <w:spacing w:after="0"/>
            </w:pPr>
            <w:r/>
            <w:r>
              <w:rPr>
                <w:rFonts w:ascii="Arial" w:hAnsi="Arial"/>
                <w:b w:val="0"/>
                <w:color w:val="101C2C"/>
                <w:sz w:val="15"/>
              </w:rPr>
              <w:t>Compare actual, contract, standard and prior landed cost</w:t>
            </w:r>
          </w:p>
        </w:tc>
        <w:tc>
          <w:tcPr>
            <w:tcW w:type="dxa" w:w="4680"/>
            <w:vAlign w:val="center"/>
          </w:tcPr>
          <w:p>
            <w:pPr>
              <w:spacing w:after="0"/>
            </w:pPr>
            <w:r/>
            <w:r>
              <w:rPr>
                <w:rFonts w:ascii="Arial" w:hAnsi="Arial"/>
                <w:b w:val="0"/>
                <w:color w:val="101C2C"/>
                <w:sz w:val="15"/>
              </w:rPr>
              <w:t>Variance finding with item, supplier, quantity, evidence and impact.</w:t>
            </w:r>
          </w:p>
        </w:tc>
      </w:tr>
      <w:tr>
        <w:tc>
          <w:tcPr>
            <w:tcW w:type="dxa" w:w="2232"/>
            <w:vAlign w:val="center"/>
          </w:tcPr>
          <w:p>
            <w:pPr>
              <w:spacing w:after="0"/>
            </w:pPr>
            <w:r/>
            <w:r>
              <w:rPr>
                <w:rFonts w:ascii="Arial" w:hAnsi="Arial"/>
                <w:b w:val="0"/>
                <w:color w:val="101C2C"/>
                <w:sz w:val="15"/>
              </w:rPr>
              <w:t>Inventory Transfer Recommender</w:t>
            </w:r>
          </w:p>
        </w:tc>
        <w:tc>
          <w:tcPr>
            <w:tcW w:type="dxa" w:w="3744"/>
            <w:vAlign w:val="center"/>
          </w:tcPr>
          <w:p>
            <w:pPr>
              <w:spacing w:after="0"/>
            </w:pPr>
            <w:r/>
            <w:r>
              <w:rPr>
                <w:rFonts w:ascii="Arial" w:hAnsi="Arial"/>
                <w:b w:val="0"/>
                <w:color w:val="101C2C"/>
                <w:sz w:val="15"/>
              </w:rPr>
              <w:t>Find approved stock before a new purchase</w:t>
            </w:r>
          </w:p>
        </w:tc>
        <w:tc>
          <w:tcPr>
            <w:tcW w:type="dxa" w:w="4680"/>
            <w:vAlign w:val="center"/>
          </w:tcPr>
          <w:p>
            <w:pPr>
              <w:spacing w:after="0"/>
            </w:pPr>
            <w:r/>
            <w:r>
              <w:rPr>
                <w:rFonts w:ascii="Arial" w:hAnsi="Arial"/>
                <w:b w:val="0"/>
                <w:color w:val="101C2C"/>
                <w:sz w:val="15"/>
              </w:rPr>
              <w:t>Source, quantity, transfer timing, restrictions and purchase avoided.</w:t>
            </w:r>
          </w:p>
        </w:tc>
      </w:tr>
      <w:tr>
        <w:tc>
          <w:tcPr>
            <w:tcW w:type="dxa" w:w="2232"/>
            <w:vAlign w:val="center"/>
          </w:tcPr>
          <w:p>
            <w:pPr>
              <w:spacing w:after="0"/>
            </w:pPr>
            <w:r/>
            <w:r>
              <w:rPr>
                <w:rFonts w:ascii="Arial" w:hAnsi="Arial"/>
                <w:b w:val="0"/>
                <w:color w:val="101C2C"/>
                <w:sz w:val="15"/>
              </w:rPr>
              <w:t>Stockout Risk Agent</w:t>
            </w:r>
          </w:p>
        </w:tc>
        <w:tc>
          <w:tcPr>
            <w:tcW w:type="dxa" w:w="3744"/>
            <w:vAlign w:val="center"/>
          </w:tcPr>
          <w:p>
            <w:pPr>
              <w:spacing w:after="0"/>
            </w:pPr>
            <w:r/>
            <w:r>
              <w:rPr>
                <w:rFonts w:ascii="Arial" w:hAnsi="Arial"/>
                <w:b w:val="0"/>
                <w:color w:val="101C2C"/>
                <w:sz w:val="15"/>
              </w:rPr>
              <w:t>Estimate near-term shortage risk</w:t>
            </w:r>
          </w:p>
        </w:tc>
        <w:tc>
          <w:tcPr>
            <w:tcW w:type="dxa" w:w="4680"/>
            <w:vAlign w:val="center"/>
          </w:tcPr>
          <w:p>
            <w:pPr>
              <w:spacing w:after="0"/>
            </w:pPr>
            <w:r/>
            <w:r>
              <w:rPr>
                <w:rFonts w:ascii="Arial" w:hAnsi="Arial"/>
                <w:b w:val="0"/>
                <w:color w:val="101C2C"/>
                <w:sz w:val="15"/>
              </w:rPr>
              <w:t>Affected demand, shortage date, alternatives and owner.</w:t>
            </w:r>
          </w:p>
        </w:tc>
      </w:tr>
      <w:tr>
        <w:tc>
          <w:tcPr>
            <w:tcW w:type="dxa" w:w="2232"/>
            <w:vAlign w:val="center"/>
          </w:tcPr>
          <w:p>
            <w:pPr>
              <w:spacing w:after="0"/>
            </w:pPr>
            <w:r/>
            <w:r>
              <w:rPr>
                <w:rFonts w:ascii="Arial" w:hAnsi="Arial"/>
                <w:b w:val="0"/>
                <w:color w:val="101C2C"/>
                <w:sz w:val="15"/>
              </w:rPr>
              <w:t>PO Risk Agent</w:t>
            </w:r>
          </w:p>
        </w:tc>
        <w:tc>
          <w:tcPr>
            <w:tcW w:type="dxa" w:w="3744"/>
            <w:vAlign w:val="center"/>
          </w:tcPr>
          <w:p>
            <w:pPr>
              <w:spacing w:after="0"/>
            </w:pPr>
            <w:r/>
            <w:r>
              <w:rPr>
                <w:rFonts w:ascii="Arial" w:hAnsi="Arial"/>
                <w:b w:val="0"/>
                <w:color w:val="101C2C"/>
                <w:sz w:val="15"/>
              </w:rPr>
              <w:t>Rank late POs by business impact</w:t>
            </w:r>
          </w:p>
        </w:tc>
        <w:tc>
          <w:tcPr>
            <w:tcW w:type="dxa" w:w="4680"/>
            <w:vAlign w:val="center"/>
          </w:tcPr>
          <w:p>
            <w:pPr>
              <w:spacing w:after="0"/>
            </w:pPr>
            <w:r/>
            <w:r>
              <w:rPr>
                <w:rFonts w:ascii="Arial" w:hAnsi="Arial"/>
                <w:b w:val="0"/>
                <w:color w:val="101C2C"/>
                <w:sz w:val="15"/>
              </w:rPr>
              <w:t>Risk score, affected customer/project/service and escalation plan.</w:t>
            </w:r>
          </w:p>
        </w:tc>
      </w:tr>
      <w:tr>
        <w:tc>
          <w:tcPr>
            <w:tcW w:type="dxa" w:w="2232"/>
            <w:vAlign w:val="center"/>
          </w:tcPr>
          <w:p>
            <w:pPr>
              <w:spacing w:after="0"/>
            </w:pPr>
            <w:r/>
            <w:r>
              <w:rPr>
                <w:rFonts w:ascii="Arial" w:hAnsi="Arial"/>
                <w:b w:val="0"/>
                <w:color w:val="101C2C"/>
                <w:sz w:val="15"/>
              </w:rPr>
              <w:t>Excess Inventory Agent</w:t>
            </w:r>
          </w:p>
        </w:tc>
        <w:tc>
          <w:tcPr>
            <w:tcW w:type="dxa" w:w="3744"/>
            <w:vAlign w:val="center"/>
          </w:tcPr>
          <w:p>
            <w:pPr>
              <w:spacing w:after="0"/>
            </w:pPr>
            <w:r/>
            <w:r>
              <w:rPr>
                <w:rFonts w:ascii="Arial" w:hAnsi="Arial"/>
                <w:b w:val="0"/>
                <w:color w:val="101C2C"/>
                <w:sz w:val="15"/>
              </w:rPr>
              <w:t>Recommend disposition without harming legacy support</w:t>
            </w:r>
          </w:p>
        </w:tc>
        <w:tc>
          <w:tcPr>
            <w:tcW w:type="dxa" w:w="4680"/>
            <w:vAlign w:val="center"/>
          </w:tcPr>
          <w:p>
            <w:pPr>
              <w:spacing w:after="0"/>
            </w:pPr>
            <w:r/>
            <w:r>
              <w:rPr>
                <w:rFonts w:ascii="Arial" w:hAnsi="Arial"/>
                <w:b w:val="0"/>
                <w:color w:val="101C2C"/>
                <w:sz w:val="15"/>
              </w:rPr>
              <w:t>Age, value, future demand, restriction and recommended action.</w:t>
            </w:r>
          </w:p>
        </w:tc>
      </w:tr>
      <w:tr>
        <w:tc>
          <w:tcPr>
            <w:tcW w:type="dxa" w:w="2232"/>
            <w:vAlign w:val="center"/>
          </w:tcPr>
          <w:p>
            <w:pPr>
              <w:spacing w:after="0"/>
            </w:pPr>
            <w:r/>
            <w:r>
              <w:rPr>
                <w:rFonts w:ascii="Arial" w:hAnsi="Arial"/>
                <w:b w:val="0"/>
                <w:color w:val="101C2C"/>
                <w:sz w:val="15"/>
              </w:rPr>
              <w:t>Savings Opportunity Agent</w:t>
            </w:r>
          </w:p>
        </w:tc>
        <w:tc>
          <w:tcPr>
            <w:tcW w:type="dxa" w:w="3744"/>
            <w:vAlign w:val="center"/>
          </w:tcPr>
          <w:p>
            <w:pPr>
              <w:spacing w:after="0"/>
            </w:pPr>
            <w:r/>
            <w:r>
              <w:rPr>
                <w:rFonts w:ascii="Arial" w:hAnsi="Arial"/>
                <w:b w:val="0"/>
                <w:color w:val="101C2C"/>
                <w:sz w:val="15"/>
              </w:rPr>
              <w:t>Create evidence-based draft opportunities</w:t>
            </w:r>
          </w:p>
        </w:tc>
        <w:tc>
          <w:tcPr>
            <w:tcW w:type="dxa" w:w="4680"/>
            <w:vAlign w:val="center"/>
          </w:tcPr>
          <w:p>
            <w:pPr>
              <w:spacing w:after="0"/>
            </w:pPr>
            <w:r/>
            <w:r>
              <w:rPr>
                <w:rFonts w:ascii="Arial" w:hAnsi="Arial"/>
                <w:b w:val="0"/>
                <w:color w:val="101C2C"/>
                <w:sz w:val="15"/>
              </w:rPr>
              <w:t>Baseline, estimated value, assumptions, implementation cost and validation need.</w:t>
            </w:r>
          </w:p>
        </w:tc>
      </w:tr>
    </w:tbl>
    <w:p>
      <w:pPr>
        <w:spacing w:after="0"/>
      </w:pPr>
    </w:p>
    <w:tbl>
      <w:tblPr>
        <w:tblW w:type="auto" w:w="0"/>
        <w:jc w:val="center"/>
        <w:tblLook w:firstColumn="1" w:firstRow="1" w:lastColumn="0" w:lastRow="0" w:noHBand="0" w:noVBand="1" w:val="04A0"/>
      </w:tblPr>
      <w:tblGrid>
        <w:gridCol w:w="10310"/>
      </w:tblGrid>
      <w:tr>
        <w:tc>
          <w:tcPr>
            <w:tcW w:type="dxa" w:w="10310"/>
            <w:shd w:fill="FFF1D6"/>
          </w:tcPr>
          <w:p>
            <w:pPr>
              <w:spacing w:after="0"/>
            </w:pPr>
            <w:r/>
            <w:r>
              <w:rPr>
                <w:rFonts w:ascii="Arial" w:hAnsi="Arial"/>
                <w:b/>
                <w:color w:val="096C94"/>
                <w:sz w:val="20"/>
              </w:rPr>
              <w:t>AI guardrail</w:t>
              <w:br/>
            </w:r>
            <w:r>
              <w:rPr>
                <w:rFonts w:ascii="Arial" w:hAnsi="Arial"/>
                <w:color w:val="101C2C"/>
                <w:sz w:val="18"/>
              </w:rPr>
              <w:t>No AI recommendation may independently create an approved PO, post a receipt or adjustment, dispose of inventory, change supplier status, issue payment or validate savings.</w:t>
            </w:r>
          </w:p>
        </w:tc>
      </w:tr>
    </w:tbl>
    <w:p>
      <w:pPr>
        <w:spacing w:after="0"/>
      </w:pPr>
    </w:p>
    <w:p>
      <w:pPr>
        <w:pStyle w:val="Heading1"/>
      </w:pPr>
      <w:r>
        <w:t>9. Reporting Requirements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024"/>
            <w:vAlign w:val="center"/>
            <w:shd w:fill="10253D"/>
          </w:tcPr>
          <w:p>
            <w:pPr>
              <w:spacing w:after="0"/>
            </w:pPr>
            <w:r/>
            <w:r>
              <w:rPr>
                <w:rFonts w:ascii="Arial" w:hAnsi="Arial"/>
                <w:b/>
                <w:color w:val="FFFFFF"/>
                <w:sz w:val="16"/>
              </w:rPr>
              <w:t>Report</w:t>
            </w:r>
          </w:p>
        </w:tc>
        <w:tc>
          <w:tcPr>
            <w:tcW w:type="dxa" w:w="5976"/>
            <w:vAlign w:val="center"/>
            <w:shd w:fill="10253D"/>
          </w:tcPr>
          <w:p>
            <w:pPr>
              <w:spacing w:after="0"/>
            </w:pPr>
            <w:r/>
            <w:r>
              <w:rPr>
                <w:rFonts w:ascii="Arial" w:hAnsi="Arial"/>
                <w:b/>
                <w:color w:val="FFFFFF"/>
                <w:sz w:val="16"/>
              </w:rPr>
              <w:t>Primary Question</w:t>
            </w:r>
          </w:p>
        </w:tc>
        <w:tc>
          <w:tcPr>
            <w:tcW w:type="dxa" w:w="1656"/>
            <w:vAlign w:val="center"/>
            <w:shd w:fill="10253D"/>
          </w:tcPr>
          <w:p>
            <w:pPr>
              <w:spacing w:after="0"/>
            </w:pPr>
            <w:r/>
            <w:r>
              <w:rPr>
                <w:rFonts w:ascii="Arial" w:hAnsi="Arial"/>
                <w:b/>
                <w:color w:val="FFFFFF"/>
                <w:sz w:val="16"/>
              </w:rPr>
              <w:t>Cadence</w:t>
            </w:r>
          </w:p>
        </w:tc>
      </w:tr>
      <w:tr>
        <w:tc>
          <w:tcPr>
            <w:tcW w:type="dxa" w:w="3024"/>
            <w:vAlign w:val="center"/>
          </w:tcPr>
          <w:p>
            <w:pPr>
              <w:spacing w:after="0"/>
            </w:pPr>
            <w:r/>
            <w:r>
              <w:rPr>
                <w:rFonts w:ascii="Arial" w:hAnsi="Arial"/>
                <w:b w:val="0"/>
                <w:color w:val="101C2C"/>
                <w:sz w:val="15"/>
              </w:rPr>
              <w:t>Executive Procurement Scorecard</w:t>
            </w:r>
          </w:p>
        </w:tc>
        <w:tc>
          <w:tcPr>
            <w:tcW w:type="dxa" w:w="5976"/>
            <w:vAlign w:val="center"/>
          </w:tcPr>
          <w:p>
            <w:pPr>
              <w:spacing w:after="0"/>
            </w:pPr>
            <w:r/>
            <w:r>
              <w:rPr>
                <w:rFonts w:ascii="Arial" w:hAnsi="Arial"/>
                <w:b w:val="0"/>
                <w:color w:val="101C2C"/>
                <w:sz w:val="15"/>
              </w:rPr>
              <w:t>Are cash, service, suppliers, inventory and savings improving?</w:t>
            </w:r>
          </w:p>
        </w:tc>
        <w:tc>
          <w:tcPr>
            <w:tcW w:type="dxa" w:w="1656"/>
            <w:vAlign w:val="center"/>
          </w:tcPr>
          <w:p>
            <w:pPr>
              <w:spacing w:after="0"/>
            </w:pPr>
            <w:r/>
            <w:r>
              <w:rPr>
                <w:rFonts w:ascii="Arial" w:hAnsi="Arial"/>
                <w:b w:val="0"/>
                <w:color w:val="101C2C"/>
                <w:sz w:val="15"/>
              </w:rPr>
              <w:t>Monthly</w:t>
            </w:r>
          </w:p>
        </w:tc>
      </w:tr>
      <w:tr>
        <w:tc>
          <w:tcPr>
            <w:tcW w:type="dxa" w:w="3024"/>
            <w:vAlign w:val="center"/>
          </w:tcPr>
          <w:p>
            <w:pPr>
              <w:spacing w:after="0"/>
            </w:pPr>
            <w:r/>
            <w:r>
              <w:rPr>
                <w:rFonts w:ascii="Arial" w:hAnsi="Arial"/>
                <w:b w:val="0"/>
                <w:color w:val="101C2C"/>
                <w:sz w:val="15"/>
              </w:rPr>
              <w:t>Consolidated Spend Analysis</w:t>
            </w:r>
          </w:p>
        </w:tc>
        <w:tc>
          <w:tcPr>
            <w:tcW w:type="dxa" w:w="5976"/>
            <w:vAlign w:val="center"/>
          </w:tcPr>
          <w:p>
            <w:pPr>
              <w:spacing w:after="0"/>
            </w:pPr>
            <w:r/>
            <w:r>
              <w:rPr>
                <w:rFonts w:ascii="Arial" w:hAnsi="Arial"/>
                <w:b w:val="0"/>
                <w:color w:val="101C2C"/>
                <w:sz w:val="15"/>
              </w:rPr>
              <w:t>What are we buying, from whom and at what landed cost?</w:t>
            </w:r>
          </w:p>
        </w:tc>
        <w:tc>
          <w:tcPr>
            <w:tcW w:type="dxa" w:w="1656"/>
            <w:vAlign w:val="center"/>
          </w:tcPr>
          <w:p>
            <w:pPr>
              <w:spacing w:after="0"/>
            </w:pPr>
            <w:r/>
            <w:r>
              <w:rPr>
                <w:rFonts w:ascii="Arial" w:hAnsi="Arial"/>
                <w:b w:val="0"/>
                <w:color w:val="101C2C"/>
                <w:sz w:val="15"/>
              </w:rPr>
              <w:t>Monthly</w:t>
            </w:r>
          </w:p>
        </w:tc>
      </w:tr>
      <w:tr>
        <w:tc>
          <w:tcPr>
            <w:tcW w:type="dxa" w:w="3024"/>
            <w:vAlign w:val="center"/>
          </w:tcPr>
          <w:p>
            <w:pPr>
              <w:spacing w:after="0"/>
            </w:pPr>
            <w:r/>
            <w:r>
              <w:rPr>
                <w:rFonts w:ascii="Arial" w:hAnsi="Arial"/>
                <w:b w:val="0"/>
                <w:color w:val="101C2C"/>
                <w:sz w:val="15"/>
              </w:rPr>
              <w:t>Open and Past-Due POs</w:t>
            </w:r>
          </w:p>
        </w:tc>
        <w:tc>
          <w:tcPr>
            <w:tcW w:type="dxa" w:w="5976"/>
            <w:vAlign w:val="center"/>
          </w:tcPr>
          <w:p>
            <w:pPr>
              <w:spacing w:after="0"/>
            </w:pPr>
            <w:r/>
            <w:r>
              <w:rPr>
                <w:rFonts w:ascii="Arial" w:hAnsi="Arial"/>
                <w:b w:val="0"/>
                <w:color w:val="101C2C"/>
                <w:sz w:val="15"/>
              </w:rPr>
              <w:t>Which commitments threaten customers, projects, production or service?</w:t>
            </w:r>
          </w:p>
        </w:tc>
        <w:tc>
          <w:tcPr>
            <w:tcW w:type="dxa" w:w="1656"/>
            <w:vAlign w:val="center"/>
          </w:tcPr>
          <w:p>
            <w:pPr>
              <w:spacing w:after="0"/>
            </w:pPr>
            <w:r/>
            <w:r>
              <w:rPr>
                <w:rFonts w:ascii="Arial" w:hAnsi="Arial"/>
                <w:b w:val="0"/>
                <w:color w:val="101C2C"/>
                <w:sz w:val="15"/>
              </w:rPr>
              <w:t>Daily/Weekly</w:t>
            </w:r>
          </w:p>
        </w:tc>
      </w:tr>
      <w:tr>
        <w:tc>
          <w:tcPr>
            <w:tcW w:type="dxa" w:w="3024"/>
            <w:vAlign w:val="center"/>
          </w:tcPr>
          <w:p>
            <w:pPr>
              <w:spacing w:after="0"/>
            </w:pPr>
            <w:r/>
            <w:r>
              <w:rPr>
                <w:rFonts w:ascii="Arial" w:hAnsi="Arial"/>
                <w:b w:val="0"/>
                <w:color w:val="101C2C"/>
                <w:sz w:val="15"/>
              </w:rPr>
              <w:t>Supplier Performance Scorecard</w:t>
            </w:r>
          </w:p>
        </w:tc>
        <w:tc>
          <w:tcPr>
            <w:tcW w:type="dxa" w:w="5976"/>
            <w:vAlign w:val="center"/>
          </w:tcPr>
          <w:p>
            <w:pPr>
              <w:spacing w:after="0"/>
            </w:pPr>
            <w:r/>
            <w:r>
              <w:rPr>
                <w:rFonts w:ascii="Arial" w:hAnsi="Arial"/>
                <w:b w:val="0"/>
                <w:color w:val="101C2C"/>
                <w:sz w:val="15"/>
              </w:rPr>
              <w:t>Which suppliers should grow, improve or be replaced?</w:t>
            </w:r>
          </w:p>
        </w:tc>
        <w:tc>
          <w:tcPr>
            <w:tcW w:type="dxa" w:w="1656"/>
            <w:vAlign w:val="center"/>
          </w:tcPr>
          <w:p>
            <w:pPr>
              <w:spacing w:after="0"/>
            </w:pPr>
            <w:r/>
            <w:r>
              <w:rPr>
                <w:rFonts w:ascii="Arial" w:hAnsi="Arial"/>
                <w:b w:val="0"/>
                <w:color w:val="101C2C"/>
                <w:sz w:val="15"/>
              </w:rPr>
              <w:t>Monthly/Quarterly</w:t>
            </w:r>
          </w:p>
        </w:tc>
      </w:tr>
      <w:tr>
        <w:tc>
          <w:tcPr>
            <w:tcW w:type="dxa" w:w="3024"/>
            <w:vAlign w:val="center"/>
          </w:tcPr>
          <w:p>
            <w:pPr>
              <w:spacing w:after="0"/>
            </w:pPr>
            <w:r/>
            <w:r>
              <w:rPr>
                <w:rFonts w:ascii="Arial" w:hAnsi="Arial"/>
                <w:b w:val="0"/>
                <w:color w:val="101C2C"/>
                <w:sz w:val="15"/>
              </w:rPr>
              <w:t>Inventory Accuracy</w:t>
            </w:r>
          </w:p>
        </w:tc>
        <w:tc>
          <w:tcPr>
            <w:tcW w:type="dxa" w:w="5976"/>
            <w:vAlign w:val="center"/>
          </w:tcPr>
          <w:p>
            <w:pPr>
              <w:spacing w:after="0"/>
            </w:pPr>
            <w:r/>
            <w:r>
              <w:rPr>
                <w:rFonts w:ascii="Arial" w:hAnsi="Arial"/>
                <w:b w:val="0"/>
                <w:color w:val="101C2C"/>
                <w:sz w:val="15"/>
              </w:rPr>
              <w:t>Does system inventory match physical inventory?</w:t>
            </w:r>
          </w:p>
        </w:tc>
        <w:tc>
          <w:tcPr>
            <w:tcW w:type="dxa" w:w="1656"/>
            <w:vAlign w:val="center"/>
          </w:tcPr>
          <w:p>
            <w:pPr>
              <w:spacing w:after="0"/>
            </w:pPr>
            <w:r/>
            <w:r>
              <w:rPr>
                <w:rFonts w:ascii="Arial" w:hAnsi="Arial"/>
                <w:b w:val="0"/>
                <w:color w:val="101C2C"/>
                <w:sz w:val="15"/>
              </w:rPr>
              <w:t>Cycle Count/Monthly</w:t>
            </w:r>
          </w:p>
        </w:tc>
      </w:tr>
      <w:tr>
        <w:tc>
          <w:tcPr>
            <w:tcW w:type="dxa" w:w="3024"/>
            <w:vAlign w:val="center"/>
          </w:tcPr>
          <w:p>
            <w:pPr>
              <w:spacing w:after="0"/>
            </w:pPr>
            <w:r/>
            <w:r>
              <w:rPr>
                <w:rFonts w:ascii="Arial" w:hAnsi="Arial"/>
                <w:b w:val="0"/>
                <w:color w:val="101C2C"/>
                <w:sz w:val="15"/>
              </w:rPr>
              <w:t>Inventory Turns and Days on Hand</w:t>
            </w:r>
          </w:p>
        </w:tc>
        <w:tc>
          <w:tcPr>
            <w:tcW w:type="dxa" w:w="5976"/>
            <w:vAlign w:val="center"/>
          </w:tcPr>
          <w:p>
            <w:pPr>
              <w:spacing w:after="0"/>
            </w:pPr>
            <w:r/>
            <w:r>
              <w:rPr>
                <w:rFonts w:ascii="Arial" w:hAnsi="Arial"/>
                <w:b w:val="0"/>
                <w:color w:val="101C2C"/>
                <w:sz w:val="15"/>
              </w:rPr>
              <w:t>How effectively is inventory investment being used?</w:t>
            </w:r>
          </w:p>
        </w:tc>
        <w:tc>
          <w:tcPr>
            <w:tcW w:type="dxa" w:w="1656"/>
            <w:vAlign w:val="center"/>
          </w:tcPr>
          <w:p>
            <w:pPr>
              <w:spacing w:after="0"/>
            </w:pPr>
            <w:r/>
            <w:r>
              <w:rPr>
                <w:rFonts w:ascii="Arial" w:hAnsi="Arial"/>
                <w:b w:val="0"/>
                <w:color w:val="101C2C"/>
                <w:sz w:val="15"/>
              </w:rPr>
              <w:t>Monthly</w:t>
            </w:r>
          </w:p>
        </w:tc>
      </w:tr>
      <w:tr>
        <w:tc>
          <w:tcPr>
            <w:tcW w:type="dxa" w:w="3024"/>
            <w:vAlign w:val="center"/>
          </w:tcPr>
          <w:p>
            <w:pPr>
              <w:spacing w:after="0"/>
            </w:pPr>
            <w:r/>
            <w:r>
              <w:rPr>
                <w:rFonts w:ascii="Arial" w:hAnsi="Arial"/>
                <w:b w:val="0"/>
                <w:color w:val="101C2C"/>
                <w:sz w:val="15"/>
              </w:rPr>
              <w:t>Inventory Aging and Disposition</w:t>
            </w:r>
          </w:p>
        </w:tc>
        <w:tc>
          <w:tcPr>
            <w:tcW w:type="dxa" w:w="5976"/>
            <w:vAlign w:val="center"/>
          </w:tcPr>
          <w:p>
            <w:pPr>
              <w:spacing w:after="0"/>
            </w:pPr>
            <w:r/>
            <w:r>
              <w:rPr>
                <w:rFonts w:ascii="Arial" w:hAnsi="Arial"/>
                <w:b w:val="0"/>
                <w:color w:val="101C2C"/>
                <w:sz w:val="15"/>
              </w:rPr>
              <w:t>Which inventory should be used, transferred, returned, sold, refurbished, harvested, recycled or retained?</w:t>
            </w:r>
          </w:p>
        </w:tc>
        <w:tc>
          <w:tcPr>
            <w:tcW w:type="dxa" w:w="1656"/>
            <w:vAlign w:val="center"/>
          </w:tcPr>
          <w:p>
            <w:pPr>
              <w:spacing w:after="0"/>
            </w:pPr>
            <w:r/>
            <w:r>
              <w:rPr>
                <w:rFonts w:ascii="Arial" w:hAnsi="Arial"/>
                <w:b w:val="0"/>
                <w:color w:val="101C2C"/>
                <w:sz w:val="15"/>
              </w:rPr>
              <w:t>Monthly</w:t>
            </w:r>
          </w:p>
        </w:tc>
      </w:tr>
      <w:tr>
        <w:tc>
          <w:tcPr>
            <w:tcW w:type="dxa" w:w="3024"/>
            <w:vAlign w:val="center"/>
          </w:tcPr>
          <w:p>
            <w:pPr>
              <w:spacing w:after="0"/>
            </w:pPr>
            <w:r/>
            <w:r>
              <w:rPr>
                <w:rFonts w:ascii="Arial" w:hAnsi="Arial"/>
                <w:b w:val="0"/>
                <w:color w:val="101C2C"/>
                <w:sz w:val="15"/>
              </w:rPr>
              <w:t>Stockout and Expedite Costs</w:t>
            </w:r>
          </w:p>
        </w:tc>
        <w:tc>
          <w:tcPr>
            <w:tcW w:type="dxa" w:w="5976"/>
            <w:vAlign w:val="center"/>
          </w:tcPr>
          <w:p>
            <w:pPr>
              <w:spacing w:after="0"/>
            </w:pPr>
            <w:r/>
            <w:r>
              <w:rPr>
                <w:rFonts w:ascii="Arial" w:hAnsi="Arial"/>
                <w:b w:val="0"/>
                <w:color w:val="101C2C"/>
                <w:sz w:val="15"/>
              </w:rPr>
              <w:t>Where are shortages creating delay or avoidable cost?</w:t>
            </w:r>
          </w:p>
        </w:tc>
        <w:tc>
          <w:tcPr>
            <w:tcW w:type="dxa" w:w="1656"/>
            <w:vAlign w:val="center"/>
          </w:tcPr>
          <w:p>
            <w:pPr>
              <w:spacing w:after="0"/>
            </w:pPr>
            <w:r/>
            <w:r>
              <w:rPr>
                <w:rFonts w:ascii="Arial" w:hAnsi="Arial"/>
                <w:b w:val="0"/>
                <w:color w:val="101C2C"/>
                <w:sz w:val="15"/>
              </w:rPr>
              <w:t>Weekly</w:t>
            </w:r>
          </w:p>
        </w:tc>
      </w:tr>
      <w:tr>
        <w:tc>
          <w:tcPr>
            <w:tcW w:type="dxa" w:w="3024"/>
            <w:vAlign w:val="center"/>
          </w:tcPr>
          <w:p>
            <w:pPr>
              <w:spacing w:after="0"/>
            </w:pPr>
            <w:r/>
            <w:r>
              <w:rPr>
                <w:rFonts w:ascii="Arial" w:hAnsi="Arial"/>
                <w:b w:val="0"/>
                <w:color w:val="101C2C"/>
                <w:sz w:val="15"/>
              </w:rPr>
              <w:t>Project/Work-Order Material Variance</w:t>
            </w:r>
          </w:p>
        </w:tc>
        <w:tc>
          <w:tcPr>
            <w:tcW w:type="dxa" w:w="5976"/>
            <w:vAlign w:val="center"/>
          </w:tcPr>
          <w:p>
            <w:pPr>
              <w:spacing w:after="0"/>
            </w:pPr>
            <w:r/>
            <w:r>
              <w:rPr>
                <w:rFonts w:ascii="Arial" w:hAnsi="Arial"/>
                <w:b w:val="0"/>
                <w:color w:val="101C2C"/>
                <w:sz w:val="15"/>
              </w:rPr>
              <w:t>Are jobs and repairs consuming materials as planned?</w:t>
            </w:r>
          </w:p>
        </w:tc>
        <w:tc>
          <w:tcPr>
            <w:tcW w:type="dxa" w:w="1656"/>
            <w:vAlign w:val="center"/>
          </w:tcPr>
          <w:p>
            <w:pPr>
              <w:spacing w:after="0"/>
            </w:pPr>
            <w:r/>
            <w:r>
              <w:rPr>
                <w:rFonts w:ascii="Arial" w:hAnsi="Arial"/>
                <w:b w:val="0"/>
                <w:color w:val="101C2C"/>
                <w:sz w:val="15"/>
              </w:rPr>
              <w:t>Weekly/Monthly</w:t>
            </w:r>
          </w:p>
        </w:tc>
      </w:tr>
      <w:tr>
        <w:tc>
          <w:tcPr>
            <w:tcW w:type="dxa" w:w="3024"/>
            <w:vAlign w:val="center"/>
          </w:tcPr>
          <w:p>
            <w:pPr>
              <w:spacing w:after="0"/>
            </w:pPr>
            <w:r/>
            <w:r>
              <w:rPr>
                <w:rFonts w:ascii="Arial" w:hAnsi="Arial"/>
                <w:b w:val="0"/>
                <w:color w:val="101C2C"/>
                <w:sz w:val="15"/>
              </w:rPr>
              <w:t>Savings and Improvement Pipeline</w:t>
            </w:r>
          </w:p>
        </w:tc>
        <w:tc>
          <w:tcPr>
            <w:tcW w:type="dxa" w:w="5976"/>
            <w:vAlign w:val="center"/>
          </w:tcPr>
          <w:p>
            <w:pPr>
              <w:spacing w:after="0"/>
            </w:pPr>
            <w:r/>
            <w:r>
              <w:rPr>
                <w:rFonts w:ascii="Arial" w:hAnsi="Arial"/>
                <w:b w:val="0"/>
                <w:color w:val="101C2C"/>
                <w:sz w:val="15"/>
              </w:rPr>
              <w:t>Which improvements are identified, implemented and financially validated?</w:t>
            </w:r>
          </w:p>
        </w:tc>
        <w:tc>
          <w:tcPr>
            <w:tcW w:type="dxa" w:w="1656"/>
            <w:vAlign w:val="center"/>
          </w:tcPr>
          <w:p>
            <w:pPr>
              <w:spacing w:after="0"/>
            </w:pPr>
            <w:r/>
            <w:r>
              <w:rPr>
                <w:rFonts w:ascii="Arial" w:hAnsi="Arial"/>
                <w:b w:val="0"/>
                <w:color w:val="101C2C"/>
                <w:sz w:val="15"/>
              </w:rPr>
              <w:t>Monthly</w:t>
            </w:r>
          </w:p>
        </w:tc>
      </w:tr>
    </w:tbl>
    <w:p>
      <w:pPr>
        <w:spacing w:after="0"/>
      </w:pPr>
    </w:p>
    <w:p>
      <w:pPr>
        <w:pStyle w:val="Heading1"/>
      </w:pPr>
      <w:r>
        <w:t>10. Data Model and Data Quality</w:t>
      </w:r>
    </w:p>
    <w:p>
      <w:pPr>
        <w:pStyle w:val="ListBullet"/>
        <w:spacing w:after="40"/>
        <w:ind w:left="317" w:hanging="187"/>
      </w:pPr>
      <w:r>
        <w:rPr>
          <w:rFonts w:ascii="Arial" w:hAnsi="Arial"/>
          <w:color w:val="101C2C"/>
          <w:sz w:val="18"/>
        </w:rPr>
        <w:t>Enterprise hierarchy: companies, locations, departments, users and scoped roles.</w:t>
      </w:r>
    </w:p>
    <w:p>
      <w:pPr>
        <w:pStyle w:val="ListBullet"/>
        <w:spacing w:after="40"/>
        <w:ind w:left="317" w:hanging="187"/>
      </w:pPr>
      <w:r>
        <w:rPr>
          <w:rFonts w:ascii="Arial" w:hAnsi="Arial"/>
          <w:color w:val="101C2C"/>
          <w:sz w:val="18"/>
        </w:rPr>
        <w:t>Master data: suppliers, company supplier accounts, contacts, contracts, categories, items and item-supplier relationships.</w:t>
      </w:r>
    </w:p>
    <w:p>
      <w:pPr>
        <w:pStyle w:val="ListBullet"/>
        <w:spacing w:after="40"/>
        <w:ind w:left="317" w:hanging="187"/>
      </w:pPr>
      <w:r>
        <w:rPr>
          <w:rFonts w:ascii="Arial" w:hAnsi="Arial"/>
          <w:color w:val="101C2C"/>
          <w:sz w:val="18"/>
        </w:rPr>
        <w:t>Transactions: requests, approvals, purchase orders, lines, receipts, inventory balances and movements.</w:t>
      </w:r>
    </w:p>
    <w:p>
      <w:pPr>
        <w:pStyle w:val="ListBullet"/>
        <w:spacing w:after="40"/>
        <w:ind w:left="317" w:hanging="187"/>
      </w:pPr>
      <w:r>
        <w:rPr>
          <w:rFonts w:ascii="Arial" w:hAnsi="Arial"/>
          <w:color w:val="101C2C"/>
          <w:sz w:val="18"/>
        </w:rPr>
        <w:t>Work structures: projects and work orders with material budgets and actual usage.</w:t>
      </w:r>
    </w:p>
    <w:p>
      <w:pPr>
        <w:pStyle w:val="ListBullet"/>
        <w:spacing w:after="40"/>
        <w:ind w:left="317" w:hanging="187"/>
      </w:pPr>
      <w:r>
        <w:rPr>
          <w:rFonts w:ascii="Arial" w:hAnsi="Arial"/>
          <w:color w:val="101C2C"/>
          <w:sz w:val="18"/>
        </w:rPr>
        <w:t>Performance: supplier scorecards, quality events, savings opportunities and AI findings.</w:t>
      </w:r>
    </w:p>
    <w:p>
      <w:pPr>
        <w:pStyle w:val="ListBullet"/>
        <w:spacing w:after="40"/>
        <w:ind w:left="317" w:hanging="187"/>
      </w:pPr>
      <w:r>
        <w:rPr>
          <w:rFonts w:ascii="Arial" w:hAnsi="Arial"/>
          <w:color w:val="101C2C"/>
          <w:sz w:val="18"/>
        </w:rPr>
        <w:t>Governance: imports, notifications, settings and immutable audit logs.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448"/>
            <w:vAlign w:val="center"/>
            <w:shd w:fill="10253D"/>
          </w:tcPr>
          <w:p>
            <w:pPr>
              <w:spacing w:after="0"/>
            </w:pPr>
            <w:r/>
            <w:r>
              <w:rPr>
                <w:rFonts w:ascii="Arial" w:hAnsi="Arial"/>
                <w:b/>
                <w:color w:val="FFFFFF"/>
                <w:sz w:val="16"/>
              </w:rPr>
              <w:t>Data Rule</w:t>
            </w:r>
          </w:p>
        </w:tc>
        <w:tc>
          <w:tcPr>
            <w:tcW w:type="dxa" w:w="8208"/>
            <w:vAlign w:val="center"/>
            <w:shd w:fill="10253D"/>
          </w:tcPr>
          <w:p>
            <w:pPr>
              <w:spacing w:after="0"/>
            </w:pPr>
            <w:r/>
            <w:r>
              <w:rPr>
                <w:rFonts w:ascii="Arial" w:hAnsi="Arial"/>
                <w:b/>
                <w:color w:val="FFFFFF"/>
                <w:sz w:val="16"/>
              </w:rPr>
              <w:t>Requirement</w:t>
            </w:r>
          </w:p>
        </w:tc>
      </w:tr>
      <w:tr>
        <w:tc>
          <w:tcPr>
            <w:tcW w:type="dxa" w:w="2448"/>
            <w:vAlign w:val="center"/>
          </w:tcPr>
          <w:p>
            <w:pPr>
              <w:spacing w:after="0"/>
            </w:pPr>
            <w:r/>
            <w:r>
              <w:rPr>
                <w:rFonts w:ascii="Arial" w:hAnsi="Arial"/>
                <w:b w:val="0"/>
                <w:color w:val="101C2C"/>
                <w:sz w:val="16"/>
              </w:rPr>
              <w:t>Identifiers</w:t>
            </w:r>
          </w:p>
        </w:tc>
        <w:tc>
          <w:tcPr>
            <w:tcW w:type="dxa" w:w="8208"/>
            <w:vAlign w:val="center"/>
          </w:tcPr>
          <w:p>
            <w:pPr>
              <w:spacing w:after="0"/>
            </w:pPr>
            <w:r/>
            <w:r>
              <w:rPr>
                <w:rFonts w:ascii="Arial" w:hAnsi="Arial"/>
                <w:b w:val="0"/>
                <w:color w:val="101C2C"/>
                <w:sz w:val="16"/>
              </w:rPr>
              <w:t>One normalized ID for each supplier and item; retain source-system identifiers as aliases where needed.</w:t>
            </w:r>
          </w:p>
        </w:tc>
      </w:tr>
      <w:tr>
        <w:tc>
          <w:tcPr>
            <w:tcW w:type="dxa" w:w="2448"/>
            <w:vAlign w:val="center"/>
          </w:tcPr>
          <w:p>
            <w:pPr>
              <w:spacing w:after="0"/>
            </w:pPr>
            <w:r/>
            <w:r>
              <w:rPr>
                <w:rFonts w:ascii="Arial" w:hAnsi="Arial"/>
                <w:b w:val="0"/>
                <w:color w:val="101C2C"/>
                <w:sz w:val="16"/>
              </w:rPr>
              <w:t>Unit of measure</w:t>
            </w:r>
          </w:p>
        </w:tc>
        <w:tc>
          <w:tcPr>
            <w:tcW w:type="dxa" w:w="8208"/>
            <w:vAlign w:val="center"/>
          </w:tcPr>
          <w:p>
            <w:pPr>
              <w:spacing w:after="0"/>
            </w:pPr>
            <w:r/>
            <w:r>
              <w:rPr>
                <w:rFonts w:ascii="Arial" w:hAnsi="Arial"/>
                <w:b w:val="0"/>
                <w:color w:val="101C2C"/>
                <w:sz w:val="16"/>
              </w:rPr>
              <w:t>Standardize and validate UOM; require documented conversion factors.</w:t>
            </w:r>
          </w:p>
        </w:tc>
      </w:tr>
      <w:tr>
        <w:tc>
          <w:tcPr>
            <w:tcW w:type="dxa" w:w="2448"/>
            <w:vAlign w:val="center"/>
          </w:tcPr>
          <w:p>
            <w:pPr>
              <w:spacing w:after="0"/>
            </w:pPr>
            <w:r/>
            <w:r>
              <w:rPr>
                <w:rFonts w:ascii="Arial" w:hAnsi="Arial"/>
                <w:b w:val="0"/>
                <w:color w:val="101C2C"/>
                <w:sz w:val="16"/>
              </w:rPr>
              <w:t>Business purpose</w:t>
            </w:r>
          </w:p>
        </w:tc>
        <w:tc>
          <w:tcPr>
            <w:tcW w:type="dxa" w:w="8208"/>
            <w:vAlign w:val="center"/>
          </w:tcPr>
          <w:p>
            <w:pPr>
              <w:spacing w:after="0"/>
            </w:pPr>
            <w:r/>
            <w:r>
              <w:rPr>
                <w:rFonts w:ascii="Arial" w:hAnsi="Arial"/>
                <w:b w:val="0"/>
                <w:color w:val="101C2C"/>
                <w:sz w:val="16"/>
              </w:rPr>
              <w:t>Every purchase must identify why the organization is spending money.</w:t>
            </w:r>
          </w:p>
        </w:tc>
      </w:tr>
      <w:tr>
        <w:tc>
          <w:tcPr>
            <w:tcW w:type="dxa" w:w="2448"/>
            <w:vAlign w:val="center"/>
          </w:tcPr>
          <w:p>
            <w:pPr>
              <w:spacing w:after="0"/>
            </w:pPr>
            <w:r/>
            <w:r>
              <w:rPr>
                <w:rFonts w:ascii="Arial" w:hAnsi="Arial"/>
                <w:b w:val="0"/>
                <w:color w:val="101C2C"/>
                <w:sz w:val="16"/>
              </w:rPr>
              <w:t>Financial reconciliation</w:t>
            </w:r>
          </w:p>
        </w:tc>
        <w:tc>
          <w:tcPr>
            <w:tcW w:type="dxa" w:w="8208"/>
            <w:vAlign w:val="center"/>
          </w:tcPr>
          <w:p>
            <w:pPr>
              <w:spacing w:after="0"/>
            </w:pPr>
            <w:r/>
            <w:r>
              <w:rPr>
                <w:rFonts w:ascii="Arial" w:hAnsi="Arial"/>
                <w:b w:val="0"/>
                <w:color w:val="101C2C"/>
                <w:sz w:val="16"/>
              </w:rPr>
              <w:t>Dashboard and report totals must reconcile to source extracts and Accounting.</w:t>
            </w:r>
          </w:p>
        </w:tc>
      </w:tr>
      <w:tr>
        <w:tc>
          <w:tcPr>
            <w:tcW w:type="dxa" w:w="2448"/>
            <w:vAlign w:val="center"/>
          </w:tcPr>
          <w:p>
            <w:pPr>
              <w:spacing w:after="0"/>
            </w:pPr>
            <w:r/>
            <w:r>
              <w:rPr>
                <w:rFonts w:ascii="Arial" w:hAnsi="Arial"/>
                <w:b w:val="0"/>
                <w:color w:val="101C2C"/>
                <w:sz w:val="16"/>
              </w:rPr>
              <w:t>Strategic legacy</w:t>
            </w:r>
          </w:p>
        </w:tc>
        <w:tc>
          <w:tcPr>
            <w:tcW w:type="dxa" w:w="8208"/>
            <w:vAlign w:val="center"/>
          </w:tcPr>
          <w:p>
            <w:pPr>
              <w:spacing w:after="0"/>
            </w:pPr>
            <w:r/>
            <w:r>
              <w:rPr>
                <w:rFonts w:ascii="Arial" w:hAnsi="Arial"/>
                <w:b w:val="0"/>
                <w:color w:val="101C2C"/>
                <w:sz w:val="16"/>
              </w:rPr>
              <w:t>Technical and service review is required before classification, transfer or disposition changes.</w:t>
            </w:r>
          </w:p>
        </w:tc>
      </w:tr>
      <w:tr>
        <w:tc>
          <w:tcPr>
            <w:tcW w:type="dxa" w:w="2448"/>
            <w:vAlign w:val="center"/>
          </w:tcPr>
          <w:p>
            <w:pPr>
              <w:spacing w:after="0"/>
            </w:pPr>
            <w:r/>
            <w:r>
              <w:rPr>
                <w:rFonts w:ascii="Arial" w:hAnsi="Arial"/>
                <w:b w:val="0"/>
                <w:color w:val="101C2C"/>
                <w:sz w:val="16"/>
              </w:rPr>
              <w:t>Import traceability</w:t>
            </w:r>
          </w:p>
        </w:tc>
        <w:tc>
          <w:tcPr>
            <w:tcW w:type="dxa" w:w="8208"/>
            <w:vAlign w:val="center"/>
          </w:tcPr>
          <w:p>
            <w:pPr>
              <w:spacing w:after="0"/>
            </w:pPr>
            <w:r/>
            <w:r>
              <w:rPr>
                <w:rFonts w:ascii="Arial" w:hAnsi="Arial"/>
                <w:b w:val="0"/>
                <w:color w:val="101C2C"/>
                <w:sz w:val="16"/>
              </w:rPr>
              <w:t>Retain source file, mapping, row counts, rejected rows, importer and timestamps.</w:t>
            </w:r>
          </w:p>
        </w:tc>
      </w:tr>
    </w:tbl>
    <w:p>
      <w:pPr>
        <w:spacing w:after="0"/>
      </w:pPr>
    </w:p>
    <w:p>
      <w:pPr>
        <w:pStyle w:val="Heading1"/>
      </w:pPr>
      <w:r>
        <w:t>11. Integrations and Import Strategy</w:t>
      </w:r>
    </w:p>
    <w:p>
      <w:r>
        <w:t>The first release should use controlled CSV/XLSX imports to establish value quickly and avoid waiting for complete system integration. Integration adapters can replace recurring imports after source systems and data ownership are confirmed.</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1584"/>
            <w:vAlign w:val="center"/>
            <w:shd w:fill="10253D"/>
          </w:tcPr>
          <w:p>
            <w:pPr>
              <w:spacing w:after="0"/>
            </w:pPr>
            <w:r/>
            <w:r>
              <w:rPr>
                <w:rFonts w:ascii="Arial" w:hAnsi="Arial"/>
                <w:b/>
                <w:color w:val="FFFFFF"/>
                <w:sz w:val="16"/>
              </w:rPr>
              <w:t>Phase</w:t>
            </w:r>
          </w:p>
        </w:tc>
        <w:tc>
          <w:tcPr>
            <w:tcW w:type="dxa" w:w="3312"/>
            <w:vAlign w:val="center"/>
            <w:shd w:fill="10253D"/>
          </w:tcPr>
          <w:p>
            <w:pPr>
              <w:spacing w:after="0"/>
            </w:pPr>
            <w:r/>
            <w:r>
              <w:rPr>
                <w:rFonts w:ascii="Arial" w:hAnsi="Arial"/>
                <w:b/>
                <w:color w:val="FFFFFF"/>
                <w:sz w:val="16"/>
              </w:rPr>
              <w:t>Integration Pattern</w:t>
            </w:r>
          </w:p>
        </w:tc>
        <w:tc>
          <w:tcPr>
            <w:tcW w:type="dxa" w:w="5760"/>
            <w:vAlign w:val="center"/>
            <w:shd w:fill="10253D"/>
          </w:tcPr>
          <w:p>
            <w:pPr>
              <w:spacing w:after="0"/>
            </w:pPr>
            <w:r/>
            <w:r>
              <w:rPr>
                <w:rFonts w:ascii="Arial" w:hAnsi="Arial"/>
                <w:b/>
                <w:color w:val="FFFFFF"/>
                <w:sz w:val="16"/>
              </w:rPr>
              <w:t>Examples</w:t>
            </w:r>
          </w:p>
        </w:tc>
      </w:tr>
      <w:tr>
        <w:tc>
          <w:tcPr>
            <w:tcW w:type="dxa" w:w="1584"/>
            <w:vAlign w:val="center"/>
          </w:tcPr>
          <w:p>
            <w:pPr>
              <w:spacing w:after="0"/>
            </w:pPr>
            <w:r/>
            <w:r>
              <w:rPr>
                <w:rFonts w:ascii="Arial" w:hAnsi="Arial"/>
                <w:b w:val="0"/>
                <w:color w:val="101C2C"/>
                <w:sz w:val="16"/>
              </w:rPr>
              <w:t>MVP</w:t>
            </w:r>
          </w:p>
        </w:tc>
        <w:tc>
          <w:tcPr>
            <w:tcW w:type="dxa" w:w="3312"/>
            <w:vAlign w:val="center"/>
          </w:tcPr>
          <w:p>
            <w:pPr>
              <w:spacing w:after="0"/>
            </w:pPr>
            <w:r/>
            <w:r>
              <w:rPr>
                <w:rFonts w:ascii="Arial" w:hAnsi="Arial"/>
                <w:b w:val="0"/>
                <w:color w:val="101C2C"/>
                <w:sz w:val="16"/>
              </w:rPr>
              <w:t>File upload, mapping, validation and import</w:t>
            </w:r>
          </w:p>
        </w:tc>
        <w:tc>
          <w:tcPr>
            <w:tcW w:type="dxa" w:w="5760"/>
            <w:vAlign w:val="center"/>
          </w:tcPr>
          <w:p>
            <w:pPr>
              <w:spacing w:after="0"/>
            </w:pPr>
            <w:r/>
            <w:r>
              <w:rPr>
                <w:rFonts w:ascii="Arial" w:hAnsi="Arial"/>
                <w:b w:val="0"/>
                <w:color w:val="101C2C"/>
                <w:sz w:val="16"/>
              </w:rPr>
              <w:t>Supplier master, item master, purchase orders, receipts, inventory snapshots, projects and quality events.</w:t>
            </w:r>
          </w:p>
        </w:tc>
      </w:tr>
      <w:tr>
        <w:tc>
          <w:tcPr>
            <w:tcW w:type="dxa" w:w="1584"/>
            <w:vAlign w:val="center"/>
          </w:tcPr>
          <w:p>
            <w:pPr>
              <w:spacing w:after="0"/>
            </w:pPr>
            <w:r/>
            <w:r>
              <w:rPr>
                <w:rFonts w:ascii="Arial" w:hAnsi="Arial"/>
                <w:b w:val="0"/>
                <w:color w:val="101C2C"/>
                <w:sz w:val="16"/>
              </w:rPr>
              <w:t>Phase 2</w:t>
            </w:r>
          </w:p>
        </w:tc>
        <w:tc>
          <w:tcPr>
            <w:tcW w:type="dxa" w:w="3312"/>
            <w:vAlign w:val="center"/>
          </w:tcPr>
          <w:p>
            <w:pPr>
              <w:spacing w:after="0"/>
            </w:pPr>
            <w:r/>
            <w:r>
              <w:rPr>
                <w:rFonts w:ascii="Arial" w:hAnsi="Arial"/>
                <w:b w:val="0"/>
                <w:color w:val="101C2C"/>
                <w:sz w:val="16"/>
              </w:rPr>
              <w:t>Scheduled database/API extracts</w:t>
            </w:r>
          </w:p>
        </w:tc>
        <w:tc>
          <w:tcPr>
            <w:tcW w:type="dxa" w:w="5760"/>
            <w:vAlign w:val="center"/>
          </w:tcPr>
          <w:p>
            <w:pPr>
              <w:spacing w:after="0"/>
            </w:pPr>
            <w:r/>
            <w:r>
              <w:rPr>
                <w:rFonts w:ascii="Arial" w:hAnsi="Arial"/>
                <w:b w:val="0"/>
                <w:color w:val="101C2C"/>
                <w:sz w:val="16"/>
              </w:rPr>
              <w:t>Accounting, ERP, e-commerce, service-management and project systems.</w:t>
            </w:r>
          </w:p>
        </w:tc>
      </w:tr>
      <w:tr>
        <w:tc>
          <w:tcPr>
            <w:tcW w:type="dxa" w:w="1584"/>
            <w:vAlign w:val="center"/>
          </w:tcPr>
          <w:p>
            <w:pPr>
              <w:spacing w:after="0"/>
            </w:pPr>
            <w:r/>
            <w:r>
              <w:rPr>
                <w:rFonts w:ascii="Arial" w:hAnsi="Arial"/>
                <w:b w:val="0"/>
                <w:color w:val="101C2C"/>
                <w:sz w:val="16"/>
              </w:rPr>
              <w:t>Phase 3</w:t>
            </w:r>
          </w:p>
        </w:tc>
        <w:tc>
          <w:tcPr>
            <w:tcW w:type="dxa" w:w="3312"/>
            <w:vAlign w:val="center"/>
          </w:tcPr>
          <w:p>
            <w:pPr>
              <w:spacing w:after="0"/>
            </w:pPr>
            <w:r/>
            <w:r>
              <w:rPr>
                <w:rFonts w:ascii="Arial" w:hAnsi="Arial"/>
                <w:b w:val="0"/>
                <w:color w:val="101C2C"/>
                <w:sz w:val="16"/>
              </w:rPr>
              <w:t>Event/API synchronization</w:t>
            </w:r>
          </w:p>
        </w:tc>
        <w:tc>
          <w:tcPr>
            <w:tcW w:type="dxa" w:w="5760"/>
            <w:vAlign w:val="center"/>
          </w:tcPr>
          <w:p>
            <w:pPr>
              <w:spacing w:after="0"/>
            </w:pPr>
            <w:r/>
            <w:r>
              <w:rPr>
                <w:rFonts w:ascii="Arial" w:hAnsi="Arial"/>
                <w:b w:val="0"/>
                <w:color w:val="101C2C"/>
                <w:sz w:val="16"/>
              </w:rPr>
              <w:t>Approved purchase requests, PO status, receipts, inventory movements and supplier updates.</w:t>
            </w:r>
          </w:p>
        </w:tc>
      </w:tr>
      <w:tr>
        <w:tc>
          <w:tcPr>
            <w:tcW w:type="dxa" w:w="1584"/>
            <w:vAlign w:val="center"/>
          </w:tcPr>
          <w:p>
            <w:pPr>
              <w:spacing w:after="0"/>
            </w:pPr>
            <w:r/>
            <w:r>
              <w:rPr>
                <w:rFonts w:ascii="Arial" w:hAnsi="Arial"/>
                <w:b w:val="0"/>
                <w:color w:val="101C2C"/>
                <w:sz w:val="16"/>
              </w:rPr>
              <w:t>Future</w:t>
            </w:r>
          </w:p>
        </w:tc>
        <w:tc>
          <w:tcPr>
            <w:tcW w:type="dxa" w:w="3312"/>
            <w:vAlign w:val="center"/>
          </w:tcPr>
          <w:p>
            <w:pPr>
              <w:spacing w:after="0"/>
            </w:pPr>
            <w:r/>
            <w:r>
              <w:rPr>
                <w:rFonts w:ascii="Arial" w:hAnsi="Arial"/>
                <w:b w:val="0"/>
                <w:color w:val="101C2C"/>
                <w:sz w:val="16"/>
              </w:rPr>
              <w:t>Supplier and agent interfaces</w:t>
            </w:r>
          </w:p>
        </w:tc>
        <w:tc>
          <w:tcPr>
            <w:tcW w:type="dxa" w:w="5760"/>
            <w:vAlign w:val="center"/>
          </w:tcPr>
          <w:p>
            <w:pPr>
              <w:spacing w:after="0"/>
            </w:pPr>
            <w:r/>
            <w:r>
              <w:rPr>
                <w:rFonts w:ascii="Arial" w:hAnsi="Arial"/>
                <w:b w:val="0"/>
                <w:color w:val="101C2C"/>
                <w:sz w:val="16"/>
              </w:rPr>
              <w:t>Supplier acknowledgements, quotes, ASN/EDI and approved MCP/API access.</w:t>
            </w:r>
          </w:p>
        </w:tc>
      </w:tr>
    </w:tbl>
    <w:p>
      <w:pPr>
        <w:spacing w:after="0"/>
      </w:pPr>
    </w:p>
    <w:p>
      <w:pPr>
        <w:pStyle w:val="Heading1"/>
      </w:pPr>
      <w:r>
        <w:t>12. Security, Audit and Nonfunctional Requirements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160"/>
            <w:vAlign w:val="center"/>
            <w:shd w:fill="10253D"/>
          </w:tcPr>
          <w:p>
            <w:pPr>
              <w:spacing w:after="0"/>
            </w:pPr>
            <w:r/>
            <w:r>
              <w:rPr>
                <w:rFonts w:ascii="Arial" w:hAnsi="Arial"/>
                <w:b/>
                <w:color w:val="FFFFFF"/>
                <w:sz w:val="16"/>
              </w:rPr>
              <w:t>Area</w:t>
            </w:r>
          </w:p>
        </w:tc>
        <w:tc>
          <w:tcPr>
            <w:tcW w:type="dxa" w:w="8496"/>
            <w:vAlign w:val="center"/>
            <w:shd w:fill="10253D"/>
          </w:tcPr>
          <w:p>
            <w:pPr>
              <w:spacing w:after="0"/>
            </w:pPr>
            <w:r/>
            <w:r>
              <w:rPr>
                <w:rFonts w:ascii="Arial" w:hAnsi="Arial"/>
                <w:b/>
                <w:color w:val="FFFFFF"/>
                <w:sz w:val="16"/>
              </w:rPr>
              <w:t>Requirement</w:t>
            </w:r>
          </w:p>
        </w:tc>
      </w:tr>
      <w:tr>
        <w:tc>
          <w:tcPr>
            <w:tcW w:type="dxa" w:w="2160"/>
            <w:vAlign w:val="center"/>
          </w:tcPr>
          <w:p>
            <w:pPr>
              <w:spacing w:after="0"/>
            </w:pPr>
            <w:r/>
            <w:r>
              <w:rPr>
                <w:rFonts w:ascii="Arial" w:hAnsi="Arial"/>
                <w:b w:val="0"/>
                <w:color w:val="101C2C"/>
                <w:sz w:val="16"/>
              </w:rPr>
              <w:t>Authentication</w:t>
            </w:r>
          </w:p>
        </w:tc>
        <w:tc>
          <w:tcPr>
            <w:tcW w:type="dxa" w:w="8496"/>
            <w:vAlign w:val="center"/>
          </w:tcPr>
          <w:p>
            <w:pPr>
              <w:spacing w:after="0"/>
            </w:pPr>
            <w:r/>
            <w:r>
              <w:rPr>
                <w:rFonts w:ascii="Arial" w:hAnsi="Arial"/>
                <w:b w:val="0"/>
                <w:color w:val="101C2C"/>
                <w:sz w:val="16"/>
              </w:rPr>
              <w:t>Secure session authentication, MFA-ready architecture, password policy and account lockout.</w:t>
            </w:r>
          </w:p>
        </w:tc>
      </w:tr>
      <w:tr>
        <w:tc>
          <w:tcPr>
            <w:tcW w:type="dxa" w:w="2160"/>
            <w:vAlign w:val="center"/>
          </w:tcPr>
          <w:p>
            <w:pPr>
              <w:spacing w:after="0"/>
            </w:pPr>
            <w:r/>
            <w:r>
              <w:rPr>
                <w:rFonts w:ascii="Arial" w:hAnsi="Arial"/>
                <w:b w:val="0"/>
                <w:color w:val="101C2C"/>
                <w:sz w:val="16"/>
              </w:rPr>
              <w:t>Authorization</w:t>
            </w:r>
          </w:p>
        </w:tc>
        <w:tc>
          <w:tcPr>
            <w:tcW w:type="dxa" w:w="8496"/>
            <w:vAlign w:val="center"/>
          </w:tcPr>
          <w:p>
            <w:pPr>
              <w:spacing w:after="0"/>
            </w:pPr>
            <w:r/>
            <w:r>
              <w:rPr>
                <w:rFonts w:ascii="Arial" w:hAnsi="Arial"/>
                <w:b w:val="0"/>
                <w:color w:val="101C2C"/>
                <w:sz w:val="16"/>
              </w:rPr>
              <w:t>Role, company, location, threshold and action-based access control.</w:t>
            </w:r>
          </w:p>
        </w:tc>
      </w:tr>
      <w:tr>
        <w:tc>
          <w:tcPr>
            <w:tcW w:type="dxa" w:w="2160"/>
            <w:vAlign w:val="center"/>
          </w:tcPr>
          <w:p>
            <w:pPr>
              <w:spacing w:after="0"/>
            </w:pPr>
            <w:r/>
            <w:r>
              <w:rPr>
                <w:rFonts w:ascii="Arial" w:hAnsi="Arial"/>
                <w:b w:val="0"/>
                <w:color w:val="101C2C"/>
                <w:sz w:val="16"/>
              </w:rPr>
              <w:t>Audit</w:t>
            </w:r>
          </w:p>
        </w:tc>
        <w:tc>
          <w:tcPr>
            <w:tcW w:type="dxa" w:w="8496"/>
            <w:vAlign w:val="center"/>
          </w:tcPr>
          <w:p>
            <w:pPr>
              <w:spacing w:after="0"/>
            </w:pPr>
            <w:r/>
            <w:r>
              <w:rPr>
                <w:rFonts w:ascii="Arial" w:hAnsi="Arial"/>
                <w:b w:val="0"/>
                <w:color w:val="101C2C"/>
                <w:sz w:val="16"/>
              </w:rPr>
              <w:t>Record create/update/delete, approvals, imports, adjustments, finding disposition and validation.</w:t>
            </w:r>
          </w:p>
        </w:tc>
      </w:tr>
      <w:tr>
        <w:tc>
          <w:tcPr>
            <w:tcW w:type="dxa" w:w="2160"/>
            <w:vAlign w:val="center"/>
          </w:tcPr>
          <w:p>
            <w:pPr>
              <w:spacing w:after="0"/>
            </w:pPr>
            <w:r/>
            <w:r>
              <w:rPr>
                <w:rFonts w:ascii="Arial" w:hAnsi="Arial"/>
                <w:b w:val="0"/>
                <w:color w:val="101C2C"/>
                <w:sz w:val="16"/>
              </w:rPr>
              <w:t>AI data boundary</w:t>
            </w:r>
          </w:p>
        </w:tc>
        <w:tc>
          <w:tcPr>
            <w:tcW w:type="dxa" w:w="8496"/>
            <w:vAlign w:val="center"/>
          </w:tcPr>
          <w:p>
            <w:pPr>
              <w:spacing w:after="0"/>
            </w:pPr>
            <w:r/>
            <w:r>
              <w:rPr>
                <w:rFonts w:ascii="Arial" w:hAnsi="Arial"/>
                <w:b w:val="0"/>
                <w:color w:val="101C2C"/>
                <w:sz w:val="16"/>
              </w:rPr>
              <w:t>Use least-privilege views; exclude credentials, bank information, tax identifiers and secrets.</w:t>
            </w:r>
          </w:p>
        </w:tc>
      </w:tr>
      <w:tr>
        <w:tc>
          <w:tcPr>
            <w:tcW w:type="dxa" w:w="2160"/>
            <w:vAlign w:val="center"/>
          </w:tcPr>
          <w:p>
            <w:pPr>
              <w:spacing w:after="0"/>
            </w:pPr>
            <w:r/>
            <w:r>
              <w:rPr>
                <w:rFonts w:ascii="Arial" w:hAnsi="Arial"/>
                <w:b w:val="0"/>
                <w:color w:val="101C2C"/>
                <w:sz w:val="16"/>
              </w:rPr>
              <w:t>Attachments</w:t>
            </w:r>
          </w:p>
        </w:tc>
        <w:tc>
          <w:tcPr>
            <w:tcW w:type="dxa" w:w="8496"/>
            <w:vAlign w:val="center"/>
          </w:tcPr>
          <w:p>
            <w:pPr>
              <w:spacing w:after="0"/>
            </w:pPr>
            <w:r/>
            <w:r>
              <w:rPr>
                <w:rFonts w:ascii="Arial" w:hAnsi="Arial"/>
                <w:b w:val="0"/>
                <w:color w:val="101C2C"/>
                <w:sz w:val="16"/>
              </w:rPr>
              <w:t>Protected storage, authorization checks, virus scanning and retention rules.</w:t>
            </w:r>
          </w:p>
        </w:tc>
      </w:tr>
      <w:tr>
        <w:tc>
          <w:tcPr>
            <w:tcW w:type="dxa" w:w="2160"/>
            <w:vAlign w:val="center"/>
          </w:tcPr>
          <w:p>
            <w:pPr>
              <w:spacing w:after="0"/>
            </w:pPr>
            <w:r/>
            <w:r>
              <w:rPr>
                <w:rFonts w:ascii="Arial" w:hAnsi="Arial"/>
                <w:b w:val="0"/>
                <w:color w:val="101C2C"/>
                <w:sz w:val="16"/>
              </w:rPr>
              <w:t>Availability</w:t>
            </w:r>
          </w:p>
        </w:tc>
        <w:tc>
          <w:tcPr>
            <w:tcW w:type="dxa" w:w="8496"/>
            <w:vAlign w:val="center"/>
          </w:tcPr>
          <w:p>
            <w:pPr>
              <w:spacing w:after="0"/>
            </w:pPr>
            <w:r/>
            <w:r>
              <w:rPr>
                <w:rFonts w:ascii="Arial" w:hAnsi="Arial"/>
                <w:b w:val="0"/>
                <w:color w:val="101C2C"/>
                <w:sz w:val="16"/>
              </w:rPr>
              <w:t>Target 99.5% during the pilot; documented backup and restore process.</w:t>
            </w:r>
          </w:p>
        </w:tc>
      </w:tr>
      <w:tr>
        <w:tc>
          <w:tcPr>
            <w:tcW w:type="dxa" w:w="2160"/>
            <w:vAlign w:val="center"/>
          </w:tcPr>
          <w:p>
            <w:pPr>
              <w:spacing w:after="0"/>
            </w:pPr>
            <w:r/>
            <w:r>
              <w:rPr>
                <w:rFonts w:ascii="Arial" w:hAnsi="Arial"/>
                <w:b w:val="0"/>
                <w:color w:val="101C2C"/>
                <w:sz w:val="16"/>
              </w:rPr>
              <w:t>Performance</w:t>
            </w:r>
          </w:p>
        </w:tc>
        <w:tc>
          <w:tcPr>
            <w:tcW w:type="dxa" w:w="8496"/>
            <w:vAlign w:val="center"/>
          </w:tcPr>
          <w:p>
            <w:pPr>
              <w:spacing w:after="0"/>
            </w:pPr>
            <w:r/>
            <w:r>
              <w:rPr>
                <w:rFonts w:ascii="Arial" w:hAnsi="Arial"/>
                <w:b w:val="0"/>
                <w:color w:val="101C2C"/>
                <w:sz w:val="16"/>
              </w:rPr>
              <w:t>Dashboard initial response under 3 seconds for standard date/company filters after aggregation.</w:t>
            </w:r>
          </w:p>
        </w:tc>
      </w:tr>
      <w:tr>
        <w:tc>
          <w:tcPr>
            <w:tcW w:type="dxa" w:w="2160"/>
            <w:vAlign w:val="center"/>
          </w:tcPr>
          <w:p>
            <w:pPr>
              <w:spacing w:after="0"/>
            </w:pPr>
            <w:r/>
            <w:r>
              <w:rPr>
                <w:rFonts w:ascii="Arial" w:hAnsi="Arial"/>
                <w:b w:val="0"/>
                <w:color w:val="101C2C"/>
                <w:sz w:val="16"/>
              </w:rPr>
              <w:t>Imports</w:t>
            </w:r>
          </w:p>
        </w:tc>
        <w:tc>
          <w:tcPr>
            <w:tcW w:type="dxa" w:w="8496"/>
            <w:vAlign w:val="center"/>
          </w:tcPr>
          <w:p>
            <w:pPr>
              <w:spacing w:after="0"/>
            </w:pPr>
            <w:r/>
            <w:r>
              <w:rPr>
                <w:rFonts w:ascii="Arial" w:hAnsi="Arial"/>
                <w:b w:val="0"/>
                <w:color w:val="101C2C"/>
                <w:sz w:val="16"/>
              </w:rPr>
              <w:t>Queue large files; display progress; preserve rejected rows and validation errors.</w:t>
            </w:r>
          </w:p>
        </w:tc>
      </w:tr>
      <w:tr>
        <w:tc>
          <w:tcPr>
            <w:tcW w:type="dxa" w:w="2160"/>
            <w:vAlign w:val="center"/>
          </w:tcPr>
          <w:p>
            <w:pPr>
              <w:spacing w:after="0"/>
            </w:pPr>
            <w:r/>
            <w:r>
              <w:rPr>
                <w:rFonts w:ascii="Arial" w:hAnsi="Arial"/>
                <w:b w:val="0"/>
                <w:color w:val="101C2C"/>
                <w:sz w:val="16"/>
              </w:rPr>
              <w:t>Accessibility</w:t>
            </w:r>
          </w:p>
        </w:tc>
        <w:tc>
          <w:tcPr>
            <w:tcW w:type="dxa" w:w="8496"/>
            <w:vAlign w:val="center"/>
          </w:tcPr>
          <w:p>
            <w:pPr>
              <w:spacing w:after="0"/>
            </w:pPr>
            <w:r/>
            <w:r>
              <w:rPr>
                <w:rFonts w:ascii="Arial" w:hAnsi="Arial"/>
                <w:b w:val="0"/>
                <w:color w:val="101C2C"/>
                <w:sz w:val="16"/>
              </w:rPr>
              <w:t>Keyboard navigation, clear focus states, semantic tables/forms and WCAG-oriented contrast.</w:t>
            </w:r>
          </w:p>
        </w:tc>
      </w:tr>
      <w:tr>
        <w:tc>
          <w:tcPr>
            <w:tcW w:type="dxa" w:w="2160"/>
            <w:vAlign w:val="center"/>
          </w:tcPr>
          <w:p>
            <w:pPr>
              <w:spacing w:after="0"/>
            </w:pPr>
            <w:r/>
            <w:r>
              <w:rPr>
                <w:rFonts w:ascii="Arial" w:hAnsi="Arial"/>
                <w:b w:val="0"/>
                <w:color w:val="101C2C"/>
                <w:sz w:val="16"/>
              </w:rPr>
              <w:t>Responsiveness</w:t>
            </w:r>
          </w:p>
        </w:tc>
        <w:tc>
          <w:tcPr>
            <w:tcW w:type="dxa" w:w="8496"/>
            <w:vAlign w:val="center"/>
          </w:tcPr>
          <w:p>
            <w:pPr>
              <w:spacing w:after="0"/>
            </w:pPr>
            <w:r/>
            <w:r>
              <w:rPr>
                <w:rFonts w:ascii="Arial" w:hAnsi="Arial"/>
                <w:b w:val="0"/>
                <w:color w:val="101C2C"/>
                <w:sz w:val="16"/>
              </w:rPr>
              <w:t>Desktop-first internal interface with usable tablet and mobile exception review.</w:t>
            </w:r>
          </w:p>
        </w:tc>
      </w:tr>
    </w:tbl>
    <w:p>
      <w:pPr>
        <w:spacing w:after="0"/>
      </w:pPr>
    </w:p>
    <w:p>
      <w:pPr>
        <w:pStyle w:val="Heading1"/>
      </w:pPr>
      <w:r>
        <w:t>13. MVP Scope</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5328"/>
            <w:vAlign w:val="center"/>
            <w:shd w:fill="10253D"/>
          </w:tcPr>
          <w:p>
            <w:pPr>
              <w:spacing w:after="0"/>
            </w:pPr>
            <w:r/>
            <w:r>
              <w:rPr>
                <w:rFonts w:ascii="Arial" w:hAnsi="Arial"/>
                <w:b/>
                <w:color w:val="FFFFFF"/>
                <w:sz w:val="16"/>
              </w:rPr>
              <w:t>Included</w:t>
            </w:r>
          </w:p>
        </w:tc>
        <w:tc>
          <w:tcPr>
            <w:tcW w:type="dxa" w:w="5328"/>
            <w:vAlign w:val="center"/>
            <w:shd w:fill="10253D"/>
          </w:tcPr>
          <w:p>
            <w:pPr>
              <w:spacing w:after="0"/>
            </w:pPr>
            <w:r/>
            <w:r>
              <w:rPr>
                <w:rFonts w:ascii="Arial" w:hAnsi="Arial"/>
                <w:b/>
                <w:color w:val="FFFFFF"/>
                <w:sz w:val="16"/>
              </w:rPr>
              <w:t>Deferred</w:t>
            </w:r>
          </w:p>
        </w:tc>
      </w:tr>
      <w:tr>
        <w:tc>
          <w:tcPr>
            <w:tcW w:type="dxa" w:w="5328"/>
            <w:vAlign w:val="center"/>
          </w:tcPr>
          <w:p>
            <w:pPr>
              <w:spacing w:after="0"/>
            </w:pPr>
            <w:r/>
            <w:r>
              <w:rPr>
                <w:rFonts w:ascii="Arial" w:hAnsi="Arial"/>
                <w:b w:val="0"/>
                <w:color w:val="101C2C"/>
                <w:sz w:val="16"/>
              </w:rPr>
              <w:t>Authentication, roles and company scope</w:t>
            </w:r>
          </w:p>
        </w:tc>
        <w:tc>
          <w:tcPr>
            <w:tcW w:type="dxa" w:w="5328"/>
            <w:vAlign w:val="center"/>
          </w:tcPr>
          <w:p>
            <w:pPr>
              <w:spacing w:after="0"/>
            </w:pPr>
            <w:r/>
            <w:r>
              <w:rPr>
                <w:rFonts w:ascii="Arial" w:hAnsi="Arial"/>
                <w:b w:val="0"/>
                <w:color w:val="101C2C"/>
                <w:sz w:val="16"/>
              </w:rPr>
              <w:t>Full ERP replacement</w:t>
            </w:r>
          </w:p>
        </w:tc>
      </w:tr>
      <w:tr>
        <w:tc>
          <w:tcPr>
            <w:tcW w:type="dxa" w:w="5328"/>
            <w:vAlign w:val="center"/>
          </w:tcPr>
          <w:p>
            <w:pPr>
              <w:spacing w:after="0"/>
            </w:pPr>
            <w:r/>
            <w:r>
              <w:rPr>
                <w:rFonts w:ascii="Arial" w:hAnsi="Arial"/>
                <w:b w:val="0"/>
                <w:color w:val="101C2C"/>
                <w:sz w:val="16"/>
              </w:rPr>
              <w:t>Supplier and item masters</w:t>
            </w:r>
          </w:p>
        </w:tc>
        <w:tc>
          <w:tcPr>
            <w:tcW w:type="dxa" w:w="5328"/>
            <w:vAlign w:val="center"/>
          </w:tcPr>
          <w:p>
            <w:pPr>
              <w:spacing w:after="0"/>
            </w:pPr>
            <w:r/>
            <w:r>
              <w:rPr>
                <w:rFonts w:ascii="Arial" w:hAnsi="Arial"/>
                <w:b w:val="0"/>
                <w:color w:val="101C2C"/>
                <w:sz w:val="16"/>
              </w:rPr>
              <w:t>Automated supplier payments</w:t>
            </w:r>
          </w:p>
        </w:tc>
      </w:tr>
      <w:tr>
        <w:tc>
          <w:tcPr>
            <w:tcW w:type="dxa" w:w="5328"/>
            <w:vAlign w:val="center"/>
          </w:tcPr>
          <w:p>
            <w:pPr>
              <w:spacing w:after="0"/>
            </w:pPr>
            <w:r/>
            <w:r>
              <w:rPr>
                <w:rFonts w:ascii="Arial" w:hAnsi="Arial"/>
                <w:b w:val="0"/>
                <w:color w:val="101C2C"/>
                <w:sz w:val="16"/>
              </w:rPr>
              <w:t>PO and inventory imports</w:t>
            </w:r>
          </w:p>
        </w:tc>
        <w:tc>
          <w:tcPr>
            <w:tcW w:type="dxa" w:w="5328"/>
            <w:vAlign w:val="center"/>
          </w:tcPr>
          <w:p>
            <w:pPr>
              <w:spacing w:after="0"/>
            </w:pPr>
            <w:r/>
            <w:r>
              <w:rPr>
                <w:rFonts w:ascii="Arial" w:hAnsi="Arial"/>
                <w:b w:val="0"/>
                <w:color w:val="101C2C"/>
                <w:sz w:val="16"/>
              </w:rPr>
              <w:t>Autonomous purchasing</w:t>
            </w:r>
          </w:p>
        </w:tc>
      </w:tr>
      <w:tr>
        <w:tc>
          <w:tcPr>
            <w:tcW w:type="dxa" w:w="5328"/>
            <w:vAlign w:val="center"/>
          </w:tcPr>
          <w:p>
            <w:pPr>
              <w:spacing w:after="0"/>
            </w:pPr>
            <w:r/>
            <w:r>
              <w:rPr>
                <w:rFonts w:ascii="Arial" w:hAnsi="Arial"/>
                <w:b w:val="0"/>
                <w:color w:val="101C2C"/>
                <w:sz w:val="16"/>
              </w:rPr>
              <w:t>Executive dashboard and drill-down</w:t>
            </w:r>
          </w:p>
        </w:tc>
        <w:tc>
          <w:tcPr>
            <w:tcW w:type="dxa" w:w="5328"/>
            <w:vAlign w:val="center"/>
          </w:tcPr>
          <w:p>
            <w:pPr>
              <w:spacing w:after="0"/>
            </w:pPr>
            <w:r/>
            <w:r>
              <w:rPr>
                <w:rFonts w:ascii="Arial" w:hAnsi="Arial"/>
                <w:b w:val="0"/>
                <w:color w:val="101C2C"/>
                <w:sz w:val="16"/>
              </w:rPr>
              <w:t>Advanced predictive demand planning</w:t>
            </w:r>
          </w:p>
        </w:tc>
      </w:tr>
      <w:tr>
        <w:tc>
          <w:tcPr>
            <w:tcW w:type="dxa" w:w="5328"/>
            <w:vAlign w:val="center"/>
          </w:tcPr>
          <w:p>
            <w:pPr>
              <w:spacing w:after="0"/>
            </w:pPr>
            <w:r/>
            <w:r>
              <w:rPr>
                <w:rFonts w:ascii="Arial" w:hAnsi="Arial"/>
                <w:b w:val="0"/>
                <w:color w:val="101C2C"/>
                <w:sz w:val="16"/>
              </w:rPr>
              <w:t>Open/past-due PO workflow</w:t>
            </w:r>
          </w:p>
        </w:tc>
        <w:tc>
          <w:tcPr>
            <w:tcW w:type="dxa" w:w="5328"/>
            <w:vAlign w:val="center"/>
          </w:tcPr>
          <w:p>
            <w:pPr>
              <w:spacing w:after="0"/>
            </w:pPr>
            <w:r/>
            <w:r>
              <w:rPr>
                <w:rFonts w:ascii="Arial" w:hAnsi="Arial"/>
                <w:b w:val="0"/>
                <w:color w:val="101C2C"/>
                <w:sz w:val="16"/>
              </w:rPr>
              <w:t>Mobile barcode warehouse application</w:t>
            </w:r>
          </w:p>
        </w:tc>
      </w:tr>
      <w:tr>
        <w:tc>
          <w:tcPr>
            <w:tcW w:type="dxa" w:w="5328"/>
            <w:vAlign w:val="center"/>
          </w:tcPr>
          <w:p>
            <w:pPr>
              <w:spacing w:after="0"/>
            </w:pPr>
            <w:r/>
            <w:r>
              <w:rPr>
                <w:rFonts w:ascii="Arial" w:hAnsi="Arial"/>
                <w:b w:val="0"/>
                <w:color w:val="101C2C"/>
                <w:sz w:val="16"/>
              </w:rPr>
              <w:t>Inventory aging and transfer review</w:t>
            </w:r>
          </w:p>
        </w:tc>
        <w:tc>
          <w:tcPr>
            <w:tcW w:type="dxa" w:w="5328"/>
            <w:vAlign w:val="center"/>
          </w:tcPr>
          <w:p>
            <w:pPr>
              <w:spacing w:after="0"/>
            </w:pPr>
            <w:r/>
            <w:r>
              <w:rPr>
                <w:rFonts w:ascii="Arial" w:hAnsi="Arial"/>
                <w:b w:val="0"/>
                <w:color w:val="101C2C"/>
                <w:sz w:val="16"/>
              </w:rPr>
              <w:t>Supplier self-service portal</w:t>
            </w:r>
          </w:p>
        </w:tc>
      </w:tr>
      <w:tr>
        <w:tc>
          <w:tcPr>
            <w:tcW w:type="dxa" w:w="5328"/>
            <w:vAlign w:val="center"/>
          </w:tcPr>
          <w:p>
            <w:pPr>
              <w:spacing w:after="0"/>
            </w:pPr>
            <w:r/>
            <w:r>
              <w:rPr>
                <w:rFonts w:ascii="Arial" w:hAnsi="Arial"/>
                <w:b w:val="0"/>
                <w:color w:val="101C2C"/>
                <w:sz w:val="16"/>
              </w:rPr>
              <w:t>Supplier scorecards and contracts</w:t>
            </w:r>
          </w:p>
        </w:tc>
        <w:tc>
          <w:tcPr>
            <w:tcW w:type="dxa" w:w="5328"/>
            <w:vAlign w:val="center"/>
          </w:tcPr>
          <w:p>
            <w:pPr>
              <w:spacing w:after="0"/>
            </w:pPr>
            <w:r/>
            <w:r>
              <w:rPr>
                <w:rFonts w:ascii="Arial" w:hAnsi="Arial"/>
                <w:b w:val="0"/>
                <w:color w:val="101C2C"/>
                <w:sz w:val="16"/>
              </w:rPr>
              <w:t>EDI and full supplier integration</w:t>
            </w:r>
          </w:p>
        </w:tc>
      </w:tr>
      <w:tr>
        <w:tc>
          <w:tcPr>
            <w:tcW w:type="dxa" w:w="5328"/>
            <w:vAlign w:val="center"/>
          </w:tcPr>
          <w:p>
            <w:pPr>
              <w:spacing w:after="0"/>
            </w:pPr>
            <w:r/>
            <w:r>
              <w:rPr>
                <w:rFonts w:ascii="Arial" w:hAnsi="Arial"/>
                <w:b w:val="0"/>
                <w:color w:val="101C2C"/>
                <w:sz w:val="16"/>
              </w:rPr>
              <w:t>Savings pipeline and Accounting validation</w:t>
            </w:r>
          </w:p>
        </w:tc>
        <w:tc>
          <w:tcPr>
            <w:tcW w:type="dxa" w:w="5328"/>
            <w:vAlign w:val="center"/>
          </w:tcPr>
          <w:p>
            <w:pPr>
              <w:spacing w:after="0"/>
            </w:pPr>
            <w:r/>
            <w:r>
              <w:rPr>
                <w:rFonts w:ascii="Arial" w:hAnsi="Arial"/>
                <w:b w:val="0"/>
                <w:color w:val="101C2C"/>
                <w:sz w:val="16"/>
              </w:rPr>
              <w:t>Deep accounting posting integration</w:t>
            </w:r>
          </w:p>
        </w:tc>
      </w:tr>
      <w:tr>
        <w:tc>
          <w:tcPr>
            <w:tcW w:type="dxa" w:w="5328"/>
            <w:vAlign w:val="center"/>
          </w:tcPr>
          <w:p>
            <w:pPr>
              <w:spacing w:after="0"/>
            </w:pPr>
            <w:r/>
            <w:r>
              <w:rPr>
                <w:rFonts w:ascii="Arial" w:hAnsi="Arial"/>
                <w:b w:val="0"/>
                <w:color w:val="101C2C"/>
                <w:sz w:val="16"/>
              </w:rPr>
              <w:t>AI briefings and findings with evidence</w:t>
            </w:r>
          </w:p>
        </w:tc>
        <w:tc>
          <w:tcPr>
            <w:tcW w:type="dxa" w:w="5328"/>
            <w:vAlign w:val="center"/>
          </w:tcPr>
          <w:p>
            <w:pPr>
              <w:spacing w:after="0"/>
            </w:pPr>
            <w:r/>
            <w:r>
              <w:rPr>
                <w:rFonts w:ascii="Arial" w:hAnsi="Arial"/>
                <w:b w:val="0"/>
                <w:color w:val="101C2C"/>
                <w:sz w:val="16"/>
              </w:rPr>
              <w:t>External agent/MCP transaction execution</w:t>
            </w:r>
          </w:p>
        </w:tc>
      </w:tr>
      <w:tr>
        <w:tc>
          <w:tcPr>
            <w:tcW w:type="dxa" w:w="5328"/>
            <w:vAlign w:val="center"/>
          </w:tcPr>
          <w:p>
            <w:pPr>
              <w:spacing w:after="0"/>
            </w:pPr>
            <w:r/>
            <w:r>
              <w:rPr>
                <w:rFonts w:ascii="Arial" w:hAnsi="Arial"/>
                <w:b w:val="0"/>
                <w:color w:val="101C2C"/>
                <w:sz w:val="16"/>
              </w:rPr>
              <w:t>Audit log and notifications</w:t>
            </w:r>
          </w:p>
        </w:tc>
        <w:tc>
          <w:tcPr>
            <w:tcW w:type="dxa" w:w="5328"/>
            <w:vAlign w:val="center"/>
          </w:tcPr>
          <w:p>
            <w:pPr>
              <w:spacing w:after="0"/>
            </w:pPr>
            <w:r/>
            <w:r>
              <w:rPr>
                <w:rFonts w:ascii="Arial" w:hAnsi="Arial"/>
                <w:b w:val="0"/>
                <w:color w:val="101C2C"/>
                <w:sz w:val="16"/>
              </w:rPr>
              <w:t>Company-wide replacement of existing operational systems</w:t>
            </w:r>
          </w:p>
        </w:tc>
      </w:tr>
    </w:tbl>
    <w:p>
      <w:pPr>
        <w:spacing w:after="0"/>
      </w:pPr>
    </w:p>
    <w:p>
      <w:pPr>
        <w:pStyle w:val="Heading1"/>
      </w:pPr>
      <w:r>
        <w:t>14. Delivery Roadmap</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1872"/>
            <w:vAlign w:val="center"/>
            <w:shd w:fill="10253D"/>
          </w:tcPr>
          <w:p>
            <w:pPr>
              <w:spacing w:after="0"/>
            </w:pPr>
            <w:r/>
            <w:r>
              <w:rPr>
                <w:rFonts w:ascii="Arial" w:hAnsi="Arial"/>
                <w:b/>
                <w:color w:val="FFFFFF"/>
                <w:sz w:val="16"/>
              </w:rPr>
              <w:t>Phase</w:t>
            </w:r>
          </w:p>
        </w:tc>
        <w:tc>
          <w:tcPr>
            <w:tcW w:type="dxa" w:w="1728"/>
            <w:vAlign w:val="center"/>
            <w:shd w:fill="10253D"/>
          </w:tcPr>
          <w:p>
            <w:pPr>
              <w:spacing w:after="0"/>
            </w:pPr>
            <w:r/>
            <w:r>
              <w:rPr>
                <w:rFonts w:ascii="Arial" w:hAnsi="Arial"/>
                <w:b/>
                <w:color w:val="FFFFFF"/>
                <w:sz w:val="16"/>
              </w:rPr>
              <w:t>Time</w:t>
            </w:r>
          </w:p>
        </w:tc>
        <w:tc>
          <w:tcPr>
            <w:tcW w:type="dxa" w:w="7056"/>
            <w:vAlign w:val="center"/>
            <w:shd w:fill="10253D"/>
          </w:tcPr>
          <w:p>
            <w:pPr>
              <w:spacing w:after="0"/>
            </w:pPr>
            <w:r/>
            <w:r>
              <w:rPr>
                <w:rFonts w:ascii="Arial" w:hAnsi="Arial"/>
                <w:b/>
                <w:color w:val="FFFFFF"/>
                <w:sz w:val="16"/>
              </w:rPr>
              <w:t>Deliverables</w:t>
            </w:r>
          </w:p>
        </w:tc>
      </w:tr>
      <w:tr>
        <w:tc>
          <w:tcPr>
            <w:tcW w:type="dxa" w:w="1872"/>
            <w:vAlign w:val="center"/>
          </w:tcPr>
          <w:p>
            <w:pPr>
              <w:spacing w:after="0"/>
            </w:pPr>
            <w:r/>
            <w:r>
              <w:rPr>
                <w:rFonts w:ascii="Arial" w:hAnsi="Arial"/>
                <w:b w:val="0"/>
                <w:color w:val="101C2C"/>
                <w:sz w:val="16"/>
              </w:rPr>
              <w:t>Baseline</w:t>
            </w:r>
          </w:p>
        </w:tc>
        <w:tc>
          <w:tcPr>
            <w:tcW w:type="dxa" w:w="1728"/>
            <w:vAlign w:val="center"/>
          </w:tcPr>
          <w:p>
            <w:pPr>
              <w:spacing w:after="0"/>
            </w:pPr>
            <w:r/>
            <w:r>
              <w:rPr>
                <w:rFonts w:ascii="Arial" w:hAnsi="Arial"/>
                <w:b w:val="0"/>
                <w:color w:val="101C2C"/>
                <w:sz w:val="16"/>
              </w:rPr>
              <w:t>Days 1–30</w:t>
            </w:r>
          </w:p>
        </w:tc>
        <w:tc>
          <w:tcPr>
            <w:tcW w:type="dxa" w:w="7056"/>
            <w:vAlign w:val="center"/>
          </w:tcPr>
          <w:p>
            <w:pPr>
              <w:spacing w:after="0"/>
            </w:pPr>
            <w:r/>
            <w:r>
              <w:rPr>
                <w:rFonts w:ascii="Arial" w:hAnsi="Arial"/>
                <w:b w:val="0"/>
                <w:color w:val="101C2C"/>
                <w:sz w:val="16"/>
              </w:rPr>
              <w:t>Discovery, governance, data access, normalized masters, spend/inventory/open PO reports, opportunity register and pilot charter.</w:t>
            </w:r>
          </w:p>
        </w:tc>
      </w:tr>
      <w:tr>
        <w:tc>
          <w:tcPr>
            <w:tcW w:type="dxa" w:w="1872"/>
            <w:vAlign w:val="center"/>
          </w:tcPr>
          <w:p>
            <w:pPr>
              <w:spacing w:after="0"/>
            </w:pPr>
            <w:r/>
            <w:r>
              <w:rPr>
                <w:rFonts w:ascii="Arial" w:hAnsi="Arial"/>
                <w:b w:val="0"/>
                <w:color w:val="101C2C"/>
                <w:sz w:val="16"/>
              </w:rPr>
              <w:t>MVP Workflow</w:t>
            </w:r>
          </w:p>
        </w:tc>
        <w:tc>
          <w:tcPr>
            <w:tcW w:type="dxa" w:w="1728"/>
            <w:vAlign w:val="center"/>
          </w:tcPr>
          <w:p>
            <w:pPr>
              <w:spacing w:after="0"/>
            </w:pPr>
            <w:r/>
            <w:r>
              <w:rPr>
                <w:rFonts w:ascii="Arial" w:hAnsi="Arial"/>
                <w:b w:val="0"/>
                <w:color w:val="101C2C"/>
                <w:sz w:val="16"/>
              </w:rPr>
              <w:t>Days 31–90</w:t>
            </w:r>
          </w:p>
        </w:tc>
        <w:tc>
          <w:tcPr>
            <w:tcW w:type="dxa" w:w="7056"/>
            <w:vAlign w:val="center"/>
          </w:tcPr>
          <w:p>
            <w:pPr>
              <w:spacing w:after="0"/>
            </w:pPr>
            <w:r/>
            <w:r>
              <w:rPr>
                <w:rFonts w:ascii="Arial" w:hAnsi="Arial"/>
                <w:b w:val="0"/>
                <w:color w:val="101C2C"/>
                <w:sz w:val="16"/>
              </w:rPr>
              <w:t>Application foundation, imports, suppliers, items, PO exceptions, inventory aging, scorecards, savings and audit.</w:t>
            </w:r>
          </w:p>
        </w:tc>
      </w:tr>
      <w:tr>
        <w:tc>
          <w:tcPr>
            <w:tcW w:type="dxa" w:w="1872"/>
            <w:vAlign w:val="center"/>
          </w:tcPr>
          <w:p>
            <w:pPr>
              <w:spacing w:after="0"/>
            </w:pPr>
            <w:r/>
            <w:r>
              <w:rPr>
                <w:rFonts w:ascii="Arial" w:hAnsi="Arial"/>
                <w:b w:val="0"/>
                <w:color w:val="101C2C"/>
                <w:sz w:val="16"/>
              </w:rPr>
              <w:t>AI Copilot</w:t>
            </w:r>
          </w:p>
        </w:tc>
        <w:tc>
          <w:tcPr>
            <w:tcW w:type="dxa" w:w="1728"/>
            <w:vAlign w:val="center"/>
          </w:tcPr>
          <w:p>
            <w:pPr>
              <w:spacing w:after="0"/>
            </w:pPr>
            <w:r/>
            <w:r>
              <w:rPr>
                <w:rFonts w:ascii="Arial" w:hAnsi="Arial"/>
                <w:b w:val="0"/>
                <w:color w:val="101C2C"/>
                <w:sz w:val="16"/>
              </w:rPr>
              <w:t>90–180 days</w:t>
            </w:r>
          </w:p>
        </w:tc>
        <w:tc>
          <w:tcPr>
            <w:tcW w:type="dxa" w:w="7056"/>
            <w:vAlign w:val="center"/>
          </w:tcPr>
          <w:p>
            <w:pPr>
              <w:spacing w:after="0"/>
            </w:pPr>
            <w:r/>
            <w:r>
              <w:rPr>
                <w:rFonts w:ascii="Arial" w:hAnsi="Arial"/>
                <w:b w:val="0"/>
                <w:color w:val="101C2C"/>
                <w:sz w:val="16"/>
              </w:rPr>
              <w:t>Weekly briefings, duplicate suppliers, price variance, PO risk, transfer and excess inventory recommendations.</w:t>
            </w:r>
          </w:p>
        </w:tc>
      </w:tr>
      <w:tr>
        <w:tc>
          <w:tcPr>
            <w:tcW w:type="dxa" w:w="1872"/>
            <w:vAlign w:val="center"/>
          </w:tcPr>
          <w:p>
            <w:pPr>
              <w:spacing w:after="0"/>
            </w:pPr>
            <w:r/>
            <w:r>
              <w:rPr>
                <w:rFonts w:ascii="Arial" w:hAnsi="Arial"/>
                <w:b w:val="0"/>
                <w:color w:val="101C2C"/>
                <w:sz w:val="16"/>
              </w:rPr>
              <w:t>Enterprise Operating System</w:t>
            </w:r>
          </w:p>
        </w:tc>
        <w:tc>
          <w:tcPr>
            <w:tcW w:type="dxa" w:w="1728"/>
            <w:vAlign w:val="center"/>
          </w:tcPr>
          <w:p>
            <w:pPr>
              <w:spacing w:after="0"/>
            </w:pPr>
            <w:r/>
            <w:r>
              <w:rPr>
                <w:rFonts w:ascii="Arial" w:hAnsi="Arial"/>
                <w:b w:val="0"/>
                <w:color w:val="101C2C"/>
                <w:sz w:val="16"/>
              </w:rPr>
              <w:t>180+ days</w:t>
            </w:r>
          </w:p>
        </w:tc>
        <w:tc>
          <w:tcPr>
            <w:tcW w:type="dxa" w:w="7056"/>
            <w:vAlign w:val="center"/>
          </w:tcPr>
          <w:p>
            <w:pPr>
              <w:spacing w:after="0"/>
            </w:pPr>
            <w:r/>
            <w:r>
              <w:rPr>
                <w:rFonts w:ascii="Arial" w:hAnsi="Arial"/>
                <w:b w:val="0"/>
                <w:color w:val="101C2C"/>
                <w:sz w:val="16"/>
              </w:rPr>
              <w:t>Deeper integrations, predictive planning, expanded workflow automation, supplier connectivity and approved agent interfaces.</w:t>
            </w:r>
          </w:p>
        </w:tc>
      </w:tr>
    </w:tbl>
    <w:p>
      <w:pPr>
        <w:spacing w:after="0"/>
      </w:pPr>
    </w:p>
    <w:p>
      <w:pPr>
        <w:pStyle w:val="Heading1"/>
      </w:pPr>
      <w:r>
        <w:t>15. MVP Acceptance Criteria</w:t>
      </w:r>
    </w:p>
    <w:p>
      <w:pPr>
        <w:pStyle w:val="ListBullet"/>
        <w:spacing w:after="40"/>
        <w:ind w:left="317" w:hanging="187"/>
      </w:pPr>
      <w:r>
        <w:rPr>
          <w:rFonts w:ascii="Arial" w:hAnsi="Arial"/>
          <w:color w:val="101C2C"/>
          <w:sz w:val="18"/>
        </w:rPr>
        <w:t>Users can only access companies and actions allowed by their role and scope.</w:t>
      </w:r>
    </w:p>
    <w:p>
      <w:pPr>
        <w:pStyle w:val="ListBullet"/>
        <w:spacing w:after="40"/>
        <w:ind w:left="317" w:hanging="187"/>
      </w:pPr>
      <w:r>
        <w:rPr>
          <w:rFonts w:ascii="Arial" w:hAnsi="Arial"/>
          <w:color w:val="101C2C"/>
          <w:sz w:val="18"/>
        </w:rPr>
        <w:t>Supplier and item records have normalized identifiers, validation and audit history.</w:t>
      </w:r>
    </w:p>
    <w:p>
      <w:pPr>
        <w:pStyle w:val="ListBullet"/>
        <w:spacing w:after="40"/>
        <w:ind w:left="317" w:hanging="187"/>
      </w:pPr>
      <w:r>
        <w:rPr>
          <w:rFonts w:ascii="Arial" w:hAnsi="Arial"/>
          <w:color w:val="101C2C"/>
          <w:sz w:val="18"/>
        </w:rPr>
        <w:t>PO and inventory files can be uploaded, mapped, validated, imported and reconciled.</w:t>
      </w:r>
    </w:p>
    <w:p>
      <w:pPr>
        <w:pStyle w:val="ListBullet"/>
        <w:spacing w:after="40"/>
        <w:ind w:left="317" w:hanging="187"/>
      </w:pPr>
      <w:r>
        <w:rPr>
          <w:rFonts w:ascii="Arial" w:hAnsi="Arial"/>
          <w:color w:val="101C2C"/>
          <w:sz w:val="18"/>
        </w:rPr>
        <w:t>Executive dashboard totals reconcile to approved source extracts.</w:t>
      </w:r>
    </w:p>
    <w:p>
      <w:pPr>
        <w:pStyle w:val="ListBullet"/>
        <w:spacing w:after="40"/>
        <w:ind w:left="317" w:hanging="187"/>
      </w:pPr>
      <w:r>
        <w:rPr>
          <w:rFonts w:ascii="Arial" w:hAnsi="Arial"/>
          <w:color w:val="101C2C"/>
          <w:sz w:val="18"/>
        </w:rPr>
        <w:t>Open and past-due POs can be filtered, assigned, updated and closed.</w:t>
      </w:r>
    </w:p>
    <w:p>
      <w:pPr>
        <w:pStyle w:val="ListBullet"/>
        <w:spacing w:after="40"/>
        <w:ind w:left="317" w:hanging="187"/>
      </w:pPr>
      <w:r>
        <w:rPr>
          <w:rFonts w:ascii="Arial" w:hAnsi="Arial"/>
          <w:color w:val="101C2C"/>
          <w:sz w:val="18"/>
        </w:rPr>
        <w:t>Inventory aging excludes approved strategic legacy stock from automatic obsolete classification.</w:t>
      </w:r>
    </w:p>
    <w:p>
      <w:pPr>
        <w:pStyle w:val="ListBullet"/>
        <w:spacing w:after="40"/>
        <w:ind w:left="317" w:hanging="187"/>
      </w:pPr>
      <w:r>
        <w:rPr>
          <w:rFonts w:ascii="Arial" w:hAnsi="Arial"/>
          <w:color w:val="101C2C"/>
          <w:sz w:val="18"/>
        </w:rPr>
        <w:t>Enterprise availability can be reviewed before a new purchase or transfer decision.</w:t>
      </w:r>
    </w:p>
    <w:p>
      <w:pPr>
        <w:pStyle w:val="ListBullet"/>
        <w:spacing w:after="40"/>
        <w:ind w:left="317" w:hanging="187"/>
      </w:pPr>
      <w:r>
        <w:rPr>
          <w:rFonts w:ascii="Arial" w:hAnsi="Arial"/>
          <w:color w:val="101C2C"/>
          <w:sz w:val="18"/>
        </w:rPr>
        <w:t>Supplier scorecards retain period-specific measures and action plans.</w:t>
      </w:r>
    </w:p>
    <w:p>
      <w:pPr>
        <w:pStyle w:val="ListBullet"/>
        <w:spacing w:after="40"/>
        <w:ind w:left="317" w:hanging="187"/>
      </w:pPr>
      <w:r>
        <w:rPr>
          <w:rFonts w:ascii="Arial" w:hAnsi="Arial"/>
          <w:color w:val="101C2C"/>
          <w:sz w:val="18"/>
        </w:rPr>
        <w:t>Savings cannot be marked validated without an authorized Accounting reviewer.</w:t>
      </w:r>
    </w:p>
    <w:p>
      <w:pPr>
        <w:pStyle w:val="ListBullet"/>
        <w:spacing w:after="40"/>
        <w:ind w:left="317" w:hanging="187"/>
      </w:pPr>
      <w:r>
        <w:rPr>
          <w:rFonts w:ascii="Arial" w:hAnsi="Arial"/>
          <w:color w:val="101C2C"/>
          <w:sz w:val="18"/>
        </w:rPr>
        <w:t>AI findings show evidence, confidence, source window, model/prompt version, reviewer and disposition.</w:t>
      </w:r>
    </w:p>
    <w:p>
      <w:pPr>
        <w:pStyle w:val="ListBullet"/>
        <w:spacing w:after="40"/>
        <w:ind w:left="317" w:hanging="187"/>
      </w:pPr>
      <w:r>
        <w:rPr>
          <w:rFonts w:ascii="Arial" w:hAnsi="Arial"/>
          <w:color w:val="101C2C"/>
          <w:sz w:val="18"/>
        </w:rPr>
        <w:t>No AI function can directly approve purchasing, post inventory or validate savings.</w:t>
      </w:r>
    </w:p>
    <w:p>
      <w:pPr>
        <w:pStyle w:val="ListBullet"/>
        <w:spacing w:after="40"/>
        <w:ind w:left="317" w:hanging="187"/>
      </w:pPr>
      <w:r>
        <w:rPr>
          <w:rFonts w:ascii="Arial" w:hAnsi="Arial"/>
          <w:color w:val="101C2C"/>
          <w:sz w:val="18"/>
        </w:rPr>
        <w:t>All material changes and approvals are available in the audit log.</w:t>
      </w:r>
    </w:p>
    <w:p>
      <w:pPr>
        <w:pStyle w:val="Heading1"/>
      </w:pPr>
      <w:r>
        <w:t>16. Immediate Decisions and Next Build</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2376"/>
            <w:vAlign w:val="center"/>
            <w:shd w:fill="10253D"/>
          </w:tcPr>
          <w:p>
            <w:pPr>
              <w:spacing w:after="0"/>
            </w:pPr>
            <w:r/>
            <w:r>
              <w:rPr>
                <w:rFonts w:ascii="Arial" w:hAnsi="Arial"/>
                <w:b/>
                <w:color w:val="FFFFFF"/>
                <w:sz w:val="16"/>
              </w:rPr>
              <w:t>Decision</w:t>
            </w:r>
          </w:p>
        </w:tc>
        <w:tc>
          <w:tcPr>
            <w:tcW w:type="dxa" w:w="8280"/>
            <w:vAlign w:val="center"/>
            <w:shd w:fill="10253D"/>
          </w:tcPr>
          <w:p>
            <w:pPr>
              <w:spacing w:after="0"/>
            </w:pPr>
            <w:r/>
            <w:r>
              <w:rPr>
                <w:rFonts w:ascii="Arial" w:hAnsi="Arial"/>
                <w:b/>
                <w:color w:val="FFFFFF"/>
                <w:sz w:val="16"/>
              </w:rPr>
              <w:t>Recommended Direction</w:t>
            </w:r>
          </w:p>
        </w:tc>
      </w:tr>
      <w:tr>
        <w:tc>
          <w:tcPr>
            <w:tcW w:type="dxa" w:w="2376"/>
            <w:vAlign w:val="center"/>
          </w:tcPr>
          <w:p>
            <w:pPr>
              <w:spacing w:after="0"/>
            </w:pPr>
            <w:r/>
            <w:r>
              <w:rPr>
                <w:rFonts w:ascii="Arial" w:hAnsi="Arial"/>
                <w:b w:val="0"/>
                <w:color w:val="101C2C"/>
                <w:sz w:val="16"/>
              </w:rPr>
              <w:t>Product name</w:t>
            </w:r>
          </w:p>
        </w:tc>
        <w:tc>
          <w:tcPr>
            <w:tcW w:type="dxa" w:w="8280"/>
            <w:vAlign w:val="center"/>
          </w:tcPr>
          <w:p>
            <w:pPr>
              <w:spacing w:after="0"/>
            </w:pPr>
            <w:r/>
            <w:r>
              <w:rPr>
                <w:rFonts w:ascii="Arial" w:hAnsi="Arial"/>
                <w:b w:val="0"/>
                <w:color w:val="101C2C"/>
                <w:sz w:val="16"/>
              </w:rPr>
              <w:t>Gruber AI Procurement Intelligence System; short label: Gruber AI.</w:t>
            </w:r>
          </w:p>
        </w:tc>
      </w:tr>
      <w:tr>
        <w:tc>
          <w:tcPr>
            <w:tcW w:type="dxa" w:w="2376"/>
            <w:vAlign w:val="center"/>
          </w:tcPr>
          <w:p>
            <w:pPr>
              <w:spacing w:after="0"/>
            </w:pPr>
            <w:r/>
            <w:r>
              <w:rPr>
                <w:rFonts w:ascii="Arial" w:hAnsi="Arial"/>
                <w:b w:val="0"/>
                <w:color w:val="101C2C"/>
                <w:sz w:val="16"/>
              </w:rPr>
              <w:t>Technical stack</w:t>
            </w:r>
          </w:p>
        </w:tc>
        <w:tc>
          <w:tcPr>
            <w:tcW w:type="dxa" w:w="8280"/>
            <w:vAlign w:val="center"/>
          </w:tcPr>
          <w:p>
            <w:pPr>
              <w:spacing w:after="0"/>
            </w:pPr>
            <w:r/>
            <w:r>
              <w:rPr>
                <w:rFonts w:ascii="Arial" w:hAnsi="Arial"/>
                <w:b w:val="0"/>
                <w:color w:val="101C2C"/>
                <w:sz w:val="16"/>
              </w:rPr>
              <w:t>PHP/Laravel architecture, MySQL, server-rendered UI, queues and a versioned AI service layer.</w:t>
            </w:r>
          </w:p>
        </w:tc>
      </w:tr>
      <w:tr>
        <w:tc>
          <w:tcPr>
            <w:tcW w:type="dxa" w:w="2376"/>
            <w:vAlign w:val="center"/>
          </w:tcPr>
          <w:p>
            <w:pPr>
              <w:spacing w:after="0"/>
            </w:pPr>
            <w:r/>
            <w:r>
              <w:rPr>
                <w:rFonts w:ascii="Arial" w:hAnsi="Arial"/>
                <w:b w:val="0"/>
                <w:color w:val="101C2C"/>
                <w:sz w:val="16"/>
              </w:rPr>
              <w:t>Pilot</w:t>
            </w:r>
          </w:p>
        </w:tc>
        <w:tc>
          <w:tcPr>
            <w:tcW w:type="dxa" w:w="8280"/>
            <w:vAlign w:val="center"/>
          </w:tcPr>
          <w:p>
            <w:pPr>
              <w:spacing w:after="0"/>
            </w:pPr>
            <w:r/>
            <w:r>
              <w:rPr>
                <w:rFonts w:ascii="Arial" w:hAnsi="Arial"/>
                <w:b w:val="0"/>
                <w:color w:val="101C2C"/>
                <w:sz w:val="16"/>
              </w:rPr>
              <w:t>Gruber Power Services; select batteries, UPS service parts or refurbished components.</w:t>
            </w:r>
          </w:p>
        </w:tc>
      </w:tr>
      <w:tr>
        <w:tc>
          <w:tcPr>
            <w:tcW w:type="dxa" w:w="2376"/>
            <w:vAlign w:val="center"/>
          </w:tcPr>
          <w:p>
            <w:pPr>
              <w:spacing w:after="0"/>
            </w:pPr>
            <w:r/>
            <w:r>
              <w:rPr>
                <w:rFonts w:ascii="Arial" w:hAnsi="Arial"/>
                <w:b w:val="0"/>
                <w:color w:val="101C2C"/>
                <w:sz w:val="16"/>
              </w:rPr>
              <w:t>Data approach</w:t>
            </w:r>
          </w:p>
        </w:tc>
        <w:tc>
          <w:tcPr>
            <w:tcW w:type="dxa" w:w="8280"/>
            <w:vAlign w:val="center"/>
          </w:tcPr>
          <w:p>
            <w:pPr>
              <w:spacing w:after="0"/>
            </w:pPr>
            <w:r/>
            <w:r>
              <w:rPr>
                <w:rFonts w:ascii="Arial" w:hAnsi="Arial"/>
                <w:b w:val="0"/>
                <w:color w:val="101C2C"/>
                <w:sz w:val="16"/>
              </w:rPr>
              <w:t>Controlled imports first, then adapters after source systems and ownership are confirmed.</w:t>
            </w:r>
          </w:p>
        </w:tc>
      </w:tr>
      <w:tr>
        <w:tc>
          <w:tcPr>
            <w:tcW w:type="dxa" w:w="2376"/>
            <w:vAlign w:val="center"/>
          </w:tcPr>
          <w:p>
            <w:pPr>
              <w:spacing w:after="0"/>
            </w:pPr>
            <w:r/>
            <w:r>
              <w:rPr>
                <w:rFonts w:ascii="Arial" w:hAnsi="Arial"/>
                <w:b w:val="0"/>
                <w:color w:val="101C2C"/>
                <w:sz w:val="16"/>
              </w:rPr>
              <w:t>AI approach</w:t>
            </w:r>
          </w:p>
        </w:tc>
        <w:tc>
          <w:tcPr>
            <w:tcW w:type="dxa" w:w="8280"/>
            <w:vAlign w:val="center"/>
          </w:tcPr>
          <w:p>
            <w:pPr>
              <w:spacing w:after="0"/>
            </w:pPr>
            <w:r/>
            <w:r>
              <w:rPr>
                <w:rFonts w:ascii="Arial" w:hAnsi="Arial"/>
                <w:b w:val="0"/>
                <w:color w:val="101C2C"/>
                <w:sz w:val="16"/>
              </w:rPr>
              <w:t>Read-only supervised intelligence; deterministic calculations before generative summaries.</w:t>
            </w:r>
          </w:p>
        </w:tc>
      </w:tr>
      <w:tr>
        <w:tc>
          <w:tcPr>
            <w:tcW w:type="dxa" w:w="2376"/>
            <w:vAlign w:val="center"/>
          </w:tcPr>
          <w:p>
            <w:pPr>
              <w:spacing w:after="0"/>
            </w:pPr>
            <w:r/>
            <w:r>
              <w:rPr>
                <w:rFonts w:ascii="Arial" w:hAnsi="Arial"/>
                <w:b w:val="0"/>
                <w:color w:val="101C2C"/>
                <w:sz w:val="16"/>
              </w:rPr>
              <w:t>First build package</w:t>
            </w:r>
          </w:p>
        </w:tc>
        <w:tc>
          <w:tcPr>
            <w:tcW w:type="dxa" w:w="8280"/>
            <w:vAlign w:val="center"/>
          </w:tcPr>
          <w:p>
            <w:pPr>
              <w:spacing w:after="0"/>
            </w:pPr>
            <w:r/>
            <w:r>
              <w:rPr>
                <w:rFonts w:ascii="Arial" w:hAnsi="Arial"/>
                <w:b w:val="0"/>
                <w:color w:val="101C2C"/>
                <w:sz w:val="16"/>
              </w:rPr>
              <w:t>Foundation, supplier master, item master, imports, dashboard, PO exceptions, inventory aging, savings and AI briefing room.</w:t>
            </w:r>
          </w:p>
        </w:tc>
      </w:tr>
    </w:tbl>
    <w:p>
      <w:pPr>
        <w:spacing w:after="0"/>
      </w:pPr>
    </w:p>
    <w:tbl>
      <w:tblPr>
        <w:tblW w:type="auto" w:w="0"/>
        <w:jc w:val="center"/>
        <w:tblLook w:firstColumn="1" w:firstRow="1" w:lastColumn="0" w:lastRow="0" w:noHBand="0" w:noVBand="1" w:val="04A0"/>
      </w:tblPr>
      <w:tblGrid>
        <w:gridCol w:w="10310"/>
      </w:tblGrid>
      <w:tr>
        <w:tc>
          <w:tcPr>
            <w:tcW w:type="dxa" w:w="10310"/>
            <w:shd w:fill="DFF2E9"/>
          </w:tcPr>
          <w:p>
            <w:pPr>
              <w:spacing w:after="0"/>
            </w:pPr>
            <w:r/>
            <w:r>
              <w:rPr>
                <w:rFonts w:ascii="Arial" w:hAnsi="Arial"/>
                <w:b/>
                <w:color w:val="096C94"/>
                <w:sz w:val="20"/>
              </w:rPr>
              <w:t>Recommended authorization</w:t>
              <w:br/>
            </w:r>
            <w:r>
              <w:rPr>
                <w:rFonts w:ascii="Arial" w:hAnsi="Arial"/>
                <w:color w:val="101C2C"/>
                <w:sz w:val="18"/>
              </w:rPr>
              <w:t>Approve a Sprint 0 technical foundation and data-access phase, then build the first MVP around the Gruber Power pilot while maintaining enterprise-ready company and role boundaries.</w:t>
            </w:r>
          </w:p>
        </w:tc>
      </w:tr>
    </w:tbl>
    <w:p>
      <w:pPr>
        <w:spacing w:after="0"/>
      </w:pPr>
    </w:p>
    <w:p>
      <w:pPr>
        <w:pStyle w:val="Heading1"/>
      </w:pPr>
      <w:r>
        <w:t>Appendix A. Primary Navigation</w:t>
      </w:r>
    </w:p>
    <w:p>
      <w:pPr>
        <w:pStyle w:val="ListBullet"/>
        <w:spacing w:after="40"/>
        <w:ind w:left="317" w:hanging="187"/>
      </w:pPr>
      <w:r>
        <w:rPr>
          <w:rFonts w:ascii="Arial" w:hAnsi="Arial"/>
          <w:color w:val="101C2C"/>
          <w:sz w:val="18"/>
        </w:rPr>
        <w:t>Executive Dashboard</w:t>
      </w:r>
    </w:p>
    <w:p>
      <w:pPr>
        <w:pStyle w:val="ListBullet"/>
        <w:spacing w:after="40"/>
        <w:ind w:left="317" w:hanging="187"/>
      </w:pPr>
      <w:r>
        <w:rPr>
          <w:rFonts w:ascii="Arial" w:hAnsi="Arial"/>
          <w:color w:val="101C2C"/>
          <w:sz w:val="18"/>
        </w:rPr>
        <w:t>Procurement</w:t>
      </w:r>
    </w:p>
    <w:p>
      <w:pPr>
        <w:pStyle w:val="ListBullet"/>
        <w:spacing w:after="40"/>
        <w:ind w:left="317" w:hanging="187"/>
      </w:pPr>
      <w:r>
        <w:rPr>
          <w:rFonts w:ascii="Arial" w:hAnsi="Arial"/>
          <w:color w:val="101C2C"/>
          <w:sz w:val="18"/>
        </w:rPr>
        <w:t>Suppliers</w:t>
      </w:r>
    </w:p>
    <w:p>
      <w:pPr>
        <w:pStyle w:val="ListBullet"/>
        <w:spacing w:after="40"/>
        <w:ind w:left="317" w:hanging="187"/>
      </w:pPr>
      <w:r>
        <w:rPr>
          <w:rFonts w:ascii="Arial" w:hAnsi="Arial"/>
          <w:color w:val="101C2C"/>
          <w:sz w:val="18"/>
        </w:rPr>
        <w:t>Items &amp; Inventory</w:t>
      </w:r>
    </w:p>
    <w:p>
      <w:pPr>
        <w:pStyle w:val="ListBullet"/>
        <w:spacing w:after="40"/>
        <w:ind w:left="317" w:hanging="187"/>
      </w:pPr>
      <w:r>
        <w:rPr>
          <w:rFonts w:ascii="Arial" w:hAnsi="Arial"/>
          <w:color w:val="101C2C"/>
          <w:sz w:val="18"/>
        </w:rPr>
        <w:t>Projects &amp; Work Orders</w:t>
      </w:r>
    </w:p>
    <w:p>
      <w:pPr>
        <w:pStyle w:val="ListBullet"/>
        <w:spacing w:after="40"/>
        <w:ind w:left="317" w:hanging="187"/>
      </w:pPr>
      <w:r>
        <w:rPr>
          <w:rFonts w:ascii="Arial" w:hAnsi="Arial"/>
          <w:color w:val="101C2C"/>
          <w:sz w:val="18"/>
        </w:rPr>
        <w:t>Savings Pipeline</w:t>
      </w:r>
    </w:p>
    <w:p>
      <w:pPr>
        <w:pStyle w:val="ListBullet"/>
        <w:spacing w:after="40"/>
        <w:ind w:left="317" w:hanging="187"/>
      </w:pPr>
      <w:r>
        <w:rPr>
          <w:rFonts w:ascii="Arial" w:hAnsi="Arial"/>
          <w:color w:val="101C2C"/>
          <w:sz w:val="18"/>
        </w:rPr>
        <w:t>AI Briefing Room</w:t>
      </w:r>
    </w:p>
    <w:p>
      <w:pPr>
        <w:pStyle w:val="ListBullet"/>
        <w:spacing w:after="40"/>
        <w:ind w:left="317" w:hanging="187"/>
      </w:pPr>
      <w:r>
        <w:rPr>
          <w:rFonts w:ascii="Arial" w:hAnsi="Arial"/>
          <w:color w:val="101C2C"/>
          <w:sz w:val="18"/>
        </w:rPr>
        <w:t>Reports</w:t>
      </w:r>
    </w:p>
    <w:p>
      <w:pPr>
        <w:pStyle w:val="ListBullet"/>
        <w:spacing w:after="40"/>
        <w:ind w:left="317" w:hanging="187"/>
      </w:pPr>
      <w:r>
        <w:rPr>
          <w:rFonts w:ascii="Arial" w:hAnsi="Arial"/>
          <w:color w:val="101C2C"/>
          <w:sz w:val="18"/>
        </w:rPr>
        <w:t>Administration</w:t>
      </w:r>
    </w:p>
    <w:p>
      <w:pPr>
        <w:pStyle w:val="Heading1"/>
      </w:pPr>
      <w:r>
        <w:t>Appendix B. Package Contents</w:t>
      </w:r>
    </w:p>
    <w:p>
      <w:pPr>
        <w:pStyle w:val="ListBullet"/>
        <w:spacing w:after="40"/>
        <w:ind w:left="317" w:hanging="187"/>
      </w:pPr>
      <w:r>
        <w:rPr>
          <w:rFonts w:ascii="Arial" w:hAnsi="Arial"/>
          <w:color w:val="101C2C"/>
          <w:sz w:val="18"/>
        </w:rPr>
        <w:t>Product Requirements Document</w:t>
      </w:r>
    </w:p>
    <w:p>
      <w:pPr>
        <w:pStyle w:val="ListBullet"/>
        <w:spacing w:after="40"/>
        <w:ind w:left="317" w:hanging="187"/>
      </w:pPr>
      <w:r>
        <w:rPr>
          <w:rFonts w:ascii="Arial" w:hAnsi="Arial"/>
          <w:color w:val="101C2C"/>
          <w:sz w:val="18"/>
        </w:rPr>
        <w:t>MySQL 8 database schema and seed data</w:t>
      </w:r>
    </w:p>
    <w:p>
      <w:pPr>
        <w:pStyle w:val="ListBullet"/>
        <w:spacing w:after="40"/>
        <w:ind w:left="317" w:hanging="187"/>
      </w:pPr>
      <w:r>
        <w:rPr>
          <w:rFonts w:ascii="Arial" w:hAnsi="Arial"/>
          <w:color w:val="101C2C"/>
          <w:sz w:val="18"/>
        </w:rPr>
        <w:t>MVP page map</w:t>
      </w:r>
    </w:p>
    <w:p>
      <w:pPr>
        <w:pStyle w:val="ListBullet"/>
        <w:spacing w:after="40"/>
        <w:ind w:left="317" w:hanging="187"/>
      </w:pPr>
      <w:r>
        <w:rPr>
          <w:rFonts w:ascii="Arial" w:hAnsi="Arial"/>
          <w:color w:val="101C2C"/>
          <w:sz w:val="18"/>
        </w:rPr>
        <w:t>AI agent specification</w:t>
      </w:r>
    </w:p>
    <w:p>
      <w:pPr>
        <w:pStyle w:val="ListBullet"/>
        <w:spacing w:after="40"/>
        <w:ind w:left="317" w:hanging="187"/>
      </w:pPr>
      <w:r>
        <w:rPr>
          <w:rFonts w:ascii="Arial" w:hAnsi="Arial"/>
          <w:color w:val="101C2C"/>
          <w:sz w:val="18"/>
        </w:rPr>
        <w:t>Architecture and 90-day build plan</w:t>
      </w:r>
    </w:p>
    <w:p>
      <w:pPr>
        <w:pStyle w:val="ListBullet"/>
        <w:spacing w:after="40"/>
        <w:ind w:left="317" w:hanging="187"/>
      </w:pPr>
      <w:r>
        <w:rPr>
          <w:rFonts w:ascii="Arial" w:hAnsi="Arial"/>
          <w:color w:val="101C2C"/>
          <w:sz w:val="18"/>
        </w:rPr>
        <w:t>Scroll pitch storyboard and working PHP presentation</w:t>
      </w:r>
    </w:p>
    <w:p>
      <w:pPr>
        <w:pStyle w:val="ListBullet"/>
        <w:spacing w:after="40"/>
        <w:ind w:left="317" w:hanging="187"/>
      </w:pPr>
      <w:r>
        <w:rPr>
          <w:rFonts w:ascii="Arial" w:hAnsi="Arial"/>
          <w:color w:val="101C2C"/>
          <w:sz w:val="18"/>
        </w:rPr>
        <w:t>Clickable internal app prototype with sample data</w:t>
      </w:r>
    </w:p>
    <w:sectPr w:rsidR="00FC693F" w:rsidRPr="0006063C" w:rsidSect="00034616">
      <w:headerReference w:type="default" r:id="rId9"/>
      <w:footerReference w:type="default" r:id="rId10"/>
      <w:pgSz w:w="12240" w:h="15840"/>
      <w:pgMar w:top="893"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E78"/>
        <w:sz w:val="14"/>
      </w:rPr>
      <w:t>Product Requirements Document v1.0  |  Confidential working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96C94"/>
        <w:sz w:val="15"/>
      </w:rPr>
      <w:t>GRUBER AI  |  PROCUREMENT INTELLIGENCE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53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96C9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01C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01C2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