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17324D"/>
          <w:sz w:val="68"/>
        </w:rPr>
        <w:t>GRUBER</w:t>
      </w:r>
    </w:p>
    <w:p>
      <w:pPr>
        <w:jc w:val="center"/>
      </w:pPr>
      <w:r>
        <w:rPr>
          <w:rFonts w:ascii="Arial" w:hAnsi="Arial"/>
          <w:b/>
          <w:color w:val="2F5D7C"/>
          <w:sz w:val="46"/>
        </w:rPr>
        <w:t>Procurement &amp; Inventory Transformation</w:t>
      </w:r>
    </w:p>
    <w:p>
      <w:pPr>
        <w:jc w:val="center"/>
      </w:pPr>
      <w:r>
        <w:rPr>
          <w:rFonts w:ascii="Arial" w:hAnsi="Arial"/>
          <w:color w:val="5A5A5A"/>
          <w:sz w:val="30"/>
        </w:rPr>
        <w:t>30-Day Baseline Assessment and Launch Plan</w:t>
      </w:r>
    </w:p>
    <w:p/>
    <w:tbl>
      <w:tblPr>
        <w:tblW w:type="auto" w:w="0"/>
        <w:jc w:val="center"/>
        <w:tblLook w:firstColumn="1" w:firstRow="1" w:lastColumn="0" w:lastRow="0" w:noHBand="0" w:noVBand="1" w:val="04A0"/>
      </w:tblPr>
      <w:tblGrid>
        <w:gridCol w:w="10224"/>
      </w:tblGrid>
      <w:tr>
        <w:tc>
          <w:tcPr>
            <w:tcW w:type="dxa" w:w="10224"/>
            <w:shd w:fill="EAF0F5"/>
          </w:tcPr>
          <w:p>
            <w:pPr>
              <w:spacing w:after="0"/>
            </w:pPr>
            <w:r/>
            <w:r>
              <w:rPr>
                <w:rFonts w:ascii="Arial" w:hAnsi="Arial"/>
                <w:b/>
                <w:color w:val="17324D"/>
                <w:sz w:val="20"/>
              </w:rPr>
              <w:t>Mission</w:t>
              <w:br/>
            </w:r>
            <w:r>
              <w:rPr>
                <w:rFonts w:ascii="Arial" w:hAnsi="Arial"/>
                <w:sz w:val="18"/>
              </w:rPr>
              <w:t>Transform purchasing from a decentralized administrative activity into a shared strategic capability that improves supplier performance, inventory availability, working capital, operational efficiency, quality, and profitability across all five businesses.</w:t>
            </w:r>
          </w:p>
        </w:tc>
      </w:tr>
    </w:tbl>
    <w:p/>
    <w:p>
      <w:pPr>
        <w:jc w:val="center"/>
      </w:pPr>
      <w:r>
        <w:rPr>
          <w:rFonts w:ascii="Arial" w:hAnsi="Arial"/>
          <w:i/>
          <w:sz w:val="20"/>
        </w:rPr>
        <w:t>Prepared as an execution-ready starting package</w:t>
      </w:r>
    </w:p>
    <w:p>
      <w:r>
        <w:br w:type="page"/>
      </w:r>
    </w:p>
    <w:p>
      <w:pPr>
        <w:pStyle w:val="Heading1"/>
      </w:pPr>
      <w:r>
        <w:t>1. Executive Mandate</w:t>
      </w:r>
    </w:p>
    <w:p>
      <w:r>
        <w:t>The organization should launch one enterprise procurement program while preserving the operating needs of each business. Centralization should begin with visibility, common data, supplier leverage, and governance—not by immediately removing all local purchasing authority.</w:t>
      </w:r>
    </w:p>
    <w:p>
      <w:pPr>
        <w:pStyle w:val="ListBullet"/>
        <w:spacing w:after="40"/>
        <w:ind w:left="259" w:hanging="173"/>
      </w:pPr>
      <w:r>
        <w:rPr>
          <w:rFonts w:ascii="Arial" w:hAnsi="Arial"/>
          <w:sz w:val="19"/>
        </w:rPr>
        <w:t>Develop and mentor the purchasing and inventory teams.</w:t>
      </w:r>
    </w:p>
    <w:p>
      <w:pPr>
        <w:pStyle w:val="ListBullet"/>
        <w:spacing w:after="40"/>
        <w:ind w:left="259" w:hanging="173"/>
      </w:pPr>
      <w:r>
        <w:rPr>
          <w:rFonts w:ascii="Arial" w:hAnsi="Arial"/>
          <w:sz w:val="19"/>
        </w:rPr>
        <w:t>Build strategic supplier partnerships and negotiate stronger pricing, contracts, service levels, and payment terms.</w:t>
      </w:r>
    </w:p>
    <w:p>
      <w:pPr>
        <w:pStyle w:val="ListBullet"/>
        <w:spacing w:after="40"/>
        <w:ind w:left="259" w:hanging="173"/>
      </w:pPr>
      <w:r>
        <w:rPr>
          <w:rFonts w:ascii="Arial" w:hAnsi="Arial"/>
          <w:sz w:val="19"/>
        </w:rPr>
        <w:t>Improve inventory accuracy, availability, turns, and working-capital performance.</w:t>
      </w:r>
    </w:p>
    <w:p>
      <w:pPr>
        <w:pStyle w:val="ListBullet"/>
        <w:spacing w:after="40"/>
        <w:ind w:left="259" w:hanging="173"/>
      </w:pPr>
      <w:r>
        <w:rPr>
          <w:rFonts w:ascii="Arial" w:hAnsi="Arial"/>
          <w:sz w:val="19"/>
        </w:rPr>
        <w:t>Identify waste, duplicate activity, fragmented suppliers, unnecessary freight, and weak processes.</w:t>
      </w:r>
    </w:p>
    <w:p>
      <w:pPr>
        <w:pStyle w:val="ListBullet"/>
        <w:spacing w:after="40"/>
        <w:ind w:left="259" w:hanging="173"/>
      </w:pPr>
      <w:r>
        <w:rPr>
          <w:rFonts w:ascii="Arial" w:hAnsi="Arial"/>
          <w:sz w:val="19"/>
        </w:rPr>
        <w:t>Create shared systems that support Sales, Operations, Manufacturing, Accounting, Service, Projects, and Leadership.</w:t>
      </w:r>
    </w:p>
    <w:p>
      <w:pPr>
        <w:pStyle w:val="ListBullet"/>
        <w:spacing w:after="40"/>
        <w:ind w:left="259" w:hanging="173"/>
      </w:pPr>
      <w:r>
        <w:rPr>
          <w:rFonts w:ascii="Arial" w:hAnsi="Arial"/>
          <w:sz w:val="19"/>
        </w:rPr>
        <w:t>Use purchasing and inventory data to improve decisions and validate measurable financial results.</w:t>
      </w:r>
    </w:p>
    <w:tbl>
      <w:tblPr>
        <w:tblW w:type="auto" w:w="0"/>
        <w:jc w:val="center"/>
        <w:tblLook w:firstColumn="1" w:firstRow="1" w:lastColumn="0" w:lastRow="0" w:noHBand="0" w:noVBand="1" w:val="04A0"/>
      </w:tblPr>
      <w:tblGrid>
        <w:gridCol w:w="10224"/>
      </w:tblGrid>
      <w:tr>
        <w:tc>
          <w:tcPr>
            <w:tcW w:type="dxa" w:w="10224"/>
            <w:shd w:fill="EAF0F5"/>
          </w:tcPr>
          <w:p>
            <w:pPr>
              <w:spacing w:after="0"/>
            </w:pPr>
            <w:r/>
            <w:r>
              <w:rPr>
                <w:rFonts w:ascii="Arial" w:hAnsi="Arial"/>
                <w:b/>
                <w:color w:val="17324D"/>
                <w:sz w:val="20"/>
              </w:rPr>
              <w:t>Operating principle</w:t>
              <w:br/>
            </w:r>
            <w:r>
              <w:rPr>
                <w:rFonts w:ascii="Arial" w:hAnsi="Arial"/>
                <w:sz w:val="18"/>
              </w:rPr>
              <w:t>Centralize standards, data, contracts, reporting, and supplier strategy. Keep appropriate operational purchasing close to the teams that understand customer, production, project, service, and vehicle requirements.</w:t>
            </w:r>
          </w:p>
        </w:tc>
      </w:tr>
    </w:tbl>
    <w:p>
      <w:pPr>
        <w:pStyle w:val="Heading2"/>
      </w:pPr>
      <w:r>
        <w:t>Business Scope</w:t>
      </w:r>
    </w:p>
    <w:tbl>
      <w:tblPr>
        <w:tblStyle w:val="TableGrid"/>
        <w:tblW w:type="auto" w:w="0"/>
        <w:jc w:val="center"/>
        <w:tblLook w:firstColumn="1" w:firstRow="1" w:lastColumn="0" w:lastRow="0" w:noHBand="0" w:noVBand="1" w:val="04A0"/>
      </w:tblPr>
      <w:tblGrid>
        <w:gridCol w:w="3408"/>
        <w:gridCol w:w="3408"/>
        <w:gridCol w:w="3408"/>
      </w:tblGrid>
      <w:tr>
        <w:tc>
          <w:tcPr>
            <w:tcW w:type="dxa" w:w="2376"/>
            <w:shd w:fill="17324D"/>
            <w:vAlign w:val="center"/>
          </w:tcPr>
          <w:p>
            <w:pPr>
              <w:spacing w:after="0"/>
            </w:pPr>
            <w:r>
              <w:rPr>
                <w:rFonts w:ascii="Arial" w:hAnsi="Arial"/>
                <w:b/>
                <w:color w:val="FFFFFF"/>
                <w:sz w:val="17"/>
              </w:rPr>
              <w:t>Business</w:t>
            </w:r>
          </w:p>
        </w:tc>
        <w:tc>
          <w:tcPr>
            <w:tcW w:type="dxa" w:w="4176"/>
            <w:shd w:fill="17324D"/>
            <w:vAlign w:val="center"/>
          </w:tcPr>
          <w:p>
            <w:pPr>
              <w:spacing w:after="0"/>
            </w:pPr>
            <w:r>
              <w:rPr>
                <w:rFonts w:ascii="Arial" w:hAnsi="Arial"/>
                <w:b/>
                <w:color w:val="FFFFFF"/>
                <w:sz w:val="17"/>
              </w:rPr>
              <w:t>Primary Purchasing Profile</w:t>
            </w:r>
          </w:p>
        </w:tc>
        <w:tc>
          <w:tcPr>
            <w:tcW w:type="dxa" w:w="4248"/>
            <w:shd w:fill="17324D"/>
            <w:vAlign w:val="center"/>
          </w:tcPr>
          <w:p>
            <w:pPr>
              <w:spacing w:after="0"/>
            </w:pPr>
            <w:r>
              <w:rPr>
                <w:rFonts w:ascii="Arial" w:hAnsi="Arial"/>
                <w:b/>
                <w:color w:val="FFFFFF"/>
                <w:sz w:val="17"/>
              </w:rPr>
              <w:t>Initial Reporting Emphasis</w:t>
            </w:r>
          </w:p>
        </w:tc>
      </w:tr>
      <w:tr>
        <w:tc>
          <w:tcPr>
            <w:tcW w:type="dxa" w:w="2376"/>
            <w:vAlign w:val="center"/>
          </w:tcPr>
          <w:p>
            <w:pPr>
              <w:spacing w:after="0"/>
            </w:pPr>
            <w:r>
              <w:rPr>
                <w:rFonts w:ascii="Arial" w:hAnsi="Arial"/>
                <w:sz w:val="17"/>
              </w:rPr>
            </w:r>
            <w:r>
              <w:rPr>
                <w:rFonts w:ascii="Arial" w:hAnsi="Arial"/>
                <w:b w:val="0"/>
                <w:sz w:val="17"/>
              </w:rPr>
              <w:t>Gruber Communications</w:t>
            </w:r>
          </w:p>
        </w:tc>
        <w:tc>
          <w:tcPr>
            <w:tcW w:type="dxa" w:w="4176"/>
            <w:vAlign w:val="center"/>
          </w:tcPr>
          <w:p>
            <w:pPr>
              <w:spacing w:after="0"/>
            </w:pPr>
            <w:r>
              <w:rPr>
                <w:rFonts w:ascii="Arial" w:hAnsi="Arial"/>
                <w:sz w:val="17"/>
              </w:rPr>
            </w:r>
            <w:r>
              <w:rPr>
                <w:rFonts w:ascii="Arial" w:hAnsi="Arial"/>
                <w:b w:val="0"/>
                <w:sz w:val="17"/>
              </w:rPr>
              <w:t>Raw materials, cable, connectors, fabricated metal, finished goods and e-commerce inventory</w:t>
            </w:r>
          </w:p>
        </w:tc>
        <w:tc>
          <w:tcPr>
            <w:tcW w:type="dxa" w:w="4248"/>
            <w:vAlign w:val="center"/>
          </w:tcPr>
          <w:p>
            <w:pPr>
              <w:spacing w:after="0"/>
            </w:pPr>
            <w:r>
              <w:rPr>
                <w:rFonts w:ascii="Arial" w:hAnsi="Arial"/>
                <w:sz w:val="17"/>
              </w:rPr>
            </w:r>
            <w:r>
              <w:rPr>
                <w:rFonts w:ascii="Arial" w:hAnsi="Arial"/>
                <w:b w:val="0"/>
                <w:sz w:val="17"/>
              </w:rPr>
              <w:t>Material yield, stock availability, BOM accuracy, supplier pricing and finished-goods turns</w:t>
            </w:r>
          </w:p>
        </w:tc>
      </w:tr>
      <w:tr>
        <w:tc>
          <w:tcPr>
            <w:tcW w:type="dxa" w:w="2376"/>
            <w:vAlign w:val="center"/>
          </w:tcPr>
          <w:p>
            <w:pPr>
              <w:spacing w:after="0"/>
            </w:pPr>
            <w:r>
              <w:rPr>
                <w:rFonts w:ascii="Arial" w:hAnsi="Arial"/>
                <w:sz w:val="17"/>
              </w:rPr>
            </w:r>
            <w:r>
              <w:rPr>
                <w:rFonts w:ascii="Arial" w:hAnsi="Arial"/>
                <w:b w:val="0"/>
                <w:sz w:val="17"/>
              </w:rPr>
              <w:t>Gruber Power Services</w:t>
            </w:r>
          </w:p>
        </w:tc>
        <w:tc>
          <w:tcPr>
            <w:tcW w:type="dxa" w:w="4176"/>
            <w:vAlign w:val="center"/>
          </w:tcPr>
          <w:p>
            <w:pPr>
              <w:spacing w:after="0"/>
            </w:pPr>
            <w:r>
              <w:rPr>
                <w:rFonts w:ascii="Arial" w:hAnsi="Arial"/>
                <w:sz w:val="17"/>
              </w:rPr>
            </w:r>
            <w:r>
              <w:rPr>
                <w:rFonts w:ascii="Arial" w:hAnsi="Arial"/>
                <w:b w:val="0"/>
                <w:sz w:val="17"/>
              </w:rPr>
              <w:t>UPS equipment, batteries, service parts, refurbished equipment and field inventory</w:t>
            </w:r>
          </w:p>
        </w:tc>
        <w:tc>
          <w:tcPr>
            <w:tcW w:type="dxa" w:w="4248"/>
            <w:vAlign w:val="center"/>
          </w:tcPr>
          <w:p>
            <w:pPr>
              <w:spacing w:after="0"/>
            </w:pPr>
            <w:r>
              <w:rPr>
                <w:rFonts w:ascii="Arial" w:hAnsi="Arial"/>
                <w:sz w:val="17"/>
              </w:rPr>
            </w:r>
            <w:r>
              <w:rPr>
                <w:rFonts w:ascii="Arial" w:hAnsi="Arial"/>
                <w:b w:val="0"/>
                <w:sz w:val="17"/>
              </w:rPr>
              <w:t>High-value inventory, legacy parts, service availability, repair-versus-replace and supplier performance</w:t>
            </w:r>
          </w:p>
        </w:tc>
      </w:tr>
      <w:tr>
        <w:tc>
          <w:tcPr>
            <w:tcW w:type="dxa" w:w="2376"/>
            <w:vAlign w:val="center"/>
          </w:tcPr>
          <w:p>
            <w:pPr>
              <w:spacing w:after="0"/>
            </w:pPr>
            <w:r>
              <w:rPr>
                <w:rFonts w:ascii="Arial" w:hAnsi="Arial"/>
                <w:sz w:val="17"/>
              </w:rPr>
            </w:r>
            <w:r>
              <w:rPr>
                <w:rFonts w:ascii="Arial" w:hAnsi="Arial"/>
                <w:b w:val="0"/>
                <w:sz w:val="17"/>
              </w:rPr>
              <w:t>Gruber Technical Services</w:t>
            </w:r>
          </w:p>
        </w:tc>
        <w:tc>
          <w:tcPr>
            <w:tcW w:type="dxa" w:w="4176"/>
            <w:vAlign w:val="center"/>
          </w:tcPr>
          <w:p>
            <w:pPr>
              <w:spacing w:after="0"/>
            </w:pPr>
            <w:r>
              <w:rPr>
                <w:rFonts w:ascii="Arial" w:hAnsi="Arial"/>
                <w:sz w:val="17"/>
              </w:rPr>
            </w:r>
            <w:r>
              <w:rPr>
                <w:rFonts w:ascii="Arial" w:hAnsi="Arial"/>
                <w:b w:val="0"/>
                <w:sz w:val="17"/>
              </w:rPr>
              <w:t>Project materials, electrical products, structured cabling, flooring and subcontracted services</w:t>
            </w:r>
          </w:p>
        </w:tc>
        <w:tc>
          <w:tcPr>
            <w:tcW w:type="dxa" w:w="4248"/>
            <w:vAlign w:val="center"/>
          </w:tcPr>
          <w:p>
            <w:pPr>
              <w:spacing w:after="0"/>
            </w:pPr>
            <w:r>
              <w:rPr>
                <w:rFonts w:ascii="Arial" w:hAnsi="Arial"/>
                <w:sz w:val="17"/>
              </w:rPr>
            </w:r>
            <w:r>
              <w:rPr>
                <w:rFonts w:ascii="Arial" w:hAnsi="Arial"/>
                <w:b w:val="0"/>
                <w:sz w:val="17"/>
              </w:rPr>
              <w:t>Job commitments, delivery risk, material variance, returns, change orders and project margin</w:t>
            </w:r>
          </w:p>
        </w:tc>
      </w:tr>
      <w:tr>
        <w:tc>
          <w:tcPr>
            <w:tcW w:type="dxa" w:w="2376"/>
            <w:vAlign w:val="center"/>
          </w:tcPr>
          <w:p>
            <w:pPr>
              <w:spacing w:after="0"/>
            </w:pPr>
            <w:r>
              <w:rPr>
                <w:rFonts w:ascii="Arial" w:hAnsi="Arial"/>
                <w:sz w:val="17"/>
              </w:rPr>
            </w:r>
            <w:r>
              <w:rPr>
                <w:rFonts w:ascii="Arial" w:hAnsi="Arial"/>
                <w:b w:val="0"/>
                <w:sz w:val="17"/>
              </w:rPr>
              <w:t>Gruber Motor Company</w:t>
            </w:r>
          </w:p>
        </w:tc>
        <w:tc>
          <w:tcPr>
            <w:tcW w:type="dxa" w:w="4176"/>
            <w:vAlign w:val="center"/>
          </w:tcPr>
          <w:p>
            <w:pPr>
              <w:spacing w:after="0"/>
            </w:pPr>
            <w:r>
              <w:rPr>
                <w:rFonts w:ascii="Arial" w:hAnsi="Arial"/>
                <w:sz w:val="17"/>
              </w:rPr>
            </w:r>
            <w:r>
              <w:rPr>
                <w:rFonts w:ascii="Arial" w:hAnsi="Arial"/>
                <w:b w:val="0"/>
                <w:sz w:val="17"/>
              </w:rPr>
              <w:t>Tesla parts, battery modules, donor components, repair materials and restoration supplies</w:t>
            </w:r>
          </w:p>
        </w:tc>
        <w:tc>
          <w:tcPr>
            <w:tcW w:type="dxa" w:w="4248"/>
            <w:vAlign w:val="center"/>
          </w:tcPr>
          <w:p>
            <w:pPr>
              <w:spacing w:after="0"/>
            </w:pPr>
            <w:r>
              <w:rPr>
                <w:rFonts w:ascii="Arial" w:hAnsi="Arial"/>
                <w:sz w:val="17"/>
              </w:rPr>
            </w:r>
            <w:r>
              <w:rPr>
                <w:rFonts w:ascii="Arial" w:hAnsi="Arial"/>
                <w:b w:val="0"/>
                <w:sz w:val="17"/>
              </w:rPr>
              <w:t>Legacy inventory, donor-part recovery, work-order material usage and restoration profitability</w:t>
            </w:r>
          </w:p>
        </w:tc>
      </w:tr>
      <w:tr>
        <w:tc>
          <w:tcPr>
            <w:tcW w:type="dxa" w:w="2376"/>
            <w:vAlign w:val="center"/>
          </w:tcPr>
          <w:p>
            <w:pPr>
              <w:spacing w:after="0"/>
            </w:pPr>
            <w:r>
              <w:rPr>
                <w:rFonts w:ascii="Arial" w:hAnsi="Arial"/>
                <w:sz w:val="17"/>
              </w:rPr>
            </w:r>
            <w:r>
              <w:rPr>
                <w:rFonts w:ascii="Arial" w:hAnsi="Arial"/>
                <w:b w:val="0"/>
                <w:sz w:val="17"/>
              </w:rPr>
              <w:t>EV Preserve</w:t>
            </w:r>
          </w:p>
        </w:tc>
        <w:tc>
          <w:tcPr>
            <w:tcW w:type="dxa" w:w="4176"/>
            <w:vAlign w:val="center"/>
          </w:tcPr>
          <w:p>
            <w:pPr>
              <w:spacing w:after="0"/>
            </w:pPr>
            <w:r>
              <w:rPr>
                <w:rFonts w:ascii="Arial" w:hAnsi="Arial"/>
                <w:sz w:val="17"/>
              </w:rPr>
            </w:r>
            <w:r>
              <w:rPr>
                <w:rFonts w:ascii="Arial" w:hAnsi="Arial"/>
                <w:b w:val="0"/>
                <w:sz w:val="17"/>
              </w:rPr>
              <w:t>Facility, charging, monitoring, security, transportation and vehicle-care supplies</w:t>
            </w:r>
          </w:p>
        </w:tc>
        <w:tc>
          <w:tcPr>
            <w:tcW w:type="dxa" w:w="4248"/>
            <w:vAlign w:val="center"/>
          </w:tcPr>
          <w:p>
            <w:pPr>
              <w:spacing w:after="0"/>
            </w:pPr>
            <w:r>
              <w:rPr>
                <w:rFonts w:ascii="Arial" w:hAnsi="Arial"/>
                <w:sz w:val="17"/>
              </w:rPr>
            </w:r>
            <w:r>
              <w:rPr>
                <w:rFonts w:ascii="Arial" w:hAnsi="Arial"/>
                <w:b w:val="0"/>
                <w:sz w:val="17"/>
              </w:rPr>
              <w:t>Occupancy support, customer profitability, service referrals and facility operating efficiency</w:t>
            </w:r>
          </w:p>
        </w:tc>
      </w:tr>
    </w:tbl>
    <w:p>
      <w:pPr>
        <w:pStyle w:val="Heading1"/>
      </w:pPr>
      <w:r>
        <w:t>2. First 30 Days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shd w:fill="17324D"/>
            <w:vAlign w:val="center"/>
          </w:tcPr>
          <w:p>
            <w:pPr>
              <w:spacing w:after="0"/>
            </w:pPr>
            <w:r>
              <w:rPr>
                <w:rFonts w:ascii="Arial" w:hAnsi="Arial"/>
                <w:b/>
                <w:color w:val="FFFFFF"/>
                <w:sz w:val="17"/>
              </w:rPr>
              <w:t>Timing</w:t>
            </w:r>
          </w:p>
        </w:tc>
        <w:tc>
          <w:tcPr>
            <w:tcW w:type="dxa" w:w="3744"/>
            <w:shd w:fill="17324D"/>
            <w:vAlign w:val="center"/>
          </w:tcPr>
          <w:p>
            <w:pPr>
              <w:spacing w:after="0"/>
            </w:pPr>
            <w:r>
              <w:rPr>
                <w:rFonts w:ascii="Arial" w:hAnsi="Arial"/>
                <w:b/>
                <w:color w:val="FFFFFF"/>
                <w:sz w:val="17"/>
              </w:rPr>
              <w:t>Primary Work</w:t>
            </w:r>
          </w:p>
        </w:tc>
        <w:tc>
          <w:tcPr>
            <w:tcW w:type="dxa" w:w="3456"/>
            <w:shd w:fill="17324D"/>
            <w:vAlign w:val="center"/>
          </w:tcPr>
          <w:p>
            <w:pPr>
              <w:spacing w:after="0"/>
            </w:pPr>
            <w:r>
              <w:rPr>
                <w:rFonts w:ascii="Arial" w:hAnsi="Arial"/>
                <w:b/>
                <w:color w:val="FFFFFF"/>
                <w:sz w:val="17"/>
              </w:rPr>
              <w:t>Deliverables</w:t>
            </w:r>
          </w:p>
        </w:tc>
        <w:tc>
          <w:tcPr>
            <w:tcW w:type="dxa" w:w="2520"/>
            <w:shd w:fill="17324D"/>
            <w:vAlign w:val="center"/>
          </w:tcPr>
          <w:p>
            <w:pPr>
              <w:spacing w:after="0"/>
            </w:pPr>
            <w:r>
              <w:rPr>
                <w:rFonts w:ascii="Arial" w:hAnsi="Arial"/>
                <w:b/>
                <w:color w:val="FFFFFF"/>
                <w:sz w:val="17"/>
              </w:rPr>
              <w:t>Leadership Decision</w:t>
            </w:r>
          </w:p>
        </w:tc>
      </w:tr>
      <w:tr>
        <w:tc>
          <w:tcPr>
            <w:tcW w:type="dxa" w:w="1296"/>
            <w:vAlign w:val="center"/>
          </w:tcPr>
          <w:p>
            <w:pPr>
              <w:spacing w:after="0"/>
            </w:pPr>
            <w:r>
              <w:rPr>
                <w:rFonts w:ascii="Arial" w:hAnsi="Arial"/>
                <w:sz w:val="17"/>
              </w:rPr>
            </w:r>
            <w:r>
              <w:rPr>
                <w:rFonts w:ascii="Arial" w:hAnsi="Arial"/>
                <w:b w:val="0"/>
                <w:sz w:val="17"/>
              </w:rPr>
              <w:t>Days 1-5</w:t>
            </w:r>
          </w:p>
        </w:tc>
        <w:tc>
          <w:tcPr>
            <w:tcW w:type="dxa" w:w="3744"/>
            <w:vAlign w:val="center"/>
          </w:tcPr>
          <w:p>
            <w:pPr>
              <w:spacing w:after="0"/>
            </w:pPr>
            <w:r>
              <w:rPr>
                <w:rFonts w:ascii="Arial" w:hAnsi="Arial"/>
                <w:sz w:val="17"/>
              </w:rPr>
            </w:r>
            <w:r>
              <w:rPr>
                <w:rFonts w:ascii="Arial" w:hAnsi="Arial"/>
                <w:b w:val="0"/>
                <w:sz w:val="17"/>
              </w:rPr>
              <w:t>Confirm governance, interview each function, map current purchasing and inventory processes, identify systems and data owners.</w:t>
            </w:r>
          </w:p>
        </w:tc>
        <w:tc>
          <w:tcPr>
            <w:tcW w:type="dxa" w:w="3456"/>
            <w:vAlign w:val="center"/>
          </w:tcPr>
          <w:p>
            <w:pPr>
              <w:spacing w:after="0"/>
            </w:pPr>
            <w:r>
              <w:rPr>
                <w:rFonts w:ascii="Arial" w:hAnsi="Arial"/>
                <w:sz w:val="17"/>
              </w:rPr>
            </w:r>
            <w:r>
              <w:rPr>
                <w:rFonts w:ascii="Arial" w:hAnsi="Arial"/>
                <w:b w:val="0"/>
                <w:sz w:val="17"/>
              </w:rPr>
              <w:t>Transformation team; discovery tracker; current-state maps; data-source register.</w:t>
            </w:r>
          </w:p>
        </w:tc>
        <w:tc>
          <w:tcPr>
            <w:tcW w:type="dxa" w:w="2520"/>
            <w:vAlign w:val="center"/>
          </w:tcPr>
          <w:p>
            <w:pPr>
              <w:spacing w:after="0"/>
            </w:pPr>
            <w:r>
              <w:rPr>
                <w:rFonts w:ascii="Arial" w:hAnsi="Arial"/>
                <w:sz w:val="17"/>
              </w:rPr>
            </w:r>
            <w:r>
              <w:rPr>
                <w:rFonts w:ascii="Arial" w:hAnsi="Arial"/>
                <w:b w:val="0"/>
                <w:sz w:val="17"/>
              </w:rPr>
              <w:t>Confirm sponsor, program lead, company representatives, scope, and access.</w:t>
            </w:r>
          </w:p>
        </w:tc>
      </w:tr>
      <w:tr>
        <w:tc>
          <w:tcPr>
            <w:tcW w:type="dxa" w:w="1296"/>
            <w:vAlign w:val="center"/>
          </w:tcPr>
          <w:p>
            <w:pPr>
              <w:spacing w:after="0"/>
            </w:pPr>
            <w:r>
              <w:rPr>
                <w:rFonts w:ascii="Arial" w:hAnsi="Arial"/>
                <w:sz w:val="17"/>
              </w:rPr>
            </w:r>
            <w:r>
              <w:rPr>
                <w:rFonts w:ascii="Arial" w:hAnsi="Arial"/>
                <w:b w:val="0"/>
                <w:sz w:val="17"/>
              </w:rPr>
              <w:t>Days 6-12</w:t>
            </w:r>
          </w:p>
        </w:tc>
        <w:tc>
          <w:tcPr>
            <w:tcW w:type="dxa" w:w="3744"/>
            <w:vAlign w:val="center"/>
          </w:tcPr>
          <w:p>
            <w:pPr>
              <w:spacing w:after="0"/>
            </w:pPr>
            <w:r>
              <w:rPr>
                <w:rFonts w:ascii="Arial" w:hAnsi="Arial"/>
                <w:sz w:val="17"/>
              </w:rPr>
            </w:r>
            <w:r>
              <w:rPr>
                <w:rFonts w:ascii="Arial" w:hAnsi="Arial"/>
                <w:b w:val="0"/>
                <w:sz w:val="17"/>
              </w:rPr>
              <w:t>Collect 12-24 months of purchasing history, current inventory, supplier records, item records, contracts, freight, returns and warranty data.</w:t>
            </w:r>
          </w:p>
        </w:tc>
        <w:tc>
          <w:tcPr>
            <w:tcW w:type="dxa" w:w="3456"/>
            <w:vAlign w:val="center"/>
          </w:tcPr>
          <w:p>
            <w:pPr>
              <w:spacing w:after="0"/>
            </w:pPr>
            <w:r>
              <w:rPr>
                <w:rFonts w:ascii="Arial" w:hAnsi="Arial"/>
                <w:sz w:val="17"/>
              </w:rPr>
            </w:r>
            <w:r>
              <w:rPr>
                <w:rFonts w:ascii="Arial" w:hAnsi="Arial"/>
                <w:b w:val="0"/>
                <w:sz w:val="17"/>
              </w:rPr>
              <w:t>Raw baseline files; data-quality issue list; supplier and item normalization rules.</w:t>
            </w:r>
          </w:p>
        </w:tc>
        <w:tc>
          <w:tcPr>
            <w:tcW w:type="dxa" w:w="2520"/>
            <w:vAlign w:val="center"/>
          </w:tcPr>
          <w:p>
            <w:pPr>
              <w:spacing w:after="0"/>
            </w:pPr>
            <w:r>
              <w:rPr>
                <w:rFonts w:ascii="Arial" w:hAnsi="Arial"/>
                <w:sz w:val="17"/>
              </w:rPr>
            </w:r>
            <w:r>
              <w:rPr>
                <w:rFonts w:ascii="Arial" w:hAnsi="Arial"/>
                <w:b w:val="0"/>
                <w:sz w:val="17"/>
              </w:rPr>
              <w:t>Approve common company, supplier, category, item, location, and purpose standards.</w:t>
            </w:r>
          </w:p>
        </w:tc>
      </w:tr>
      <w:tr>
        <w:tc>
          <w:tcPr>
            <w:tcW w:type="dxa" w:w="1296"/>
            <w:vAlign w:val="center"/>
          </w:tcPr>
          <w:p>
            <w:pPr>
              <w:spacing w:after="0"/>
            </w:pPr>
            <w:r>
              <w:rPr>
                <w:rFonts w:ascii="Arial" w:hAnsi="Arial"/>
                <w:sz w:val="17"/>
              </w:rPr>
            </w:r>
            <w:r>
              <w:rPr>
                <w:rFonts w:ascii="Arial" w:hAnsi="Arial"/>
                <w:b w:val="0"/>
                <w:sz w:val="17"/>
              </w:rPr>
              <w:t>Days 13-20</w:t>
            </w:r>
          </w:p>
        </w:tc>
        <w:tc>
          <w:tcPr>
            <w:tcW w:type="dxa" w:w="3744"/>
            <w:vAlign w:val="center"/>
          </w:tcPr>
          <w:p>
            <w:pPr>
              <w:spacing w:after="0"/>
            </w:pPr>
            <w:r>
              <w:rPr>
                <w:rFonts w:ascii="Arial" w:hAnsi="Arial"/>
                <w:sz w:val="17"/>
              </w:rPr>
            </w:r>
            <w:r>
              <w:rPr>
                <w:rFonts w:ascii="Arial" w:hAnsi="Arial"/>
                <w:b w:val="0"/>
                <w:sz w:val="17"/>
              </w:rPr>
              <w:t>Load and validate data, reconcile totals with Accounting, build initial spend, inventory-aging and open-PO views.</w:t>
            </w:r>
          </w:p>
        </w:tc>
        <w:tc>
          <w:tcPr>
            <w:tcW w:type="dxa" w:w="3456"/>
            <w:vAlign w:val="center"/>
          </w:tcPr>
          <w:p>
            <w:pPr>
              <w:spacing w:after="0"/>
            </w:pPr>
            <w:r>
              <w:rPr>
                <w:rFonts w:ascii="Arial" w:hAnsi="Arial"/>
                <w:sz w:val="17"/>
              </w:rPr>
            </w:r>
            <w:r>
              <w:rPr>
                <w:rFonts w:ascii="Arial" w:hAnsi="Arial"/>
                <w:b w:val="0"/>
                <w:sz w:val="17"/>
              </w:rPr>
              <w:t>Validated baseline; top suppliers; category spend; inventory exposure; delivery risks.</w:t>
            </w:r>
          </w:p>
        </w:tc>
        <w:tc>
          <w:tcPr>
            <w:tcW w:type="dxa" w:w="2520"/>
            <w:vAlign w:val="center"/>
          </w:tcPr>
          <w:p>
            <w:pPr>
              <w:spacing w:after="0"/>
            </w:pPr>
            <w:r>
              <w:rPr>
                <w:rFonts w:ascii="Arial" w:hAnsi="Arial"/>
                <w:sz w:val="17"/>
              </w:rPr>
            </w:r>
            <w:r>
              <w:rPr>
                <w:rFonts w:ascii="Arial" w:hAnsi="Arial"/>
                <w:b w:val="0"/>
                <w:sz w:val="17"/>
              </w:rPr>
              <w:t>Select initial pilot category and immediate containment actions.</w:t>
            </w:r>
          </w:p>
        </w:tc>
      </w:tr>
      <w:tr>
        <w:tc>
          <w:tcPr>
            <w:tcW w:type="dxa" w:w="1296"/>
            <w:vAlign w:val="center"/>
          </w:tcPr>
          <w:p>
            <w:pPr>
              <w:spacing w:after="0"/>
            </w:pPr>
            <w:r>
              <w:rPr>
                <w:rFonts w:ascii="Arial" w:hAnsi="Arial"/>
                <w:sz w:val="17"/>
              </w:rPr>
            </w:r>
            <w:r>
              <w:rPr>
                <w:rFonts w:ascii="Arial" w:hAnsi="Arial"/>
                <w:b w:val="0"/>
                <w:sz w:val="17"/>
              </w:rPr>
              <w:t>Days 21-30</w:t>
            </w:r>
          </w:p>
        </w:tc>
        <w:tc>
          <w:tcPr>
            <w:tcW w:type="dxa" w:w="3744"/>
            <w:vAlign w:val="center"/>
          </w:tcPr>
          <w:p>
            <w:pPr>
              <w:spacing w:after="0"/>
            </w:pPr>
            <w:r>
              <w:rPr>
                <w:rFonts w:ascii="Arial" w:hAnsi="Arial"/>
                <w:sz w:val="17"/>
              </w:rPr>
            </w:r>
            <w:r>
              <w:rPr>
                <w:rFonts w:ascii="Arial" w:hAnsi="Arial"/>
                <w:b w:val="0"/>
                <w:sz w:val="17"/>
              </w:rPr>
              <w:t>Build savings pipeline, prepare supplier negotiations, approve interim policies, define 90-day rollout.</w:t>
            </w:r>
          </w:p>
        </w:tc>
        <w:tc>
          <w:tcPr>
            <w:tcW w:type="dxa" w:w="3456"/>
            <w:vAlign w:val="center"/>
          </w:tcPr>
          <w:p>
            <w:pPr>
              <w:spacing w:after="0"/>
            </w:pPr>
            <w:r>
              <w:rPr>
                <w:rFonts w:ascii="Arial" w:hAnsi="Arial"/>
                <w:sz w:val="17"/>
              </w:rPr>
            </w:r>
            <w:r>
              <w:rPr>
                <w:rFonts w:ascii="Arial" w:hAnsi="Arial"/>
                <w:b w:val="0"/>
                <w:sz w:val="17"/>
              </w:rPr>
              <w:t>Executive scorecard; opportunity register; pilot charter; policy; 90-day roadmap.</w:t>
            </w:r>
          </w:p>
        </w:tc>
        <w:tc>
          <w:tcPr>
            <w:tcW w:type="dxa" w:w="2520"/>
            <w:vAlign w:val="center"/>
          </w:tcPr>
          <w:p>
            <w:pPr>
              <w:spacing w:after="0"/>
            </w:pPr>
            <w:r>
              <w:rPr>
                <w:rFonts w:ascii="Arial" w:hAnsi="Arial"/>
                <w:sz w:val="17"/>
              </w:rPr>
            </w:r>
            <w:r>
              <w:rPr>
                <w:rFonts w:ascii="Arial" w:hAnsi="Arial"/>
                <w:b w:val="0"/>
                <w:sz w:val="17"/>
              </w:rPr>
              <w:t>Authorize negotiations, pilot execution, targets, and recurring leadership reviews.</w:t>
            </w:r>
          </w:p>
        </w:tc>
      </w:tr>
    </w:tbl>
    <w:p>
      <w:pPr>
        <w:pStyle w:val="Heading2"/>
      </w:pPr>
      <w:r>
        <w:t>Immediate Deliverables</w:t>
      </w:r>
    </w:p>
    <w:p>
      <w:pPr>
        <w:pStyle w:val="ListBullet"/>
        <w:spacing w:after="40"/>
        <w:ind w:left="259" w:hanging="173"/>
      </w:pPr>
      <w:r>
        <w:rPr>
          <w:rFonts w:ascii="Arial" w:hAnsi="Arial"/>
          <w:sz w:val="19"/>
        </w:rPr>
        <w:t>One consolidated supplier master with duplicate supplier records identified.</w:t>
      </w:r>
    </w:p>
    <w:p>
      <w:pPr>
        <w:pStyle w:val="ListBullet"/>
        <w:spacing w:after="40"/>
        <w:ind w:left="259" w:hanging="173"/>
      </w:pPr>
      <w:r>
        <w:rPr>
          <w:rFonts w:ascii="Arial" w:hAnsi="Arial"/>
          <w:sz w:val="19"/>
        </w:rPr>
        <w:t>One common purchasing-category structure across all five companies.</w:t>
      </w:r>
    </w:p>
    <w:p>
      <w:pPr>
        <w:pStyle w:val="ListBullet"/>
        <w:spacing w:after="40"/>
        <w:ind w:left="259" w:hanging="173"/>
      </w:pPr>
      <w:r>
        <w:rPr>
          <w:rFonts w:ascii="Arial" w:hAnsi="Arial"/>
          <w:sz w:val="19"/>
        </w:rPr>
        <w:t>A validated purchasing-spend baseline.</w:t>
      </w:r>
    </w:p>
    <w:p>
      <w:pPr>
        <w:pStyle w:val="ListBullet"/>
        <w:spacing w:after="40"/>
        <w:ind w:left="259" w:hanging="173"/>
      </w:pPr>
      <w:r>
        <w:rPr>
          <w:rFonts w:ascii="Arial" w:hAnsi="Arial"/>
          <w:sz w:val="19"/>
        </w:rPr>
        <w:t>A current inventory-value and aging baseline.</w:t>
      </w:r>
    </w:p>
    <w:p>
      <w:pPr>
        <w:pStyle w:val="ListBullet"/>
        <w:spacing w:after="40"/>
        <w:ind w:left="259" w:hanging="173"/>
      </w:pPr>
      <w:r>
        <w:rPr>
          <w:rFonts w:ascii="Arial" w:hAnsi="Arial"/>
          <w:sz w:val="19"/>
        </w:rPr>
        <w:t>An open and past-due purchase-order report.</w:t>
      </w:r>
    </w:p>
    <w:p>
      <w:pPr>
        <w:pStyle w:val="ListBullet"/>
        <w:spacing w:after="40"/>
        <w:ind w:left="259" w:hanging="173"/>
      </w:pPr>
      <w:r>
        <w:rPr>
          <w:rFonts w:ascii="Arial" w:hAnsi="Arial"/>
          <w:sz w:val="19"/>
        </w:rPr>
        <w:t>A ranked list of the first ten savings, service, cash, or risk opportunities.</w:t>
      </w:r>
    </w:p>
    <w:p>
      <w:pPr>
        <w:pStyle w:val="ListBullet"/>
        <w:spacing w:after="40"/>
        <w:ind w:left="259" w:hanging="173"/>
      </w:pPr>
      <w:r>
        <w:rPr>
          <w:rFonts w:ascii="Arial" w:hAnsi="Arial"/>
          <w:sz w:val="19"/>
        </w:rPr>
        <w:t>A Gruber Power pilot charter for one high-value category.</w:t>
      </w:r>
    </w:p>
    <w:p>
      <w:pPr>
        <w:pStyle w:val="ListBullet"/>
        <w:spacing w:after="40"/>
        <w:ind w:left="259" w:hanging="173"/>
      </w:pPr>
      <w:r>
        <w:rPr>
          <w:rFonts w:ascii="Arial" w:hAnsi="Arial"/>
          <w:sz w:val="19"/>
        </w:rPr>
        <w:t>An interim procurement and inventory policy.</w:t>
      </w:r>
    </w:p>
    <w:p>
      <w:pPr>
        <w:pStyle w:val="Heading1"/>
      </w:pPr>
      <w:r>
        <w:t>3. Governance and Accountability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656"/>
            <w:shd w:fill="17324D"/>
            <w:vAlign w:val="center"/>
          </w:tcPr>
          <w:p>
            <w:pPr>
              <w:spacing w:after="0"/>
            </w:pPr>
            <w:r>
              <w:rPr>
                <w:rFonts w:ascii="Arial" w:hAnsi="Arial"/>
                <w:b/>
                <w:color w:val="FFFFFF"/>
                <w:sz w:val="17"/>
              </w:rPr>
              <w:t>Role</w:t>
            </w:r>
          </w:p>
        </w:tc>
        <w:tc>
          <w:tcPr>
            <w:tcW w:type="dxa" w:w="2592"/>
            <w:shd w:fill="17324D"/>
            <w:vAlign w:val="center"/>
          </w:tcPr>
          <w:p>
            <w:pPr>
              <w:spacing w:after="0"/>
            </w:pPr>
            <w:r>
              <w:rPr>
                <w:rFonts w:ascii="Arial" w:hAnsi="Arial"/>
                <w:b/>
                <w:color w:val="FFFFFF"/>
                <w:sz w:val="17"/>
              </w:rPr>
              <w:t>Primary Responsibility</w:t>
            </w:r>
          </w:p>
        </w:tc>
        <w:tc>
          <w:tcPr>
            <w:tcW w:type="dxa" w:w="2592"/>
            <w:shd w:fill="17324D"/>
            <w:vAlign w:val="center"/>
          </w:tcPr>
          <w:p>
            <w:pPr>
              <w:spacing w:after="0"/>
            </w:pPr>
            <w:r>
              <w:rPr>
                <w:rFonts w:ascii="Arial" w:hAnsi="Arial"/>
                <w:b/>
                <w:color w:val="FFFFFF"/>
                <w:sz w:val="17"/>
              </w:rPr>
              <w:t>First 30 Days</w:t>
            </w:r>
          </w:p>
        </w:tc>
        <w:tc>
          <w:tcPr>
            <w:tcW w:type="dxa" w:w="1944"/>
            <w:shd w:fill="17324D"/>
            <w:vAlign w:val="center"/>
          </w:tcPr>
          <w:p>
            <w:pPr>
              <w:spacing w:after="0"/>
            </w:pPr>
            <w:r>
              <w:rPr>
                <w:rFonts w:ascii="Arial" w:hAnsi="Arial"/>
                <w:b/>
                <w:color w:val="FFFFFF"/>
                <w:sz w:val="17"/>
              </w:rPr>
              <w:t>Ongoing Cadence</w:t>
            </w:r>
          </w:p>
        </w:tc>
        <w:tc>
          <w:tcPr>
            <w:tcW w:type="dxa" w:w="2304"/>
            <w:shd w:fill="17324D"/>
            <w:vAlign w:val="center"/>
          </w:tcPr>
          <w:p>
            <w:pPr>
              <w:spacing w:after="0"/>
            </w:pPr>
            <w:r>
              <w:rPr>
                <w:rFonts w:ascii="Arial" w:hAnsi="Arial"/>
                <w:b/>
                <w:color w:val="FFFFFF"/>
                <w:sz w:val="17"/>
              </w:rPr>
              <w:t>Decision Rights</w:t>
            </w:r>
          </w:p>
        </w:tc>
      </w:tr>
      <w:tr>
        <w:tc>
          <w:tcPr>
            <w:tcW w:type="dxa" w:w="1656"/>
            <w:vAlign w:val="center"/>
          </w:tcPr>
          <w:p>
            <w:pPr>
              <w:spacing w:after="0"/>
            </w:pPr>
            <w:r>
              <w:rPr>
                <w:rFonts w:ascii="Arial" w:hAnsi="Arial"/>
                <w:sz w:val="17"/>
              </w:rPr>
            </w:r>
            <w:r>
              <w:rPr>
                <w:rFonts w:ascii="Arial" w:hAnsi="Arial"/>
                <w:b w:val="0"/>
                <w:sz w:val="17"/>
              </w:rPr>
              <w:t>Executive Sponsor</w:t>
            </w:r>
          </w:p>
        </w:tc>
        <w:tc>
          <w:tcPr>
            <w:tcW w:type="dxa" w:w="2592"/>
            <w:vAlign w:val="center"/>
          </w:tcPr>
          <w:p>
            <w:pPr>
              <w:spacing w:after="0"/>
            </w:pPr>
            <w:r>
              <w:rPr>
                <w:rFonts w:ascii="Arial" w:hAnsi="Arial"/>
                <w:sz w:val="17"/>
              </w:rPr>
            </w:r>
            <w:r>
              <w:rPr>
                <w:rFonts w:ascii="Arial" w:hAnsi="Arial"/>
                <w:b w:val="0"/>
                <w:sz w:val="17"/>
              </w:rPr>
              <w:t>Remove barriers and align company leadership.</w:t>
            </w:r>
          </w:p>
        </w:tc>
        <w:tc>
          <w:tcPr>
            <w:tcW w:type="dxa" w:w="2592"/>
            <w:vAlign w:val="center"/>
          </w:tcPr>
          <w:p>
            <w:pPr>
              <w:spacing w:after="0"/>
            </w:pPr>
            <w:r>
              <w:rPr>
                <w:rFonts w:ascii="Arial" w:hAnsi="Arial"/>
                <w:sz w:val="17"/>
              </w:rPr>
            </w:r>
            <w:r>
              <w:rPr>
                <w:rFonts w:ascii="Arial" w:hAnsi="Arial"/>
                <w:b w:val="0"/>
                <w:sz w:val="17"/>
              </w:rPr>
              <w:t>Approve scope, team, access and targets.</w:t>
            </w:r>
          </w:p>
        </w:tc>
        <w:tc>
          <w:tcPr>
            <w:tcW w:type="dxa" w:w="1944"/>
            <w:vAlign w:val="center"/>
          </w:tcPr>
          <w:p>
            <w:pPr>
              <w:spacing w:after="0"/>
            </w:pPr>
            <w:r>
              <w:rPr>
                <w:rFonts w:ascii="Arial" w:hAnsi="Arial"/>
                <w:sz w:val="17"/>
              </w:rPr>
            </w:r>
            <w:r>
              <w:rPr>
                <w:rFonts w:ascii="Arial" w:hAnsi="Arial"/>
                <w:b w:val="0"/>
                <w:sz w:val="17"/>
              </w:rPr>
              <w:t>Monthly steering review.</w:t>
            </w:r>
          </w:p>
        </w:tc>
        <w:tc>
          <w:tcPr>
            <w:tcW w:type="dxa" w:w="2304"/>
            <w:vAlign w:val="center"/>
          </w:tcPr>
          <w:p>
            <w:pPr>
              <w:spacing w:after="0"/>
            </w:pPr>
            <w:r>
              <w:rPr>
                <w:rFonts w:ascii="Arial" w:hAnsi="Arial"/>
                <w:sz w:val="17"/>
              </w:rPr>
            </w:r>
            <w:r>
              <w:rPr>
                <w:rFonts w:ascii="Arial" w:hAnsi="Arial"/>
                <w:b w:val="0"/>
                <w:sz w:val="17"/>
              </w:rPr>
              <w:t>Policy, investment, cross-company escalation.</w:t>
            </w:r>
          </w:p>
        </w:tc>
      </w:tr>
      <w:tr>
        <w:tc>
          <w:tcPr>
            <w:tcW w:type="dxa" w:w="1656"/>
            <w:vAlign w:val="center"/>
          </w:tcPr>
          <w:p>
            <w:pPr>
              <w:spacing w:after="0"/>
            </w:pPr>
            <w:r>
              <w:rPr>
                <w:rFonts w:ascii="Arial" w:hAnsi="Arial"/>
                <w:sz w:val="17"/>
              </w:rPr>
            </w:r>
            <w:r>
              <w:rPr>
                <w:rFonts w:ascii="Arial" w:hAnsi="Arial"/>
                <w:b w:val="0"/>
                <w:sz w:val="17"/>
              </w:rPr>
              <w:t>Procurement Transformation Lead</w:t>
            </w:r>
          </w:p>
        </w:tc>
        <w:tc>
          <w:tcPr>
            <w:tcW w:type="dxa" w:w="2592"/>
            <w:vAlign w:val="center"/>
          </w:tcPr>
          <w:p>
            <w:pPr>
              <w:spacing w:after="0"/>
            </w:pPr>
            <w:r>
              <w:rPr>
                <w:rFonts w:ascii="Arial" w:hAnsi="Arial"/>
                <w:sz w:val="17"/>
              </w:rPr>
            </w:r>
            <w:r>
              <w:rPr>
                <w:rFonts w:ascii="Arial" w:hAnsi="Arial"/>
                <w:b w:val="0"/>
                <w:sz w:val="17"/>
              </w:rPr>
              <w:t>Own program delivery, supplier strategy and reporting.</w:t>
            </w:r>
          </w:p>
        </w:tc>
        <w:tc>
          <w:tcPr>
            <w:tcW w:type="dxa" w:w="2592"/>
            <w:vAlign w:val="center"/>
          </w:tcPr>
          <w:p>
            <w:pPr>
              <w:spacing w:after="0"/>
            </w:pPr>
            <w:r>
              <w:rPr>
                <w:rFonts w:ascii="Arial" w:hAnsi="Arial"/>
                <w:sz w:val="17"/>
              </w:rPr>
            </w:r>
            <w:r>
              <w:rPr>
                <w:rFonts w:ascii="Arial" w:hAnsi="Arial"/>
                <w:b w:val="0"/>
                <w:sz w:val="17"/>
              </w:rPr>
              <w:t>Run discovery, data collection, baseline and pilot.</w:t>
            </w:r>
          </w:p>
        </w:tc>
        <w:tc>
          <w:tcPr>
            <w:tcW w:type="dxa" w:w="1944"/>
            <w:vAlign w:val="center"/>
          </w:tcPr>
          <w:p>
            <w:pPr>
              <w:spacing w:after="0"/>
            </w:pPr>
            <w:r>
              <w:rPr>
                <w:rFonts w:ascii="Arial" w:hAnsi="Arial"/>
                <w:sz w:val="17"/>
              </w:rPr>
            </w:r>
            <w:r>
              <w:rPr>
                <w:rFonts w:ascii="Arial" w:hAnsi="Arial"/>
                <w:b w:val="0"/>
                <w:sz w:val="17"/>
              </w:rPr>
              <w:t>Weekly operations; monthly executive reporting.</w:t>
            </w:r>
          </w:p>
        </w:tc>
        <w:tc>
          <w:tcPr>
            <w:tcW w:type="dxa" w:w="2304"/>
            <w:vAlign w:val="center"/>
          </w:tcPr>
          <w:p>
            <w:pPr>
              <w:spacing w:after="0"/>
            </w:pPr>
            <w:r>
              <w:rPr>
                <w:rFonts w:ascii="Arial" w:hAnsi="Arial"/>
                <w:sz w:val="17"/>
              </w:rPr>
            </w:r>
            <w:r>
              <w:rPr>
                <w:rFonts w:ascii="Arial" w:hAnsi="Arial"/>
                <w:b w:val="0"/>
                <w:sz w:val="17"/>
              </w:rPr>
              <w:t>Process standards, negotiation strategy, recommended awards.</w:t>
            </w:r>
          </w:p>
        </w:tc>
      </w:tr>
      <w:tr>
        <w:tc>
          <w:tcPr>
            <w:tcW w:type="dxa" w:w="1656"/>
            <w:vAlign w:val="center"/>
          </w:tcPr>
          <w:p>
            <w:pPr>
              <w:spacing w:after="0"/>
            </w:pPr>
            <w:r>
              <w:rPr>
                <w:rFonts w:ascii="Arial" w:hAnsi="Arial"/>
                <w:sz w:val="17"/>
              </w:rPr>
            </w:r>
            <w:r>
              <w:rPr>
                <w:rFonts w:ascii="Arial" w:hAnsi="Arial"/>
                <w:b w:val="0"/>
                <w:sz w:val="17"/>
              </w:rPr>
              <w:t>Company Representatives</w:t>
            </w:r>
          </w:p>
        </w:tc>
        <w:tc>
          <w:tcPr>
            <w:tcW w:type="dxa" w:w="2592"/>
            <w:vAlign w:val="center"/>
          </w:tcPr>
          <w:p>
            <w:pPr>
              <w:spacing w:after="0"/>
            </w:pPr>
            <w:r>
              <w:rPr>
                <w:rFonts w:ascii="Arial" w:hAnsi="Arial"/>
                <w:sz w:val="17"/>
              </w:rPr>
            </w:r>
            <w:r>
              <w:rPr>
                <w:rFonts w:ascii="Arial" w:hAnsi="Arial"/>
                <w:b w:val="0"/>
                <w:sz w:val="17"/>
              </w:rPr>
              <w:t>Represent operational needs and validate data.</w:t>
            </w:r>
          </w:p>
        </w:tc>
        <w:tc>
          <w:tcPr>
            <w:tcW w:type="dxa" w:w="2592"/>
            <w:vAlign w:val="center"/>
          </w:tcPr>
          <w:p>
            <w:pPr>
              <w:spacing w:after="0"/>
            </w:pPr>
            <w:r>
              <w:rPr>
                <w:rFonts w:ascii="Arial" w:hAnsi="Arial"/>
                <w:sz w:val="17"/>
              </w:rPr>
            </w:r>
            <w:r>
              <w:rPr>
                <w:rFonts w:ascii="Arial" w:hAnsi="Arial"/>
                <w:b w:val="0"/>
                <w:sz w:val="17"/>
              </w:rPr>
              <w:t>Complete interviews, identify exceptions and confirm priorities.</w:t>
            </w:r>
          </w:p>
        </w:tc>
        <w:tc>
          <w:tcPr>
            <w:tcW w:type="dxa" w:w="1944"/>
            <w:vAlign w:val="center"/>
          </w:tcPr>
          <w:p>
            <w:pPr>
              <w:spacing w:after="0"/>
            </w:pPr>
            <w:r>
              <w:rPr>
                <w:rFonts w:ascii="Arial" w:hAnsi="Arial"/>
                <w:sz w:val="17"/>
              </w:rPr>
            </w:r>
            <w:r>
              <w:rPr>
                <w:rFonts w:ascii="Arial" w:hAnsi="Arial"/>
                <w:b w:val="0"/>
                <w:sz w:val="17"/>
              </w:rPr>
              <w:t>Weekly company review.</w:t>
            </w:r>
          </w:p>
        </w:tc>
        <w:tc>
          <w:tcPr>
            <w:tcW w:type="dxa" w:w="2304"/>
            <w:vAlign w:val="center"/>
          </w:tcPr>
          <w:p>
            <w:pPr>
              <w:spacing w:after="0"/>
            </w:pPr>
            <w:r>
              <w:rPr>
                <w:rFonts w:ascii="Arial" w:hAnsi="Arial"/>
                <w:sz w:val="17"/>
              </w:rPr>
            </w:r>
            <w:r>
              <w:rPr>
                <w:rFonts w:ascii="Arial" w:hAnsi="Arial"/>
                <w:b w:val="0"/>
                <w:sz w:val="17"/>
              </w:rPr>
              <w:t>Local requirements and execution within approved standards.</w:t>
            </w:r>
          </w:p>
        </w:tc>
      </w:tr>
      <w:tr>
        <w:tc>
          <w:tcPr>
            <w:tcW w:type="dxa" w:w="1656"/>
            <w:vAlign w:val="center"/>
          </w:tcPr>
          <w:p>
            <w:pPr>
              <w:spacing w:after="0"/>
            </w:pPr>
            <w:r>
              <w:rPr>
                <w:rFonts w:ascii="Arial" w:hAnsi="Arial"/>
                <w:sz w:val="17"/>
              </w:rPr>
            </w:r>
            <w:r>
              <w:rPr>
                <w:rFonts w:ascii="Arial" w:hAnsi="Arial"/>
                <w:b w:val="0"/>
                <w:sz w:val="17"/>
              </w:rPr>
              <w:t>Accounting</w:t>
            </w:r>
          </w:p>
        </w:tc>
        <w:tc>
          <w:tcPr>
            <w:tcW w:type="dxa" w:w="2592"/>
            <w:vAlign w:val="center"/>
          </w:tcPr>
          <w:p>
            <w:pPr>
              <w:spacing w:after="0"/>
            </w:pPr>
            <w:r>
              <w:rPr>
                <w:rFonts w:ascii="Arial" w:hAnsi="Arial"/>
                <w:sz w:val="17"/>
              </w:rPr>
            </w:r>
            <w:r>
              <w:rPr>
                <w:rFonts w:ascii="Arial" w:hAnsi="Arial"/>
                <w:b w:val="0"/>
                <w:sz w:val="17"/>
              </w:rPr>
              <w:t>Validate financial baselines, costs and savings.</w:t>
            </w:r>
          </w:p>
        </w:tc>
        <w:tc>
          <w:tcPr>
            <w:tcW w:type="dxa" w:w="2592"/>
            <w:vAlign w:val="center"/>
          </w:tcPr>
          <w:p>
            <w:pPr>
              <w:spacing w:after="0"/>
            </w:pPr>
            <w:r>
              <w:rPr>
                <w:rFonts w:ascii="Arial" w:hAnsi="Arial"/>
                <w:sz w:val="17"/>
              </w:rPr>
            </w:r>
            <w:r>
              <w:rPr>
                <w:rFonts w:ascii="Arial" w:hAnsi="Arial"/>
                <w:b w:val="0"/>
                <w:sz w:val="17"/>
              </w:rPr>
              <w:t>Reconcile purchasing and inventory totals.</w:t>
            </w:r>
          </w:p>
        </w:tc>
        <w:tc>
          <w:tcPr>
            <w:tcW w:type="dxa" w:w="1944"/>
            <w:vAlign w:val="center"/>
          </w:tcPr>
          <w:p>
            <w:pPr>
              <w:spacing w:after="0"/>
            </w:pPr>
            <w:r>
              <w:rPr>
                <w:rFonts w:ascii="Arial" w:hAnsi="Arial"/>
                <w:sz w:val="17"/>
              </w:rPr>
            </w:r>
            <w:r>
              <w:rPr>
                <w:rFonts w:ascii="Arial" w:hAnsi="Arial"/>
                <w:b w:val="0"/>
                <w:sz w:val="17"/>
              </w:rPr>
              <w:t>Monthly validation.</w:t>
            </w:r>
          </w:p>
        </w:tc>
        <w:tc>
          <w:tcPr>
            <w:tcW w:type="dxa" w:w="2304"/>
            <w:vAlign w:val="center"/>
          </w:tcPr>
          <w:p>
            <w:pPr>
              <w:spacing w:after="0"/>
            </w:pPr>
            <w:r>
              <w:rPr>
                <w:rFonts w:ascii="Arial" w:hAnsi="Arial"/>
                <w:sz w:val="17"/>
              </w:rPr>
            </w:r>
            <w:r>
              <w:rPr>
                <w:rFonts w:ascii="Arial" w:hAnsi="Arial"/>
                <w:b w:val="0"/>
                <w:sz w:val="17"/>
              </w:rPr>
              <w:t>Savings validation, costing and financial controls.</w:t>
            </w:r>
          </w:p>
        </w:tc>
      </w:tr>
      <w:tr>
        <w:tc>
          <w:tcPr>
            <w:tcW w:type="dxa" w:w="1656"/>
            <w:vAlign w:val="center"/>
          </w:tcPr>
          <w:p>
            <w:pPr>
              <w:spacing w:after="0"/>
            </w:pPr>
            <w:r>
              <w:rPr>
                <w:rFonts w:ascii="Arial" w:hAnsi="Arial"/>
                <w:sz w:val="17"/>
              </w:rPr>
            </w:r>
            <w:r>
              <w:rPr>
                <w:rFonts w:ascii="Arial" w:hAnsi="Arial"/>
                <w:b w:val="0"/>
                <w:sz w:val="17"/>
              </w:rPr>
              <w:t>Inventory/Warehouse Leads</w:t>
            </w:r>
          </w:p>
        </w:tc>
        <w:tc>
          <w:tcPr>
            <w:tcW w:type="dxa" w:w="2592"/>
            <w:vAlign w:val="center"/>
          </w:tcPr>
          <w:p>
            <w:pPr>
              <w:spacing w:after="0"/>
            </w:pPr>
            <w:r>
              <w:rPr>
                <w:rFonts w:ascii="Arial" w:hAnsi="Arial"/>
                <w:sz w:val="17"/>
              </w:rPr>
            </w:r>
            <w:r>
              <w:rPr>
                <w:rFonts w:ascii="Arial" w:hAnsi="Arial"/>
                <w:b w:val="0"/>
                <w:sz w:val="17"/>
              </w:rPr>
              <w:t>Own receiving, locations, counts, transfers and adjustments.</w:t>
            </w:r>
          </w:p>
        </w:tc>
        <w:tc>
          <w:tcPr>
            <w:tcW w:type="dxa" w:w="2592"/>
            <w:vAlign w:val="center"/>
          </w:tcPr>
          <w:p>
            <w:pPr>
              <w:spacing w:after="0"/>
            </w:pPr>
            <w:r>
              <w:rPr>
                <w:rFonts w:ascii="Arial" w:hAnsi="Arial"/>
                <w:sz w:val="17"/>
              </w:rPr>
            </w:r>
            <w:r>
              <w:rPr>
                <w:rFonts w:ascii="Arial" w:hAnsi="Arial"/>
                <w:b w:val="0"/>
                <w:sz w:val="17"/>
              </w:rPr>
              <w:t>Document current controls and data quality.</w:t>
            </w:r>
          </w:p>
        </w:tc>
        <w:tc>
          <w:tcPr>
            <w:tcW w:type="dxa" w:w="1944"/>
            <w:vAlign w:val="center"/>
          </w:tcPr>
          <w:p>
            <w:pPr>
              <w:spacing w:after="0"/>
            </w:pPr>
            <w:r>
              <w:rPr>
                <w:rFonts w:ascii="Arial" w:hAnsi="Arial"/>
                <w:sz w:val="17"/>
              </w:rPr>
            </w:r>
            <w:r>
              <w:rPr>
                <w:rFonts w:ascii="Arial" w:hAnsi="Arial"/>
                <w:b w:val="0"/>
                <w:sz w:val="17"/>
              </w:rPr>
              <w:t>Daily exceptions; weekly accuracy review.</w:t>
            </w:r>
          </w:p>
        </w:tc>
        <w:tc>
          <w:tcPr>
            <w:tcW w:type="dxa" w:w="2304"/>
            <w:vAlign w:val="center"/>
          </w:tcPr>
          <w:p>
            <w:pPr>
              <w:spacing w:after="0"/>
            </w:pPr>
            <w:r>
              <w:rPr>
                <w:rFonts w:ascii="Arial" w:hAnsi="Arial"/>
                <w:sz w:val="17"/>
              </w:rPr>
            </w:r>
            <w:r>
              <w:rPr>
                <w:rFonts w:ascii="Arial" w:hAnsi="Arial"/>
                <w:b w:val="0"/>
                <w:sz w:val="17"/>
              </w:rPr>
              <w:t>Inventory transactions within policy.</w:t>
            </w:r>
          </w:p>
        </w:tc>
      </w:tr>
      <w:tr>
        <w:tc>
          <w:tcPr>
            <w:tcW w:type="dxa" w:w="1656"/>
            <w:vAlign w:val="center"/>
          </w:tcPr>
          <w:p>
            <w:pPr>
              <w:spacing w:after="0"/>
            </w:pPr>
            <w:r>
              <w:rPr>
                <w:rFonts w:ascii="Arial" w:hAnsi="Arial"/>
                <w:sz w:val="17"/>
              </w:rPr>
            </w:r>
            <w:r>
              <w:rPr>
                <w:rFonts w:ascii="Arial" w:hAnsi="Arial"/>
                <w:b w:val="0"/>
                <w:sz w:val="17"/>
              </w:rPr>
              <w:t>IT/Data</w:t>
            </w:r>
          </w:p>
        </w:tc>
        <w:tc>
          <w:tcPr>
            <w:tcW w:type="dxa" w:w="2592"/>
            <w:vAlign w:val="center"/>
          </w:tcPr>
          <w:p>
            <w:pPr>
              <w:spacing w:after="0"/>
            </w:pPr>
            <w:r>
              <w:rPr>
                <w:rFonts w:ascii="Arial" w:hAnsi="Arial"/>
                <w:sz w:val="17"/>
              </w:rPr>
            </w:r>
            <w:r>
              <w:rPr>
                <w:rFonts w:ascii="Arial" w:hAnsi="Arial"/>
                <w:b w:val="0"/>
                <w:sz w:val="17"/>
              </w:rPr>
              <w:t>Support extracts, field mapping and system controls.</w:t>
            </w:r>
          </w:p>
        </w:tc>
        <w:tc>
          <w:tcPr>
            <w:tcW w:type="dxa" w:w="2592"/>
            <w:vAlign w:val="center"/>
          </w:tcPr>
          <w:p>
            <w:pPr>
              <w:spacing w:after="0"/>
            </w:pPr>
            <w:r>
              <w:rPr>
                <w:rFonts w:ascii="Arial" w:hAnsi="Arial"/>
                <w:sz w:val="17"/>
              </w:rPr>
            </w:r>
            <w:r>
              <w:rPr>
                <w:rFonts w:ascii="Arial" w:hAnsi="Arial"/>
                <w:b w:val="0"/>
                <w:sz w:val="17"/>
              </w:rPr>
              <w:t>Provide data and system documentation.</w:t>
            </w:r>
          </w:p>
        </w:tc>
        <w:tc>
          <w:tcPr>
            <w:tcW w:type="dxa" w:w="1944"/>
            <w:vAlign w:val="center"/>
          </w:tcPr>
          <w:p>
            <w:pPr>
              <w:spacing w:after="0"/>
            </w:pPr>
            <w:r>
              <w:rPr>
                <w:rFonts w:ascii="Arial" w:hAnsi="Arial"/>
                <w:sz w:val="17"/>
              </w:rPr>
            </w:r>
            <w:r>
              <w:rPr>
                <w:rFonts w:ascii="Arial" w:hAnsi="Arial"/>
                <w:b w:val="0"/>
                <w:sz w:val="17"/>
              </w:rPr>
              <w:t>As required by roadmap.</w:t>
            </w:r>
          </w:p>
        </w:tc>
        <w:tc>
          <w:tcPr>
            <w:tcW w:type="dxa" w:w="2304"/>
            <w:vAlign w:val="center"/>
          </w:tcPr>
          <w:p>
            <w:pPr>
              <w:spacing w:after="0"/>
            </w:pPr>
            <w:r>
              <w:rPr>
                <w:rFonts w:ascii="Arial" w:hAnsi="Arial"/>
                <w:sz w:val="17"/>
              </w:rPr>
            </w:r>
            <w:r>
              <w:rPr>
                <w:rFonts w:ascii="Arial" w:hAnsi="Arial"/>
                <w:b w:val="0"/>
                <w:sz w:val="17"/>
              </w:rPr>
              <w:t>Technical implementation and access controls.</w:t>
            </w:r>
          </w:p>
        </w:tc>
      </w:tr>
    </w:tbl>
    <w:p>
      <w:pPr>
        <w:pStyle w:val="Heading2"/>
      </w:pPr>
      <w:r>
        <w:t>Recommended Meeting Cadence</w:t>
      </w:r>
    </w:p>
    <w:p>
      <w:pPr>
        <w:pStyle w:val="ListBullet"/>
        <w:spacing w:after="40"/>
        <w:ind w:left="259" w:hanging="173"/>
      </w:pPr>
      <w:r>
        <w:rPr>
          <w:rFonts w:ascii="Arial" w:hAnsi="Arial"/>
          <w:sz w:val="19"/>
        </w:rPr>
        <w:t>Daily during data collection: 15-minute issue resolution among the transformation lead, Accounting, and data owners.</w:t>
      </w:r>
    </w:p>
    <w:p>
      <w:pPr>
        <w:pStyle w:val="ListBullet"/>
        <w:spacing w:after="40"/>
        <w:ind w:left="259" w:hanging="173"/>
      </w:pPr>
      <w:r>
        <w:rPr>
          <w:rFonts w:ascii="Arial" w:hAnsi="Arial"/>
          <w:sz w:val="19"/>
        </w:rPr>
        <w:t>Weekly: 45-minute cross-company purchasing and inventory working session.</w:t>
      </w:r>
    </w:p>
    <w:p>
      <w:pPr>
        <w:pStyle w:val="ListBullet"/>
        <w:spacing w:after="40"/>
        <w:ind w:left="259" w:hanging="173"/>
      </w:pPr>
      <w:r>
        <w:rPr>
          <w:rFonts w:ascii="Arial" w:hAnsi="Arial"/>
          <w:sz w:val="19"/>
        </w:rPr>
        <w:t>Biweekly during launch: supplier, inventory, and savings opportunity review.</w:t>
      </w:r>
    </w:p>
    <w:p>
      <w:pPr>
        <w:pStyle w:val="ListBullet"/>
        <w:spacing w:after="40"/>
        <w:ind w:left="259" w:hanging="173"/>
      </w:pPr>
      <w:r>
        <w:rPr>
          <w:rFonts w:ascii="Arial" w:hAnsi="Arial"/>
          <w:sz w:val="19"/>
        </w:rPr>
        <w:t>Monthly: executive scorecard and decisions on risk, cash, savings, and policy.</w:t>
      </w:r>
    </w:p>
    <w:p>
      <w:pPr>
        <w:pStyle w:val="ListBullet"/>
        <w:spacing w:after="40"/>
        <w:ind w:left="259" w:hanging="173"/>
      </w:pPr>
      <w:r>
        <w:rPr>
          <w:rFonts w:ascii="Arial" w:hAnsi="Arial"/>
          <w:sz w:val="19"/>
        </w:rPr>
        <w:t>Quarterly: strategic supplier business reviews and category planning.</w:t>
      </w:r>
    </w:p>
    <w:p>
      <w:pPr>
        <w:pStyle w:val="Heading1"/>
      </w:pPr>
      <w:r>
        <w:t>4. Standardized Discovery Interview Guide</w:t>
      </w:r>
    </w:p>
    <w:p>
      <w:r>
        <w:t>Use the same questions with each business and function. Record answers in the Discovery Tracker sheet so differences and common problems can be compared.</w:t>
      </w:r>
    </w:p>
    <w:p>
      <w:pPr>
        <w:pStyle w:val="Heading2"/>
      </w:pPr>
      <w:r>
        <w:t>Demand and requests</w:t>
      </w:r>
    </w:p>
    <w:p>
      <w:pPr>
        <w:pStyle w:val="ListBullet"/>
        <w:spacing w:after="40"/>
        <w:ind w:left="259" w:hanging="173"/>
      </w:pPr>
      <w:r>
        <w:rPr>
          <w:rFonts w:ascii="Arial" w:hAnsi="Arial"/>
          <w:sz w:val="19"/>
        </w:rPr>
        <w:t>What triggers a purchase request?</w:t>
      </w:r>
    </w:p>
    <w:p>
      <w:pPr>
        <w:pStyle w:val="ListBullet"/>
        <w:spacing w:after="40"/>
        <w:ind w:left="259" w:hanging="173"/>
      </w:pPr>
      <w:r>
        <w:rPr>
          <w:rFonts w:ascii="Arial" w:hAnsi="Arial"/>
          <w:sz w:val="19"/>
        </w:rPr>
        <w:t>Who determines quantity, specification, supplier, and required date?</w:t>
      </w:r>
    </w:p>
    <w:p>
      <w:pPr>
        <w:pStyle w:val="ListBullet"/>
        <w:spacing w:after="40"/>
        <w:ind w:left="259" w:hanging="173"/>
      </w:pPr>
      <w:r>
        <w:rPr>
          <w:rFonts w:ascii="Arial" w:hAnsi="Arial"/>
          <w:sz w:val="19"/>
        </w:rPr>
        <w:t>How are customer, production, service, project, and facility demands distinguished?</w:t>
      </w:r>
    </w:p>
    <w:p>
      <w:pPr>
        <w:pStyle w:val="ListBullet"/>
        <w:spacing w:after="40"/>
        <w:ind w:left="259" w:hanging="173"/>
      </w:pPr>
      <w:r>
        <w:rPr>
          <w:rFonts w:ascii="Arial" w:hAnsi="Arial"/>
          <w:sz w:val="19"/>
        </w:rPr>
        <w:t>Which purchases are predictable, and which are typically urgent?</w:t>
      </w:r>
    </w:p>
    <w:p>
      <w:pPr>
        <w:pStyle w:val="Heading2"/>
      </w:pPr>
      <w:r>
        <w:t>Approval and ordering</w:t>
      </w:r>
    </w:p>
    <w:p>
      <w:pPr>
        <w:pStyle w:val="ListBullet"/>
        <w:spacing w:after="40"/>
        <w:ind w:left="259" w:hanging="173"/>
      </w:pPr>
      <w:r>
        <w:rPr>
          <w:rFonts w:ascii="Arial" w:hAnsi="Arial"/>
          <w:sz w:val="19"/>
        </w:rPr>
        <w:t>Who can approve purchases, at what dollar thresholds, and in which systems?</w:t>
      </w:r>
    </w:p>
    <w:p>
      <w:pPr>
        <w:pStyle w:val="ListBullet"/>
        <w:spacing w:after="40"/>
        <w:ind w:left="259" w:hanging="173"/>
      </w:pPr>
      <w:r>
        <w:rPr>
          <w:rFonts w:ascii="Arial" w:hAnsi="Arial"/>
          <w:sz w:val="19"/>
        </w:rPr>
        <w:t>Are purchase orders always issued before an order is placed?</w:t>
      </w:r>
    </w:p>
    <w:p>
      <w:pPr>
        <w:pStyle w:val="ListBullet"/>
        <w:spacing w:after="40"/>
        <w:ind w:left="259" w:hanging="173"/>
      </w:pPr>
      <w:r>
        <w:rPr>
          <w:rFonts w:ascii="Arial" w:hAnsi="Arial"/>
          <w:sz w:val="19"/>
        </w:rPr>
        <w:t>How are emergency, credit-card, online, and verbal purchases controlled?</w:t>
      </w:r>
    </w:p>
    <w:p>
      <w:pPr>
        <w:pStyle w:val="ListBullet"/>
        <w:spacing w:after="40"/>
        <w:ind w:left="259" w:hanging="173"/>
      </w:pPr>
      <w:r>
        <w:rPr>
          <w:rFonts w:ascii="Arial" w:hAnsi="Arial"/>
          <w:sz w:val="19"/>
        </w:rPr>
        <w:t>How are supplier acknowledgements and delivery dates captured?</w:t>
      </w:r>
    </w:p>
    <w:p>
      <w:pPr>
        <w:pStyle w:val="Heading2"/>
      </w:pPr>
      <w:r>
        <w:t>Receiving and inventory</w:t>
      </w:r>
    </w:p>
    <w:p>
      <w:pPr>
        <w:pStyle w:val="ListBullet"/>
        <w:spacing w:after="40"/>
        <w:ind w:left="259" w:hanging="173"/>
      </w:pPr>
      <w:r>
        <w:rPr>
          <w:rFonts w:ascii="Arial" w:hAnsi="Arial"/>
          <w:sz w:val="19"/>
        </w:rPr>
        <w:t>Who receives products and verifies quantity, condition, serial number, and documentation?</w:t>
      </w:r>
    </w:p>
    <w:p>
      <w:pPr>
        <w:pStyle w:val="ListBullet"/>
        <w:spacing w:after="40"/>
        <w:ind w:left="259" w:hanging="173"/>
      </w:pPr>
      <w:r>
        <w:rPr>
          <w:rFonts w:ascii="Arial" w:hAnsi="Arial"/>
          <w:sz w:val="19"/>
        </w:rPr>
        <w:t>Where can inventory be stored: warehouse, production, project site, service vehicle, repair bench, donor stock, or another business?</w:t>
      </w:r>
    </w:p>
    <w:p>
      <w:pPr>
        <w:pStyle w:val="ListBullet"/>
        <w:spacing w:after="40"/>
        <w:ind w:left="259" w:hanging="173"/>
      </w:pPr>
      <w:r>
        <w:rPr>
          <w:rFonts w:ascii="Arial" w:hAnsi="Arial"/>
          <w:sz w:val="19"/>
        </w:rPr>
        <w:t>How are transfers, consumption, scrap, returns, cores, donor parts, and adjustments recorded?</w:t>
      </w:r>
    </w:p>
    <w:p>
      <w:pPr>
        <w:pStyle w:val="ListBullet"/>
        <w:spacing w:after="40"/>
        <w:ind w:left="259" w:hanging="173"/>
      </w:pPr>
      <w:r>
        <w:rPr>
          <w:rFonts w:ascii="Arial" w:hAnsi="Arial"/>
          <w:sz w:val="19"/>
        </w:rPr>
        <w:t>How often are cycle counts performed, and what causes discrepancies?</w:t>
      </w:r>
    </w:p>
    <w:p>
      <w:pPr>
        <w:pStyle w:val="Heading2"/>
      </w:pPr>
      <w:r>
        <w:t>Suppliers and contracts</w:t>
      </w:r>
    </w:p>
    <w:p>
      <w:pPr>
        <w:pStyle w:val="ListBullet"/>
        <w:spacing w:after="40"/>
        <w:ind w:left="259" w:hanging="173"/>
      </w:pPr>
      <w:r>
        <w:rPr>
          <w:rFonts w:ascii="Arial" w:hAnsi="Arial"/>
          <w:sz w:val="19"/>
        </w:rPr>
        <w:t>Which suppliers are strategic, sole-source, high-risk, or difficult to replace?</w:t>
      </w:r>
    </w:p>
    <w:p>
      <w:pPr>
        <w:pStyle w:val="ListBullet"/>
        <w:spacing w:after="40"/>
        <w:ind w:left="259" w:hanging="173"/>
      </w:pPr>
      <w:r>
        <w:rPr>
          <w:rFonts w:ascii="Arial" w:hAnsi="Arial"/>
          <w:sz w:val="19"/>
        </w:rPr>
        <w:t>Where are contracts, pricing, rebates, warranty terms, lead times, and freight agreements stored?</w:t>
      </w:r>
    </w:p>
    <w:p>
      <w:pPr>
        <w:pStyle w:val="ListBullet"/>
        <w:spacing w:after="40"/>
        <w:ind w:left="259" w:hanging="173"/>
      </w:pPr>
      <w:r>
        <w:rPr>
          <w:rFonts w:ascii="Arial" w:hAnsi="Arial"/>
          <w:sz w:val="19"/>
        </w:rPr>
        <w:t>Are different Gruber companies buying the same products from different suppliers or at different prices?</w:t>
      </w:r>
    </w:p>
    <w:p>
      <w:pPr>
        <w:pStyle w:val="ListBullet"/>
        <w:spacing w:after="40"/>
        <w:ind w:left="259" w:hanging="173"/>
      </w:pPr>
      <w:r>
        <w:rPr>
          <w:rFonts w:ascii="Arial" w:hAnsi="Arial"/>
          <w:sz w:val="19"/>
        </w:rPr>
        <w:t>How are supplier quality, delivery, invoice accuracy, and responsiveness measured?</w:t>
      </w:r>
    </w:p>
    <w:p>
      <w:pPr>
        <w:pStyle w:val="Heading2"/>
      </w:pPr>
      <w:r>
        <w:t>Financial and operational impact</w:t>
      </w:r>
    </w:p>
    <w:p>
      <w:pPr>
        <w:pStyle w:val="ListBullet"/>
        <w:spacing w:after="40"/>
        <w:ind w:left="259" w:hanging="173"/>
      </w:pPr>
      <w:r>
        <w:rPr>
          <w:rFonts w:ascii="Arial" w:hAnsi="Arial"/>
          <w:sz w:val="19"/>
        </w:rPr>
        <w:t>How are purchases tied to inventory, customer orders, manufacturing orders, service work orders, projects, vehicle repairs, or operating expenses?</w:t>
      </w:r>
    </w:p>
    <w:p>
      <w:pPr>
        <w:pStyle w:val="ListBullet"/>
        <w:spacing w:after="40"/>
        <w:ind w:left="259" w:hanging="173"/>
      </w:pPr>
      <w:r>
        <w:rPr>
          <w:rFonts w:ascii="Arial" w:hAnsi="Arial"/>
          <w:sz w:val="19"/>
        </w:rPr>
        <w:t>Where do stockouts, emergency freight, slow-moving inventory, rework, and warranty failures create the most cost?</w:t>
      </w:r>
    </w:p>
    <w:p>
      <w:pPr>
        <w:pStyle w:val="ListBullet"/>
        <w:spacing w:after="40"/>
        <w:ind w:left="259" w:hanging="173"/>
      </w:pPr>
      <w:r>
        <w:rPr>
          <w:rFonts w:ascii="Arial" w:hAnsi="Arial"/>
          <w:sz w:val="19"/>
        </w:rPr>
        <w:t>Which reports are trusted today, and which decisions are being made without reliable data?</w:t>
      </w:r>
    </w:p>
    <w:p>
      <w:pPr>
        <w:pStyle w:val="ListBullet"/>
        <w:spacing w:after="40"/>
        <w:ind w:left="259" w:hanging="173"/>
      </w:pPr>
      <w:r>
        <w:rPr>
          <w:rFonts w:ascii="Arial" w:hAnsi="Arial"/>
          <w:sz w:val="19"/>
        </w:rPr>
        <w:t>What is the most valuable improvement that could be achieved within 90 days?</w:t>
      </w:r>
    </w:p>
    <w:p>
      <w:pPr>
        <w:pStyle w:val="Heading1"/>
      </w:pPr>
      <w:r>
        <w:t>5. Initial Data Request</w:t>
      </w:r>
    </w:p>
    <w:p>
      <w:r>
        <w:t>Request data for the most recent 12-24 months where available, plus the current inventory position.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shd w:fill="17324D"/>
            <w:vAlign w:val="center"/>
          </w:tcPr>
          <w:p>
            <w:pPr>
              <w:spacing w:after="0"/>
            </w:pPr>
            <w:r>
              <w:rPr>
                <w:rFonts w:ascii="Arial" w:hAnsi="Arial"/>
                <w:b/>
                <w:color w:val="FFFFFF"/>
                <w:sz w:val="17"/>
              </w:rPr>
              <w:t>Dataset</w:t>
            </w:r>
          </w:p>
        </w:tc>
        <w:tc>
          <w:tcPr>
            <w:tcW w:type="dxa" w:w="4392"/>
            <w:shd w:fill="17324D"/>
            <w:vAlign w:val="center"/>
          </w:tcPr>
          <w:p>
            <w:pPr>
              <w:spacing w:after="0"/>
            </w:pPr>
            <w:r>
              <w:rPr>
                <w:rFonts w:ascii="Arial" w:hAnsi="Arial"/>
                <w:b/>
                <w:color w:val="FFFFFF"/>
                <w:sz w:val="17"/>
              </w:rPr>
              <w:t>Required Fields</w:t>
            </w:r>
          </w:p>
        </w:tc>
        <w:tc>
          <w:tcPr>
            <w:tcW w:type="dxa" w:w="1944"/>
            <w:shd w:fill="17324D"/>
            <w:vAlign w:val="center"/>
          </w:tcPr>
          <w:p>
            <w:pPr>
              <w:spacing w:after="0"/>
            </w:pPr>
            <w:r>
              <w:rPr>
                <w:rFonts w:ascii="Arial" w:hAnsi="Arial"/>
                <w:b/>
                <w:color w:val="FFFFFF"/>
                <w:sz w:val="17"/>
              </w:rPr>
              <w:t>Primary Owner</w:t>
            </w:r>
          </w:p>
        </w:tc>
        <w:tc>
          <w:tcPr>
            <w:tcW w:type="dxa" w:w="2520"/>
            <w:shd w:fill="17324D"/>
            <w:vAlign w:val="center"/>
          </w:tcPr>
          <w:p>
            <w:pPr>
              <w:spacing w:after="0"/>
            </w:pPr>
            <w:r>
              <w:rPr>
                <w:rFonts w:ascii="Arial" w:hAnsi="Arial"/>
                <w:b/>
                <w:color w:val="FFFFFF"/>
                <w:sz w:val="17"/>
              </w:rPr>
              <w:t>Purpose</w:t>
            </w:r>
          </w:p>
        </w:tc>
      </w:tr>
      <w:tr>
        <w:tc>
          <w:tcPr>
            <w:tcW w:type="dxa" w:w="2088"/>
            <w:vAlign w:val="center"/>
          </w:tcPr>
          <w:p>
            <w:pPr>
              <w:spacing w:after="0"/>
            </w:pPr>
            <w:r>
              <w:rPr>
                <w:rFonts w:ascii="Arial" w:hAnsi="Arial"/>
                <w:sz w:val="17"/>
              </w:rPr>
            </w:r>
            <w:r>
              <w:rPr>
                <w:rFonts w:ascii="Arial" w:hAnsi="Arial"/>
                <w:b w:val="0"/>
                <w:sz w:val="17"/>
              </w:rPr>
              <w:t>Purchase orders and receipts</w:t>
            </w:r>
          </w:p>
        </w:tc>
        <w:tc>
          <w:tcPr>
            <w:tcW w:type="dxa" w:w="4392"/>
            <w:vAlign w:val="center"/>
          </w:tcPr>
          <w:p>
            <w:pPr>
              <w:spacing w:after="0"/>
            </w:pPr>
            <w:r>
              <w:rPr>
                <w:rFonts w:ascii="Arial" w:hAnsi="Arial"/>
                <w:sz w:val="17"/>
              </w:rPr>
            </w:r>
            <w:r>
              <w:rPr>
                <w:rFonts w:ascii="Arial" w:hAnsi="Arial"/>
                <w:b w:val="0"/>
                <w:sz w:val="17"/>
              </w:rPr>
              <w:t>PO, dates, company, location, buyer, supplier, item, description, category, quantity, cost, freight, status, project/work order</w:t>
            </w:r>
          </w:p>
        </w:tc>
        <w:tc>
          <w:tcPr>
            <w:tcW w:type="dxa" w:w="1944"/>
            <w:vAlign w:val="center"/>
          </w:tcPr>
          <w:p>
            <w:pPr>
              <w:spacing w:after="0"/>
            </w:pPr>
            <w:r>
              <w:rPr>
                <w:rFonts w:ascii="Arial" w:hAnsi="Arial"/>
                <w:sz w:val="17"/>
              </w:rPr>
            </w:r>
            <w:r>
              <w:rPr>
                <w:rFonts w:ascii="Arial" w:hAnsi="Arial"/>
                <w:b w:val="0"/>
                <w:sz w:val="17"/>
              </w:rPr>
              <w:t>Purchasing / Accounting</w:t>
            </w:r>
          </w:p>
        </w:tc>
        <w:tc>
          <w:tcPr>
            <w:tcW w:type="dxa" w:w="2520"/>
            <w:vAlign w:val="center"/>
          </w:tcPr>
          <w:p>
            <w:pPr>
              <w:spacing w:after="0"/>
            </w:pPr>
            <w:r>
              <w:rPr>
                <w:rFonts w:ascii="Arial" w:hAnsi="Arial"/>
                <w:sz w:val="17"/>
              </w:rPr>
            </w:r>
            <w:r>
              <w:rPr>
                <w:rFonts w:ascii="Arial" w:hAnsi="Arial"/>
                <w:b w:val="0"/>
                <w:sz w:val="17"/>
              </w:rPr>
              <w:t>Spend, open commitments, price variance, delivery risk</w:t>
            </w:r>
          </w:p>
        </w:tc>
      </w:tr>
      <w:tr>
        <w:tc>
          <w:tcPr>
            <w:tcW w:type="dxa" w:w="2088"/>
            <w:vAlign w:val="center"/>
          </w:tcPr>
          <w:p>
            <w:pPr>
              <w:spacing w:after="0"/>
            </w:pPr>
            <w:r>
              <w:rPr>
                <w:rFonts w:ascii="Arial" w:hAnsi="Arial"/>
                <w:sz w:val="17"/>
              </w:rPr>
            </w:r>
            <w:r>
              <w:rPr>
                <w:rFonts w:ascii="Arial" w:hAnsi="Arial"/>
                <w:b w:val="0"/>
                <w:sz w:val="17"/>
              </w:rPr>
              <w:t>Supplier invoices and credits</w:t>
            </w:r>
          </w:p>
        </w:tc>
        <w:tc>
          <w:tcPr>
            <w:tcW w:type="dxa" w:w="4392"/>
            <w:vAlign w:val="center"/>
          </w:tcPr>
          <w:p>
            <w:pPr>
              <w:spacing w:after="0"/>
            </w:pPr>
            <w:r>
              <w:rPr>
                <w:rFonts w:ascii="Arial" w:hAnsi="Arial"/>
                <w:sz w:val="17"/>
              </w:rPr>
            </w:r>
            <w:r>
              <w:rPr>
                <w:rFonts w:ascii="Arial" w:hAnsi="Arial"/>
                <w:b w:val="0"/>
                <w:sz w:val="17"/>
              </w:rPr>
              <w:t>Supplier, invoice, PO, dates, line costs, freight, tax, credit, payment terms</w:t>
            </w:r>
          </w:p>
        </w:tc>
        <w:tc>
          <w:tcPr>
            <w:tcW w:type="dxa" w:w="1944"/>
            <w:vAlign w:val="center"/>
          </w:tcPr>
          <w:p>
            <w:pPr>
              <w:spacing w:after="0"/>
            </w:pPr>
            <w:r>
              <w:rPr>
                <w:rFonts w:ascii="Arial" w:hAnsi="Arial"/>
                <w:sz w:val="17"/>
              </w:rPr>
            </w:r>
            <w:r>
              <w:rPr>
                <w:rFonts w:ascii="Arial" w:hAnsi="Arial"/>
                <w:b w:val="0"/>
                <w:sz w:val="17"/>
              </w:rPr>
              <w:t>Accounting</w:t>
            </w:r>
          </w:p>
        </w:tc>
        <w:tc>
          <w:tcPr>
            <w:tcW w:type="dxa" w:w="2520"/>
            <w:vAlign w:val="center"/>
          </w:tcPr>
          <w:p>
            <w:pPr>
              <w:spacing w:after="0"/>
            </w:pPr>
            <w:r>
              <w:rPr>
                <w:rFonts w:ascii="Arial" w:hAnsi="Arial"/>
                <w:sz w:val="17"/>
              </w:rPr>
            </w:r>
            <w:r>
              <w:rPr>
                <w:rFonts w:ascii="Arial" w:hAnsi="Arial"/>
                <w:b w:val="0"/>
                <w:sz w:val="17"/>
              </w:rPr>
              <w:t>Reconcile spend, invoice accuracy, true landed cost</w:t>
            </w:r>
          </w:p>
        </w:tc>
      </w:tr>
      <w:tr>
        <w:tc>
          <w:tcPr>
            <w:tcW w:type="dxa" w:w="2088"/>
            <w:vAlign w:val="center"/>
          </w:tcPr>
          <w:p>
            <w:pPr>
              <w:spacing w:after="0"/>
            </w:pPr>
            <w:r>
              <w:rPr>
                <w:rFonts w:ascii="Arial" w:hAnsi="Arial"/>
                <w:sz w:val="17"/>
              </w:rPr>
            </w:r>
            <w:r>
              <w:rPr>
                <w:rFonts w:ascii="Arial" w:hAnsi="Arial"/>
                <w:b w:val="0"/>
                <w:sz w:val="17"/>
              </w:rPr>
              <w:t>Current inventory</w:t>
            </w:r>
          </w:p>
        </w:tc>
        <w:tc>
          <w:tcPr>
            <w:tcW w:type="dxa" w:w="4392"/>
            <w:vAlign w:val="center"/>
          </w:tcPr>
          <w:p>
            <w:pPr>
              <w:spacing w:after="0"/>
            </w:pPr>
            <w:r>
              <w:rPr>
                <w:rFonts w:ascii="Arial" w:hAnsi="Arial"/>
                <w:sz w:val="17"/>
              </w:rPr>
            </w:r>
            <w:r>
              <w:rPr>
                <w:rFonts w:ascii="Arial" w:hAnsi="Arial"/>
                <w:b w:val="0"/>
                <w:sz w:val="17"/>
              </w:rPr>
              <w:t>Location, item, description, quantity, cost, last use, serial/lot, status</w:t>
            </w:r>
          </w:p>
        </w:tc>
        <w:tc>
          <w:tcPr>
            <w:tcW w:type="dxa" w:w="1944"/>
            <w:vAlign w:val="center"/>
          </w:tcPr>
          <w:p>
            <w:pPr>
              <w:spacing w:after="0"/>
            </w:pPr>
            <w:r>
              <w:rPr>
                <w:rFonts w:ascii="Arial" w:hAnsi="Arial"/>
                <w:sz w:val="17"/>
              </w:rPr>
            </w:r>
            <w:r>
              <w:rPr>
                <w:rFonts w:ascii="Arial" w:hAnsi="Arial"/>
                <w:b w:val="0"/>
                <w:sz w:val="17"/>
              </w:rPr>
              <w:t>Inventory / Accounting</w:t>
            </w:r>
          </w:p>
        </w:tc>
        <w:tc>
          <w:tcPr>
            <w:tcW w:type="dxa" w:w="2520"/>
            <w:vAlign w:val="center"/>
          </w:tcPr>
          <w:p>
            <w:pPr>
              <w:spacing w:after="0"/>
            </w:pPr>
            <w:r>
              <w:rPr>
                <w:rFonts w:ascii="Arial" w:hAnsi="Arial"/>
                <w:sz w:val="17"/>
              </w:rPr>
            </w:r>
            <w:r>
              <w:rPr>
                <w:rFonts w:ascii="Arial" w:hAnsi="Arial"/>
                <w:b w:val="0"/>
                <w:sz w:val="17"/>
              </w:rPr>
              <w:t>Value, aging, availability, transfers and accuracy</w:t>
            </w:r>
          </w:p>
        </w:tc>
      </w:tr>
      <w:tr>
        <w:tc>
          <w:tcPr>
            <w:tcW w:type="dxa" w:w="2088"/>
            <w:vAlign w:val="center"/>
          </w:tcPr>
          <w:p>
            <w:pPr>
              <w:spacing w:after="0"/>
            </w:pPr>
            <w:r>
              <w:rPr>
                <w:rFonts w:ascii="Arial" w:hAnsi="Arial"/>
                <w:sz w:val="17"/>
              </w:rPr>
            </w:r>
            <w:r>
              <w:rPr>
                <w:rFonts w:ascii="Arial" w:hAnsi="Arial"/>
                <w:b w:val="0"/>
                <w:sz w:val="17"/>
              </w:rPr>
              <w:t>Item master</w:t>
            </w:r>
          </w:p>
        </w:tc>
        <w:tc>
          <w:tcPr>
            <w:tcW w:type="dxa" w:w="4392"/>
            <w:vAlign w:val="center"/>
          </w:tcPr>
          <w:p>
            <w:pPr>
              <w:spacing w:after="0"/>
            </w:pPr>
            <w:r>
              <w:rPr>
                <w:rFonts w:ascii="Arial" w:hAnsi="Arial"/>
                <w:sz w:val="17"/>
              </w:rPr>
            </w:r>
            <w:r>
              <w:rPr>
                <w:rFonts w:ascii="Arial" w:hAnsi="Arial"/>
                <w:b w:val="0"/>
                <w:sz w:val="17"/>
              </w:rPr>
              <w:t>SKU, description, category, UOM, manufacturer, part number, supplier, lead time, min/max, standard and last cost</w:t>
            </w:r>
          </w:p>
        </w:tc>
        <w:tc>
          <w:tcPr>
            <w:tcW w:type="dxa" w:w="1944"/>
            <w:vAlign w:val="center"/>
          </w:tcPr>
          <w:p>
            <w:pPr>
              <w:spacing w:after="0"/>
            </w:pPr>
            <w:r>
              <w:rPr>
                <w:rFonts w:ascii="Arial" w:hAnsi="Arial"/>
                <w:sz w:val="17"/>
              </w:rPr>
            </w:r>
            <w:r>
              <w:rPr>
                <w:rFonts w:ascii="Arial" w:hAnsi="Arial"/>
                <w:b w:val="0"/>
                <w:sz w:val="17"/>
              </w:rPr>
              <w:t>Inventory / Operations</w:t>
            </w:r>
          </w:p>
        </w:tc>
        <w:tc>
          <w:tcPr>
            <w:tcW w:type="dxa" w:w="2520"/>
            <w:vAlign w:val="center"/>
          </w:tcPr>
          <w:p>
            <w:pPr>
              <w:spacing w:after="0"/>
            </w:pPr>
            <w:r>
              <w:rPr>
                <w:rFonts w:ascii="Arial" w:hAnsi="Arial"/>
                <w:sz w:val="17"/>
              </w:rPr>
            </w:r>
            <w:r>
              <w:rPr>
                <w:rFonts w:ascii="Arial" w:hAnsi="Arial"/>
                <w:b w:val="0"/>
                <w:sz w:val="17"/>
              </w:rPr>
              <w:t>Normalize items and planning controls</w:t>
            </w:r>
          </w:p>
        </w:tc>
      </w:tr>
      <w:tr>
        <w:tc>
          <w:tcPr>
            <w:tcW w:type="dxa" w:w="2088"/>
            <w:vAlign w:val="center"/>
          </w:tcPr>
          <w:p>
            <w:pPr>
              <w:spacing w:after="0"/>
            </w:pPr>
            <w:r>
              <w:rPr>
                <w:rFonts w:ascii="Arial" w:hAnsi="Arial"/>
                <w:sz w:val="17"/>
              </w:rPr>
            </w:r>
            <w:r>
              <w:rPr>
                <w:rFonts w:ascii="Arial" w:hAnsi="Arial"/>
                <w:b w:val="0"/>
                <w:sz w:val="17"/>
              </w:rPr>
              <w:t>Supplier master and contracts</w:t>
            </w:r>
          </w:p>
        </w:tc>
        <w:tc>
          <w:tcPr>
            <w:tcW w:type="dxa" w:w="4392"/>
            <w:vAlign w:val="center"/>
          </w:tcPr>
          <w:p>
            <w:pPr>
              <w:spacing w:after="0"/>
            </w:pPr>
            <w:r>
              <w:rPr>
                <w:rFonts w:ascii="Arial" w:hAnsi="Arial"/>
                <w:sz w:val="17"/>
              </w:rPr>
            </w:r>
            <w:r>
              <w:rPr>
                <w:rFonts w:ascii="Arial" w:hAnsi="Arial"/>
                <w:b w:val="0"/>
                <w:sz w:val="17"/>
              </w:rPr>
              <w:t>Legal name, contacts, categories, terms, agreements, dates, pricing, warranty, risk</w:t>
            </w:r>
          </w:p>
        </w:tc>
        <w:tc>
          <w:tcPr>
            <w:tcW w:type="dxa" w:w="1944"/>
            <w:vAlign w:val="center"/>
          </w:tcPr>
          <w:p>
            <w:pPr>
              <w:spacing w:after="0"/>
            </w:pPr>
            <w:r>
              <w:rPr>
                <w:rFonts w:ascii="Arial" w:hAnsi="Arial"/>
                <w:sz w:val="17"/>
              </w:rPr>
            </w:r>
            <w:r>
              <w:rPr>
                <w:rFonts w:ascii="Arial" w:hAnsi="Arial"/>
                <w:b w:val="0"/>
                <w:sz w:val="17"/>
              </w:rPr>
              <w:t>Purchasing / Legal / Accounting</w:t>
            </w:r>
          </w:p>
        </w:tc>
        <w:tc>
          <w:tcPr>
            <w:tcW w:type="dxa" w:w="2520"/>
            <w:vAlign w:val="center"/>
          </w:tcPr>
          <w:p>
            <w:pPr>
              <w:spacing w:after="0"/>
            </w:pPr>
            <w:r>
              <w:rPr>
                <w:rFonts w:ascii="Arial" w:hAnsi="Arial"/>
                <w:sz w:val="17"/>
              </w:rPr>
            </w:r>
            <w:r>
              <w:rPr>
                <w:rFonts w:ascii="Arial" w:hAnsi="Arial"/>
                <w:b w:val="0"/>
                <w:sz w:val="17"/>
              </w:rPr>
              <w:t>Consolidation, negotiation and compliance</w:t>
            </w:r>
          </w:p>
        </w:tc>
      </w:tr>
      <w:tr>
        <w:tc>
          <w:tcPr>
            <w:tcW w:type="dxa" w:w="2088"/>
            <w:vAlign w:val="center"/>
          </w:tcPr>
          <w:p>
            <w:pPr>
              <w:spacing w:after="0"/>
            </w:pPr>
            <w:r>
              <w:rPr>
                <w:rFonts w:ascii="Arial" w:hAnsi="Arial"/>
                <w:sz w:val="17"/>
              </w:rPr>
            </w:r>
            <w:r>
              <w:rPr>
                <w:rFonts w:ascii="Arial" w:hAnsi="Arial"/>
                <w:b w:val="0"/>
                <w:sz w:val="17"/>
              </w:rPr>
              <w:t>Sales and material usage</w:t>
            </w:r>
          </w:p>
        </w:tc>
        <w:tc>
          <w:tcPr>
            <w:tcW w:type="dxa" w:w="4392"/>
            <w:vAlign w:val="center"/>
          </w:tcPr>
          <w:p>
            <w:pPr>
              <w:spacing w:after="0"/>
            </w:pPr>
            <w:r>
              <w:rPr>
                <w:rFonts w:ascii="Arial" w:hAnsi="Arial"/>
                <w:sz w:val="17"/>
              </w:rPr>
            </w:r>
            <w:r>
              <w:rPr>
                <w:rFonts w:ascii="Arial" w:hAnsi="Arial"/>
                <w:b w:val="0"/>
                <w:sz w:val="17"/>
              </w:rPr>
              <w:t>Orders, shipments, COGS, work-order issues, manufacturing consumption</w:t>
            </w:r>
          </w:p>
        </w:tc>
        <w:tc>
          <w:tcPr>
            <w:tcW w:type="dxa" w:w="1944"/>
            <w:vAlign w:val="center"/>
          </w:tcPr>
          <w:p>
            <w:pPr>
              <w:spacing w:after="0"/>
            </w:pPr>
            <w:r>
              <w:rPr>
                <w:rFonts w:ascii="Arial" w:hAnsi="Arial"/>
                <w:sz w:val="17"/>
              </w:rPr>
            </w:r>
            <w:r>
              <w:rPr>
                <w:rFonts w:ascii="Arial" w:hAnsi="Arial"/>
                <w:b w:val="0"/>
                <w:sz w:val="17"/>
              </w:rPr>
              <w:t>Sales / Operations / Manufacturing</w:t>
            </w:r>
          </w:p>
        </w:tc>
        <w:tc>
          <w:tcPr>
            <w:tcW w:type="dxa" w:w="2520"/>
            <w:vAlign w:val="center"/>
          </w:tcPr>
          <w:p>
            <w:pPr>
              <w:spacing w:after="0"/>
            </w:pPr>
            <w:r>
              <w:rPr>
                <w:rFonts w:ascii="Arial" w:hAnsi="Arial"/>
                <w:sz w:val="17"/>
              </w:rPr>
            </w:r>
            <w:r>
              <w:rPr>
                <w:rFonts w:ascii="Arial" w:hAnsi="Arial"/>
                <w:b w:val="0"/>
                <w:sz w:val="17"/>
              </w:rPr>
              <w:t>Demand, turns, forecast and service levels</w:t>
            </w:r>
          </w:p>
        </w:tc>
      </w:tr>
      <w:tr>
        <w:tc>
          <w:tcPr>
            <w:tcW w:type="dxa" w:w="2088"/>
            <w:vAlign w:val="center"/>
          </w:tcPr>
          <w:p>
            <w:pPr>
              <w:spacing w:after="0"/>
            </w:pPr>
            <w:r>
              <w:rPr>
                <w:rFonts w:ascii="Arial" w:hAnsi="Arial"/>
                <w:sz w:val="17"/>
              </w:rPr>
            </w:r>
            <w:r>
              <w:rPr>
                <w:rFonts w:ascii="Arial" w:hAnsi="Arial"/>
                <w:b w:val="0"/>
                <w:sz w:val="17"/>
              </w:rPr>
              <w:t>Projects and work orders</w:t>
            </w:r>
          </w:p>
        </w:tc>
        <w:tc>
          <w:tcPr>
            <w:tcW w:type="dxa" w:w="4392"/>
            <w:vAlign w:val="center"/>
          </w:tcPr>
          <w:p>
            <w:pPr>
              <w:spacing w:after="0"/>
            </w:pPr>
            <w:r>
              <w:rPr>
                <w:rFonts w:ascii="Arial" w:hAnsi="Arial"/>
                <w:sz w:val="17"/>
              </w:rPr>
            </w:r>
            <w:r>
              <w:rPr>
                <w:rFonts w:ascii="Arial" w:hAnsi="Arial"/>
                <w:b w:val="0"/>
                <w:sz w:val="17"/>
              </w:rPr>
              <w:t>Budget, purchased, issued, returned, scrap, labor, customer, margin</w:t>
            </w:r>
          </w:p>
        </w:tc>
        <w:tc>
          <w:tcPr>
            <w:tcW w:type="dxa" w:w="1944"/>
            <w:vAlign w:val="center"/>
          </w:tcPr>
          <w:p>
            <w:pPr>
              <w:spacing w:after="0"/>
            </w:pPr>
            <w:r>
              <w:rPr>
                <w:rFonts w:ascii="Arial" w:hAnsi="Arial"/>
                <w:sz w:val="17"/>
              </w:rPr>
            </w:r>
            <w:r>
              <w:rPr>
                <w:rFonts w:ascii="Arial" w:hAnsi="Arial"/>
                <w:b w:val="0"/>
                <w:sz w:val="17"/>
              </w:rPr>
              <w:t>Projects / Service / Accounting</w:t>
            </w:r>
          </w:p>
        </w:tc>
        <w:tc>
          <w:tcPr>
            <w:tcW w:type="dxa" w:w="2520"/>
            <w:vAlign w:val="center"/>
          </w:tcPr>
          <w:p>
            <w:pPr>
              <w:spacing w:after="0"/>
            </w:pPr>
            <w:r>
              <w:rPr>
                <w:rFonts w:ascii="Arial" w:hAnsi="Arial"/>
                <w:sz w:val="17"/>
              </w:rPr>
            </w:r>
            <w:r>
              <w:rPr>
                <w:rFonts w:ascii="Arial" w:hAnsi="Arial"/>
                <w:b w:val="0"/>
                <w:sz w:val="17"/>
              </w:rPr>
              <w:t>Material variance and profitability</w:t>
            </w:r>
          </w:p>
        </w:tc>
      </w:tr>
      <w:tr>
        <w:tc>
          <w:tcPr>
            <w:tcW w:type="dxa" w:w="2088"/>
            <w:vAlign w:val="center"/>
          </w:tcPr>
          <w:p>
            <w:pPr>
              <w:spacing w:after="0"/>
            </w:pPr>
            <w:r>
              <w:rPr>
                <w:rFonts w:ascii="Arial" w:hAnsi="Arial"/>
                <w:sz w:val="17"/>
              </w:rPr>
            </w:r>
            <w:r>
              <w:rPr>
                <w:rFonts w:ascii="Arial" w:hAnsi="Arial"/>
                <w:b w:val="0"/>
                <w:sz w:val="17"/>
              </w:rPr>
              <w:t>Returns, warranty and quality</w:t>
            </w:r>
          </w:p>
        </w:tc>
        <w:tc>
          <w:tcPr>
            <w:tcW w:type="dxa" w:w="4392"/>
            <w:vAlign w:val="center"/>
          </w:tcPr>
          <w:p>
            <w:pPr>
              <w:spacing w:after="0"/>
            </w:pPr>
            <w:r>
              <w:rPr>
                <w:rFonts w:ascii="Arial" w:hAnsi="Arial"/>
                <w:sz w:val="17"/>
              </w:rPr>
            </w:r>
            <w:r>
              <w:rPr>
                <w:rFonts w:ascii="Arial" w:hAnsi="Arial"/>
                <w:b w:val="0"/>
                <w:sz w:val="17"/>
              </w:rPr>
              <w:t>Supplier, item, failure, quantity, cost, disposition, recovery</w:t>
            </w:r>
          </w:p>
        </w:tc>
        <w:tc>
          <w:tcPr>
            <w:tcW w:type="dxa" w:w="1944"/>
            <w:vAlign w:val="center"/>
          </w:tcPr>
          <w:p>
            <w:pPr>
              <w:spacing w:after="0"/>
            </w:pPr>
            <w:r>
              <w:rPr>
                <w:rFonts w:ascii="Arial" w:hAnsi="Arial"/>
                <w:sz w:val="17"/>
              </w:rPr>
            </w:r>
            <w:r>
              <w:rPr>
                <w:rFonts w:ascii="Arial" w:hAnsi="Arial"/>
                <w:b w:val="0"/>
                <w:sz w:val="17"/>
              </w:rPr>
              <w:t>Quality / Service / Accounting</w:t>
            </w:r>
          </w:p>
        </w:tc>
        <w:tc>
          <w:tcPr>
            <w:tcW w:type="dxa" w:w="2520"/>
            <w:vAlign w:val="center"/>
          </w:tcPr>
          <w:p>
            <w:pPr>
              <w:spacing w:after="0"/>
            </w:pPr>
            <w:r>
              <w:rPr>
                <w:rFonts w:ascii="Arial" w:hAnsi="Arial"/>
                <w:sz w:val="17"/>
              </w:rPr>
            </w:r>
            <w:r>
              <w:rPr>
                <w:rFonts w:ascii="Arial" w:hAnsi="Arial"/>
                <w:b w:val="0"/>
                <w:sz w:val="17"/>
              </w:rPr>
              <w:t>True supplier cost and recovery</w:t>
            </w:r>
          </w:p>
        </w:tc>
      </w:tr>
    </w:tbl>
    <w:p>
      <w:pPr>
        <w:pStyle w:val="Heading2"/>
      </w:pPr>
      <w:r>
        <w:t>Minimum Data Standards</w:t>
      </w:r>
    </w:p>
    <w:p>
      <w:pPr>
        <w:pStyle w:val="ListBullet"/>
        <w:spacing w:after="40"/>
        <w:ind w:left="259" w:hanging="173"/>
      </w:pPr>
      <w:r>
        <w:rPr>
          <w:rFonts w:ascii="Arial" w:hAnsi="Arial"/>
          <w:sz w:val="19"/>
        </w:rPr>
        <w:t>Every transaction must identify the company and location.</w:t>
      </w:r>
    </w:p>
    <w:p>
      <w:pPr>
        <w:pStyle w:val="ListBullet"/>
        <w:spacing w:after="40"/>
        <w:ind w:left="259" w:hanging="173"/>
      </w:pPr>
      <w:r>
        <w:rPr>
          <w:rFonts w:ascii="Arial" w:hAnsi="Arial"/>
          <w:sz w:val="19"/>
        </w:rPr>
        <w:t>Every supplier should use one normalized supplier ID and name.</w:t>
      </w:r>
    </w:p>
    <w:p>
      <w:pPr>
        <w:pStyle w:val="ListBullet"/>
        <w:spacing w:after="40"/>
        <w:ind w:left="259" w:hanging="173"/>
      </w:pPr>
      <w:r>
        <w:rPr>
          <w:rFonts w:ascii="Arial" w:hAnsi="Arial"/>
          <w:sz w:val="19"/>
        </w:rPr>
        <w:t>Every item should use a consistent item ID, description, category, and unit of measure.</w:t>
      </w:r>
    </w:p>
    <w:p>
      <w:pPr>
        <w:pStyle w:val="ListBullet"/>
        <w:spacing w:after="40"/>
        <w:ind w:left="259" w:hanging="173"/>
      </w:pPr>
      <w:r>
        <w:rPr>
          <w:rFonts w:ascii="Arial" w:hAnsi="Arial"/>
          <w:sz w:val="19"/>
        </w:rPr>
        <w:t>Every purchase should identify its business purpose and, when applicable, a customer order, manufacturing order, service work order, project, or vehicle repair/restoration.</w:t>
      </w:r>
    </w:p>
    <w:p>
      <w:pPr>
        <w:pStyle w:val="ListBullet"/>
        <w:spacing w:after="40"/>
        <w:ind w:left="259" w:hanging="173"/>
      </w:pPr>
      <w:r>
        <w:rPr>
          <w:rFonts w:ascii="Arial" w:hAnsi="Arial"/>
          <w:sz w:val="19"/>
        </w:rPr>
        <w:t>Every inventory movement should use a documented transaction and reason code.</w:t>
      </w:r>
    </w:p>
    <w:p>
      <w:pPr>
        <w:pStyle w:val="Heading1"/>
      </w:pPr>
      <w:r>
        <w:t>6. Initial Reporting Package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shd w:fill="17324D"/>
            <w:vAlign w:val="center"/>
          </w:tcPr>
          <w:p>
            <w:pPr>
              <w:spacing w:after="0"/>
            </w:pPr>
            <w:r>
              <w:rPr>
                <w:rFonts w:ascii="Arial" w:hAnsi="Arial"/>
                <w:b/>
                <w:color w:val="FFFFFF"/>
                <w:sz w:val="17"/>
              </w:rPr>
              <w:t>Report</w:t>
            </w:r>
          </w:p>
        </w:tc>
        <w:tc>
          <w:tcPr>
            <w:tcW w:type="dxa" w:w="4320"/>
            <w:shd w:fill="17324D"/>
            <w:vAlign w:val="center"/>
          </w:tcPr>
          <w:p>
            <w:pPr>
              <w:spacing w:after="0"/>
            </w:pPr>
            <w:r>
              <w:rPr>
                <w:rFonts w:ascii="Arial" w:hAnsi="Arial"/>
                <w:b/>
                <w:color w:val="FFFFFF"/>
                <w:sz w:val="17"/>
              </w:rPr>
              <w:t>Key Question</w:t>
            </w:r>
          </w:p>
        </w:tc>
        <w:tc>
          <w:tcPr>
            <w:tcW w:type="dxa" w:w="2880"/>
            <w:shd w:fill="17324D"/>
            <w:vAlign w:val="center"/>
          </w:tcPr>
          <w:p>
            <w:pPr>
              <w:spacing w:after="0"/>
            </w:pPr>
            <w:r>
              <w:rPr>
                <w:rFonts w:ascii="Arial" w:hAnsi="Arial"/>
                <w:b/>
                <w:color w:val="FFFFFF"/>
                <w:sz w:val="17"/>
              </w:rPr>
              <w:t>Primary Users</w:t>
            </w:r>
          </w:p>
        </w:tc>
        <w:tc>
          <w:tcPr>
            <w:tcW w:type="dxa" w:w="1584"/>
            <w:shd w:fill="17324D"/>
            <w:vAlign w:val="center"/>
          </w:tcPr>
          <w:p>
            <w:pPr>
              <w:spacing w:after="0"/>
            </w:pPr>
            <w:r>
              <w:rPr>
                <w:rFonts w:ascii="Arial" w:hAnsi="Arial"/>
                <w:b/>
                <w:color w:val="FFFFFF"/>
                <w:sz w:val="17"/>
              </w:rPr>
              <w:t>Cadence</w:t>
            </w:r>
          </w:p>
        </w:tc>
      </w:tr>
      <w:tr>
        <w:tc>
          <w:tcPr>
            <w:tcW w:type="dxa" w:w="2376"/>
            <w:vAlign w:val="center"/>
          </w:tcPr>
          <w:p>
            <w:pPr>
              <w:spacing w:after="0"/>
            </w:pPr>
            <w:r>
              <w:rPr>
                <w:rFonts w:ascii="Arial" w:hAnsi="Arial"/>
                <w:sz w:val="17"/>
              </w:rPr>
            </w:r>
            <w:r>
              <w:rPr>
                <w:rFonts w:ascii="Arial" w:hAnsi="Arial"/>
                <w:b w:val="0"/>
                <w:sz w:val="17"/>
              </w:rPr>
              <w:t>Executive scorecard</w:t>
            </w:r>
          </w:p>
        </w:tc>
        <w:tc>
          <w:tcPr>
            <w:tcW w:type="dxa" w:w="4320"/>
            <w:vAlign w:val="center"/>
          </w:tcPr>
          <w:p>
            <w:pPr>
              <w:spacing w:after="0"/>
            </w:pPr>
            <w:r>
              <w:rPr>
                <w:rFonts w:ascii="Arial" w:hAnsi="Arial"/>
                <w:sz w:val="17"/>
              </w:rPr>
            </w:r>
            <w:r>
              <w:rPr>
                <w:rFonts w:ascii="Arial" w:hAnsi="Arial"/>
                <w:b w:val="0"/>
                <w:sz w:val="17"/>
              </w:rPr>
              <w:t>Are purchasing, inventory, suppliers, cash and savings improving?</w:t>
            </w:r>
          </w:p>
        </w:tc>
        <w:tc>
          <w:tcPr>
            <w:tcW w:type="dxa" w:w="2880"/>
            <w:vAlign w:val="center"/>
          </w:tcPr>
          <w:p>
            <w:pPr>
              <w:spacing w:after="0"/>
            </w:pPr>
            <w:r>
              <w:rPr>
                <w:rFonts w:ascii="Arial" w:hAnsi="Arial"/>
                <w:sz w:val="17"/>
              </w:rPr>
            </w:r>
            <w:r>
              <w:rPr>
                <w:rFonts w:ascii="Arial" w:hAnsi="Arial"/>
                <w:b w:val="0"/>
                <w:sz w:val="17"/>
              </w:rPr>
              <w:t>Leadership</w:t>
            </w:r>
          </w:p>
        </w:tc>
        <w:tc>
          <w:tcPr>
            <w:tcW w:type="dxa" w:w="1584"/>
            <w:vAlign w:val="center"/>
          </w:tcPr>
          <w:p>
            <w:pPr>
              <w:spacing w:after="0"/>
            </w:pPr>
            <w:r>
              <w:rPr>
                <w:rFonts w:ascii="Arial" w:hAnsi="Arial"/>
                <w:sz w:val="17"/>
              </w:rPr>
            </w:r>
            <w:r>
              <w:rPr>
                <w:rFonts w:ascii="Arial" w:hAnsi="Arial"/>
                <w:b w:val="0"/>
                <w:sz w:val="17"/>
              </w:rPr>
              <w:t>Monthly</w:t>
            </w:r>
          </w:p>
        </w:tc>
      </w:tr>
      <w:tr>
        <w:tc>
          <w:tcPr>
            <w:tcW w:type="dxa" w:w="2376"/>
            <w:vAlign w:val="center"/>
          </w:tcPr>
          <w:p>
            <w:pPr>
              <w:spacing w:after="0"/>
            </w:pPr>
            <w:r>
              <w:rPr>
                <w:rFonts w:ascii="Arial" w:hAnsi="Arial"/>
                <w:sz w:val="17"/>
              </w:rPr>
            </w:r>
            <w:r>
              <w:rPr>
                <w:rFonts w:ascii="Arial" w:hAnsi="Arial"/>
                <w:b w:val="0"/>
                <w:sz w:val="17"/>
              </w:rPr>
              <w:t>Consolidated spend</w:t>
            </w:r>
          </w:p>
        </w:tc>
        <w:tc>
          <w:tcPr>
            <w:tcW w:type="dxa" w:w="4320"/>
            <w:vAlign w:val="center"/>
          </w:tcPr>
          <w:p>
            <w:pPr>
              <w:spacing w:after="0"/>
            </w:pPr>
            <w:r>
              <w:rPr>
                <w:rFonts w:ascii="Arial" w:hAnsi="Arial"/>
                <w:sz w:val="17"/>
              </w:rPr>
            </w:r>
            <w:r>
              <w:rPr>
                <w:rFonts w:ascii="Arial" w:hAnsi="Arial"/>
                <w:b w:val="0"/>
                <w:sz w:val="17"/>
              </w:rPr>
              <w:t>What are we buying, from whom, and at what total cost?</w:t>
            </w:r>
          </w:p>
        </w:tc>
        <w:tc>
          <w:tcPr>
            <w:tcW w:type="dxa" w:w="2880"/>
            <w:vAlign w:val="center"/>
          </w:tcPr>
          <w:p>
            <w:pPr>
              <w:spacing w:after="0"/>
            </w:pPr>
            <w:r>
              <w:rPr>
                <w:rFonts w:ascii="Arial" w:hAnsi="Arial"/>
                <w:sz w:val="17"/>
              </w:rPr>
            </w:r>
            <w:r>
              <w:rPr>
                <w:rFonts w:ascii="Arial" w:hAnsi="Arial"/>
                <w:b w:val="0"/>
                <w:sz w:val="17"/>
              </w:rPr>
              <w:t>Leadership / Purchasing / Accounting</w:t>
            </w:r>
          </w:p>
        </w:tc>
        <w:tc>
          <w:tcPr>
            <w:tcW w:type="dxa" w:w="1584"/>
            <w:vAlign w:val="center"/>
          </w:tcPr>
          <w:p>
            <w:pPr>
              <w:spacing w:after="0"/>
            </w:pPr>
            <w:r>
              <w:rPr>
                <w:rFonts w:ascii="Arial" w:hAnsi="Arial"/>
                <w:sz w:val="17"/>
              </w:rPr>
            </w:r>
            <w:r>
              <w:rPr>
                <w:rFonts w:ascii="Arial" w:hAnsi="Arial"/>
                <w:b w:val="0"/>
                <w:sz w:val="17"/>
              </w:rPr>
              <w:t>Monthly</w:t>
            </w:r>
          </w:p>
        </w:tc>
      </w:tr>
      <w:tr>
        <w:tc>
          <w:tcPr>
            <w:tcW w:type="dxa" w:w="2376"/>
            <w:vAlign w:val="center"/>
          </w:tcPr>
          <w:p>
            <w:pPr>
              <w:spacing w:after="0"/>
            </w:pPr>
            <w:r>
              <w:rPr>
                <w:rFonts w:ascii="Arial" w:hAnsi="Arial"/>
                <w:sz w:val="17"/>
              </w:rPr>
            </w:r>
            <w:r>
              <w:rPr>
                <w:rFonts w:ascii="Arial" w:hAnsi="Arial"/>
                <w:b w:val="0"/>
                <w:sz w:val="17"/>
              </w:rPr>
              <w:t>Open and past-due POs</w:t>
            </w:r>
          </w:p>
        </w:tc>
        <w:tc>
          <w:tcPr>
            <w:tcW w:type="dxa" w:w="4320"/>
            <w:vAlign w:val="center"/>
          </w:tcPr>
          <w:p>
            <w:pPr>
              <w:spacing w:after="0"/>
            </w:pPr>
            <w:r>
              <w:rPr>
                <w:rFonts w:ascii="Arial" w:hAnsi="Arial"/>
                <w:sz w:val="17"/>
              </w:rPr>
            </w:r>
            <w:r>
              <w:rPr>
                <w:rFonts w:ascii="Arial" w:hAnsi="Arial"/>
                <w:b w:val="0"/>
                <w:sz w:val="17"/>
              </w:rPr>
              <w:t>Which commitments or late deliveries threaten customers and operations?</w:t>
            </w:r>
          </w:p>
        </w:tc>
        <w:tc>
          <w:tcPr>
            <w:tcW w:type="dxa" w:w="2880"/>
            <w:vAlign w:val="center"/>
          </w:tcPr>
          <w:p>
            <w:pPr>
              <w:spacing w:after="0"/>
            </w:pPr>
            <w:r>
              <w:rPr>
                <w:rFonts w:ascii="Arial" w:hAnsi="Arial"/>
                <w:sz w:val="17"/>
              </w:rPr>
            </w:r>
            <w:r>
              <w:rPr>
                <w:rFonts w:ascii="Arial" w:hAnsi="Arial"/>
                <w:b w:val="0"/>
                <w:sz w:val="17"/>
              </w:rPr>
              <w:t>Purchasing / Operations</w:t>
            </w:r>
          </w:p>
        </w:tc>
        <w:tc>
          <w:tcPr>
            <w:tcW w:type="dxa" w:w="1584"/>
            <w:vAlign w:val="center"/>
          </w:tcPr>
          <w:p>
            <w:pPr>
              <w:spacing w:after="0"/>
            </w:pPr>
            <w:r>
              <w:rPr>
                <w:rFonts w:ascii="Arial" w:hAnsi="Arial"/>
                <w:sz w:val="17"/>
              </w:rPr>
            </w:r>
            <w:r>
              <w:rPr>
                <w:rFonts w:ascii="Arial" w:hAnsi="Arial"/>
                <w:b w:val="0"/>
                <w:sz w:val="17"/>
              </w:rPr>
              <w:t>Daily or weekly</w:t>
            </w:r>
          </w:p>
        </w:tc>
      </w:tr>
      <w:tr>
        <w:tc>
          <w:tcPr>
            <w:tcW w:type="dxa" w:w="2376"/>
            <w:vAlign w:val="center"/>
          </w:tcPr>
          <w:p>
            <w:pPr>
              <w:spacing w:after="0"/>
            </w:pPr>
            <w:r>
              <w:rPr>
                <w:rFonts w:ascii="Arial" w:hAnsi="Arial"/>
                <w:sz w:val="17"/>
              </w:rPr>
            </w:r>
            <w:r>
              <w:rPr>
                <w:rFonts w:ascii="Arial" w:hAnsi="Arial"/>
                <w:b w:val="0"/>
                <w:sz w:val="17"/>
              </w:rPr>
              <w:t>Inventory value and aging</w:t>
            </w:r>
          </w:p>
        </w:tc>
        <w:tc>
          <w:tcPr>
            <w:tcW w:type="dxa" w:w="4320"/>
            <w:vAlign w:val="center"/>
          </w:tcPr>
          <w:p>
            <w:pPr>
              <w:spacing w:after="0"/>
            </w:pPr>
            <w:r>
              <w:rPr>
                <w:rFonts w:ascii="Arial" w:hAnsi="Arial"/>
                <w:sz w:val="17"/>
              </w:rPr>
            </w:r>
            <w:r>
              <w:rPr>
                <w:rFonts w:ascii="Arial" w:hAnsi="Arial"/>
                <w:b w:val="0"/>
                <w:sz w:val="17"/>
              </w:rPr>
              <w:t>Where is cash tied up, and which inventory requires action?</w:t>
            </w:r>
          </w:p>
        </w:tc>
        <w:tc>
          <w:tcPr>
            <w:tcW w:type="dxa" w:w="2880"/>
            <w:vAlign w:val="center"/>
          </w:tcPr>
          <w:p>
            <w:pPr>
              <w:spacing w:after="0"/>
            </w:pPr>
            <w:r>
              <w:rPr>
                <w:rFonts w:ascii="Arial" w:hAnsi="Arial"/>
                <w:sz w:val="17"/>
              </w:rPr>
            </w:r>
            <w:r>
              <w:rPr>
                <w:rFonts w:ascii="Arial" w:hAnsi="Arial"/>
                <w:b w:val="0"/>
                <w:sz w:val="17"/>
              </w:rPr>
              <w:t>Leadership / Inventory / Accounting</w:t>
            </w:r>
          </w:p>
        </w:tc>
        <w:tc>
          <w:tcPr>
            <w:tcW w:type="dxa" w:w="1584"/>
            <w:vAlign w:val="center"/>
          </w:tcPr>
          <w:p>
            <w:pPr>
              <w:spacing w:after="0"/>
            </w:pPr>
            <w:r>
              <w:rPr>
                <w:rFonts w:ascii="Arial" w:hAnsi="Arial"/>
                <w:sz w:val="17"/>
              </w:rPr>
            </w:r>
            <w:r>
              <w:rPr>
                <w:rFonts w:ascii="Arial" w:hAnsi="Arial"/>
                <w:b w:val="0"/>
                <w:sz w:val="17"/>
              </w:rPr>
              <w:t>Monthly</w:t>
            </w:r>
          </w:p>
        </w:tc>
      </w:tr>
      <w:tr>
        <w:tc>
          <w:tcPr>
            <w:tcW w:type="dxa" w:w="2376"/>
            <w:vAlign w:val="center"/>
          </w:tcPr>
          <w:p>
            <w:pPr>
              <w:spacing w:after="0"/>
            </w:pPr>
            <w:r>
              <w:rPr>
                <w:rFonts w:ascii="Arial" w:hAnsi="Arial"/>
                <w:sz w:val="17"/>
              </w:rPr>
            </w:r>
            <w:r>
              <w:rPr>
                <w:rFonts w:ascii="Arial" w:hAnsi="Arial"/>
                <w:b w:val="0"/>
                <w:sz w:val="17"/>
              </w:rPr>
              <w:t>Supplier scorecard</w:t>
            </w:r>
          </w:p>
        </w:tc>
        <w:tc>
          <w:tcPr>
            <w:tcW w:type="dxa" w:w="4320"/>
            <w:vAlign w:val="center"/>
          </w:tcPr>
          <w:p>
            <w:pPr>
              <w:spacing w:after="0"/>
            </w:pPr>
            <w:r>
              <w:rPr>
                <w:rFonts w:ascii="Arial" w:hAnsi="Arial"/>
                <w:sz w:val="17"/>
              </w:rPr>
            </w:r>
            <w:r>
              <w:rPr>
                <w:rFonts w:ascii="Arial" w:hAnsi="Arial"/>
                <w:b w:val="0"/>
                <w:sz w:val="17"/>
              </w:rPr>
              <w:t>Which suppliers deserve growth, correction, or replacement?</w:t>
            </w:r>
          </w:p>
        </w:tc>
        <w:tc>
          <w:tcPr>
            <w:tcW w:type="dxa" w:w="2880"/>
            <w:vAlign w:val="center"/>
          </w:tcPr>
          <w:p>
            <w:pPr>
              <w:spacing w:after="0"/>
            </w:pPr>
            <w:r>
              <w:rPr>
                <w:rFonts w:ascii="Arial" w:hAnsi="Arial"/>
                <w:sz w:val="17"/>
              </w:rPr>
            </w:r>
            <w:r>
              <w:rPr>
                <w:rFonts w:ascii="Arial" w:hAnsi="Arial"/>
                <w:b w:val="0"/>
                <w:sz w:val="17"/>
              </w:rPr>
              <w:t>Purchasing / Operations / Quality</w:t>
            </w:r>
          </w:p>
        </w:tc>
        <w:tc>
          <w:tcPr>
            <w:tcW w:type="dxa" w:w="1584"/>
            <w:vAlign w:val="center"/>
          </w:tcPr>
          <w:p>
            <w:pPr>
              <w:spacing w:after="0"/>
            </w:pPr>
            <w:r>
              <w:rPr>
                <w:rFonts w:ascii="Arial" w:hAnsi="Arial"/>
                <w:sz w:val="17"/>
              </w:rPr>
            </w:r>
            <w:r>
              <w:rPr>
                <w:rFonts w:ascii="Arial" w:hAnsi="Arial"/>
                <w:b w:val="0"/>
                <w:sz w:val="17"/>
              </w:rPr>
              <w:t>Monthly or quarterly</w:t>
            </w:r>
          </w:p>
        </w:tc>
      </w:tr>
      <w:tr>
        <w:tc>
          <w:tcPr>
            <w:tcW w:type="dxa" w:w="2376"/>
            <w:vAlign w:val="center"/>
          </w:tcPr>
          <w:p>
            <w:pPr>
              <w:spacing w:after="0"/>
            </w:pPr>
            <w:r>
              <w:rPr>
                <w:rFonts w:ascii="Arial" w:hAnsi="Arial"/>
                <w:sz w:val="17"/>
              </w:rPr>
            </w:r>
            <w:r>
              <w:rPr>
                <w:rFonts w:ascii="Arial" w:hAnsi="Arial"/>
                <w:b w:val="0"/>
                <w:sz w:val="17"/>
              </w:rPr>
              <w:t>Stockout and expedite</w:t>
            </w:r>
          </w:p>
        </w:tc>
        <w:tc>
          <w:tcPr>
            <w:tcW w:type="dxa" w:w="4320"/>
            <w:vAlign w:val="center"/>
          </w:tcPr>
          <w:p>
            <w:pPr>
              <w:spacing w:after="0"/>
            </w:pPr>
            <w:r>
              <w:rPr>
                <w:rFonts w:ascii="Arial" w:hAnsi="Arial"/>
                <w:sz w:val="17"/>
              </w:rPr>
            </w:r>
            <w:r>
              <w:rPr>
                <w:rFonts w:ascii="Arial" w:hAnsi="Arial"/>
                <w:b w:val="0"/>
                <w:sz w:val="17"/>
              </w:rPr>
              <w:t>Where are shortages creating delay, lost revenue or rush cost?</w:t>
            </w:r>
          </w:p>
        </w:tc>
        <w:tc>
          <w:tcPr>
            <w:tcW w:type="dxa" w:w="2880"/>
            <w:vAlign w:val="center"/>
          </w:tcPr>
          <w:p>
            <w:pPr>
              <w:spacing w:after="0"/>
            </w:pPr>
            <w:r>
              <w:rPr>
                <w:rFonts w:ascii="Arial" w:hAnsi="Arial"/>
                <w:sz w:val="17"/>
              </w:rPr>
            </w:r>
            <w:r>
              <w:rPr>
                <w:rFonts w:ascii="Arial" w:hAnsi="Arial"/>
                <w:b w:val="0"/>
                <w:sz w:val="17"/>
              </w:rPr>
              <w:t>Operations / Purchasing / Sales</w:t>
            </w:r>
          </w:p>
        </w:tc>
        <w:tc>
          <w:tcPr>
            <w:tcW w:type="dxa" w:w="1584"/>
            <w:vAlign w:val="center"/>
          </w:tcPr>
          <w:p>
            <w:pPr>
              <w:spacing w:after="0"/>
            </w:pPr>
            <w:r>
              <w:rPr>
                <w:rFonts w:ascii="Arial" w:hAnsi="Arial"/>
                <w:sz w:val="17"/>
              </w:rPr>
            </w:r>
            <w:r>
              <w:rPr>
                <w:rFonts w:ascii="Arial" w:hAnsi="Arial"/>
                <w:b w:val="0"/>
                <w:sz w:val="17"/>
              </w:rPr>
              <w:t>Weekly</w:t>
            </w:r>
          </w:p>
        </w:tc>
      </w:tr>
      <w:tr>
        <w:tc>
          <w:tcPr>
            <w:tcW w:type="dxa" w:w="2376"/>
            <w:vAlign w:val="center"/>
          </w:tcPr>
          <w:p>
            <w:pPr>
              <w:spacing w:after="0"/>
            </w:pPr>
            <w:r>
              <w:rPr>
                <w:rFonts w:ascii="Arial" w:hAnsi="Arial"/>
                <w:sz w:val="17"/>
              </w:rPr>
            </w:r>
            <w:r>
              <w:rPr>
                <w:rFonts w:ascii="Arial" w:hAnsi="Arial"/>
                <w:b w:val="0"/>
                <w:sz w:val="17"/>
              </w:rPr>
              <w:t>Project/work-order material variance</w:t>
            </w:r>
          </w:p>
        </w:tc>
        <w:tc>
          <w:tcPr>
            <w:tcW w:type="dxa" w:w="4320"/>
            <w:vAlign w:val="center"/>
          </w:tcPr>
          <w:p>
            <w:pPr>
              <w:spacing w:after="0"/>
            </w:pPr>
            <w:r>
              <w:rPr>
                <w:rFonts w:ascii="Arial" w:hAnsi="Arial"/>
                <w:sz w:val="17"/>
              </w:rPr>
            </w:r>
            <w:r>
              <w:rPr>
                <w:rFonts w:ascii="Arial" w:hAnsi="Arial"/>
                <w:b w:val="0"/>
                <w:sz w:val="17"/>
              </w:rPr>
              <w:t>Are jobs and repairs consuming materials as planned?</w:t>
            </w:r>
          </w:p>
        </w:tc>
        <w:tc>
          <w:tcPr>
            <w:tcW w:type="dxa" w:w="2880"/>
            <w:vAlign w:val="center"/>
          </w:tcPr>
          <w:p>
            <w:pPr>
              <w:spacing w:after="0"/>
            </w:pPr>
            <w:r>
              <w:rPr>
                <w:rFonts w:ascii="Arial" w:hAnsi="Arial"/>
                <w:sz w:val="17"/>
              </w:rPr>
            </w:r>
            <w:r>
              <w:rPr>
                <w:rFonts w:ascii="Arial" w:hAnsi="Arial"/>
                <w:b w:val="0"/>
                <w:sz w:val="17"/>
              </w:rPr>
              <w:t>Projects / Service / Accounting</w:t>
            </w:r>
          </w:p>
        </w:tc>
        <w:tc>
          <w:tcPr>
            <w:tcW w:type="dxa" w:w="1584"/>
            <w:vAlign w:val="center"/>
          </w:tcPr>
          <w:p>
            <w:pPr>
              <w:spacing w:after="0"/>
            </w:pPr>
            <w:r>
              <w:rPr>
                <w:rFonts w:ascii="Arial" w:hAnsi="Arial"/>
                <w:sz w:val="17"/>
              </w:rPr>
            </w:r>
            <w:r>
              <w:rPr>
                <w:rFonts w:ascii="Arial" w:hAnsi="Arial"/>
                <w:b w:val="0"/>
                <w:sz w:val="17"/>
              </w:rPr>
              <w:t>Weekly or monthly</w:t>
            </w:r>
          </w:p>
        </w:tc>
      </w:tr>
      <w:tr>
        <w:tc>
          <w:tcPr>
            <w:tcW w:type="dxa" w:w="2376"/>
            <w:vAlign w:val="center"/>
          </w:tcPr>
          <w:p>
            <w:pPr>
              <w:spacing w:after="0"/>
            </w:pPr>
            <w:r>
              <w:rPr>
                <w:rFonts w:ascii="Arial" w:hAnsi="Arial"/>
                <w:sz w:val="17"/>
              </w:rPr>
            </w:r>
            <w:r>
              <w:rPr>
                <w:rFonts w:ascii="Arial" w:hAnsi="Arial"/>
                <w:b w:val="0"/>
                <w:sz w:val="17"/>
              </w:rPr>
              <w:t>Savings pipeline</w:t>
            </w:r>
          </w:p>
        </w:tc>
        <w:tc>
          <w:tcPr>
            <w:tcW w:type="dxa" w:w="4320"/>
            <w:vAlign w:val="center"/>
          </w:tcPr>
          <w:p>
            <w:pPr>
              <w:spacing w:after="0"/>
            </w:pPr>
            <w:r>
              <w:rPr>
                <w:rFonts w:ascii="Arial" w:hAnsi="Arial"/>
                <w:sz w:val="17"/>
              </w:rPr>
            </w:r>
            <w:r>
              <w:rPr>
                <w:rFonts w:ascii="Arial" w:hAnsi="Arial"/>
                <w:b w:val="0"/>
                <w:sz w:val="17"/>
              </w:rPr>
              <w:t>Which opportunities are identified, approved, implemented and financially validated?</w:t>
            </w:r>
          </w:p>
        </w:tc>
        <w:tc>
          <w:tcPr>
            <w:tcW w:type="dxa" w:w="2880"/>
            <w:vAlign w:val="center"/>
          </w:tcPr>
          <w:p>
            <w:pPr>
              <w:spacing w:after="0"/>
            </w:pPr>
            <w:r>
              <w:rPr>
                <w:rFonts w:ascii="Arial" w:hAnsi="Arial"/>
                <w:sz w:val="17"/>
              </w:rPr>
            </w:r>
            <w:r>
              <w:rPr>
                <w:rFonts w:ascii="Arial" w:hAnsi="Arial"/>
                <w:b w:val="0"/>
                <w:sz w:val="17"/>
              </w:rPr>
              <w:t>Leadership / Purchasing / Accounting</w:t>
            </w:r>
          </w:p>
        </w:tc>
        <w:tc>
          <w:tcPr>
            <w:tcW w:type="dxa" w:w="1584"/>
            <w:vAlign w:val="center"/>
          </w:tcPr>
          <w:p>
            <w:pPr>
              <w:spacing w:after="0"/>
            </w:pPr>
            <w:r>
              <w:rPr>
                <w:rFonts w:ascii="Arial" w:hAnsi="Arial"/>
                <w:sz w:val="17"/>
              </w:rPr>
            </w:r>
            <w:r>
              <w:rPr>
                <w:rFonts w:ascii="Arial" w:hAnsi="Arial"/>
                <w:b w:val="0"/>
                <w:sz w:val="17"/>
              </w:rPr>
              <w:t>Monthly</w:t>
            </w:r>
          </w:p>
        </w:tc>
      </w:tr>
    </w:tbl>
    <w:p>
      <w:r>
        <w:t>The accompanying Gruber Procurement Baseline Workbook contains the initial data structures, formulas, KPI definitions, scorecards, discovery tracker, 30-day project plan, supplier master, item master, purchase-order input, inventory snapshot, supplier scorecard, and savings pipeline.</w:t>
      </w:r>
    </w:p>
    <w:p>
      <w:pPr>
        <w:pStyle w:val="Heading1"/>
      </w:pPr>
      <w:r>
        <w:t>7. Recommended Pilot: Gruber Power Services</w:t>
      </w:r>
    </w:p>
    <w:p>
      <w:r>
        <w:t>Begin with one high-value, repeat-purchase category at Gruber Power Services. Batteries, UPS service parts, or refurbished-equipment components are strong candidates because they combine working-capital exposure, emergency availability, legacy support, supplier leverage, and measurable service impact.</w:t>
      </w:r>
    </w:p>
    <w:tbl>
      <w:tblPr>
        <w:tblStyle w:val="TableGrid"/>
        <w:tblW w:type="auto" w:w="0"/>
        <w:jc w:val="center"/>
        <w:tblLook w:firstColumn="1" w:firstRow="1" w:lastColumn="0" w:lastRow="0" w:noHBand="0" w:noVBand="1" w:val="04A0"/>
      </w:tblPr>
      <w:tblGrid>
        <w:gridCol w:w="5112"/>
        <w:gridCol w:w="5112"/>
      </w:tblGrid>
      <w:tr>
        <w:tc>
          <w:tcPr>
            <w:tcW w:type="dxa" w:w="2520"/>
            <w:shd w:fill="17324D"/>
            <w:vAlign w:val="center"/>
          </w:tcPr>
          <w:p>
            <w:pPr>
              <w:spacing w:after="0"/>
            </w:pPr>
            <w:r>
              <w:rPr>
                <w:rFonts w:ascii="Arial" w:hAnsi="Arial"/>
                <w:b/>
                <w:color w:val="FFFFFF"/>
                <w:sz w:val="17"/>
              </w:rPr>
              <w:t>Pilot Element</w:t>
            </w:r>
          </w:p>
        </w:tc>
        <w:tc>
          <w:tcPr>
            <w:tcW w:type="dxa" w:w="8208"/>
            <w:shd w:fill="17324D"/>
            <w:vAlign w:val="center"/>
          </w:tcPr>
          <w:p>
            <w:pPr>
              <w:spacing w:after="0"/>
            </w:pPr>
            <w:r>
              <w:rPr>
                <w:rFonts w:ascii="Arial" w:hAnsi="Arial"/>
                <w:b/>
                <w:color w:val="FFFFFF"/>
                <w:sz w:val="17"/>
              </w:rPr>
              <w:t>Requirement</w:t>
            </w:r>
          </w:p>
        </w:tc>
      </w:tr>
      <w:tr>
        <w:tc>
          <w:tcPr>
            <w:tcW w:type="dxa" w:w="2520"/>
            <w:vAlign w:val="center"/>
          </w:tcPr>
          <w:p>
            <w:pPr>
              <w:spacing w:after="0"/>
            </w:pPr>
            <w:r>
              <w:rPr>
                <w:rFonts w:ascii="Arial" w:hAnsi="Arial"/>
                <w:sz w:val="17"/>
              </w:rPr>
            </w:r>
            <w:r>
              <w:rPr>
                <w:rFonts w:ascii="Arial" w:hAnsi="Arial"/>
                <w:b w:val="0"/>
                <w:sz w:val="17"/>
              </w:rPr>
              <w:t>Category scope</w:t>
            </w:r>
          </w:p>
        </w:tc>
        <w:tc>
          <w:tcPr>
            <w:tcW w:type="dxa" w:w="8208"/>
            <w:vAlign w:val="center"/>
          </w:tcPr>
          <w:p>
            <w:pPr>
              <w:spacing w:after="0"/>
            </w:pPr>
            <w:r>
              <w:rPr>
                <w:rFonts w:ascii="Arial" w:hAnsi="Arial"/>
                <w:sz w:val="17"/>
              </w:rPr>
            </w:r>
            <w:r>
              <w:rPr>
                <w:rFonts w:ascii="Arial" w:hAnsi="Arial"/>
                <w:b w:val="0"/>
                <w:sz w:val="17"/>
              </w:rPr>
              <w:t>One defined category with meaningful annual spend and operational importance.</w:t>
            </w:r>
          </w:p>
        </w:tc>
      </w:tr>
      <w:tr>
        <w:tc>
          <w:tcPr>
            <w:tcW w:type="dxa" w:w="2520"/>
            <w:vAlign w:val="center"/>
          </w:tcPr>
          <w:p>
            <w:pPr>
              <w:spacing w:after="0"/>
            </w:pPr>
            <w:r>
              <w:rPr>
                <w:rFonts w:ascii="Arial" w:hAnsi="Arial"/>
                <w:sz w:val="17"/>
              </w:rPr>
            </w:r>
            <w:r>
              <w:rPr>
                <w:rFonts w:ascii="Arial" w:hAnsi="Arial"/>
                <w:b w:val="0"/>
                <w:sz w:val="17"/>
              </w:rPr>
              <w:t>Baseline</w:t>
            </w:r>
          </w:p>
        </w:tc>
        <w:tc>
          <w:tcPr>
            <w:tcW w:type="dxa" w:w="8208"/>
            <w:vAlign w:val="center"/>
          </w:tcPr>
          <w:p>
            <w:pPr>
              <w:spacing w:after="0"/>
            </w:pPr>
            <w:r>
              <w:rPr>
                <w:rFonts w:ascii="Arial" w:hAnsi="Arial"/>
                <w:sz w:val="17"/>
              </w:rPr>
            </w:r>
            <w:r>
              <w:rPr>
                <w:rFonts w:ascii="Arial" w:hAnsi="Arial"/>
                <w:b w:val="0"/>
                <w:sz w:val="17"/>
              </w:rPr>
              <w:t>12-24 months of spend, unit pricing, freight, lead time, stockouts, returns, inventory and demand.</w:t>
            </w:r>
          </w:p>
        </w:tc>
      </w:tr>
      <w:tr>
        <w:tc>
          <w:tcPr>
            <w:tcW w:type="dxa" w:w="2520"/>
            <w:vAlign w:val="center"/>
          </w:tcPr>
          <w:p>
            <w:pPr>
              <w:spacing w:after="0"/>
            </w:pPr>
            <w:r>
              <w:rPr>
                <w:rFonts w:ascii="Arial" w:hAnsi="Arial"/>
                <w:sz w:val="17"/>
              </w:rPr>
            </w:r>
            <w:r>
              <w:rPr>
                <w:rFonts w:ascii="Arial" w:hAnsi="Arial"/>
                <w:b w:val="0"/>
                <w:sz w:val="17"/>
              </w:rPr>
              <w:t>Supplier analysis</w:t>
            </w:r>
          </w:p>
        </w:tc>
        <w:tc>
          <w:tcPr>
            <w:tcW w:type="dxa" w:w="8208"/>
            <w:vAlign w:val="center"/>
          </w:tcPr>
          <w:p>
            <w:pPr>
              <w:spacing w:after="0"/>
            </w:pPr>
            <w:r>
              <w:rPr>
                <w:rFonts w:ascii="Arial" w:hAnsi="Arial"/>
                <w:sz w:val="17"/>
              </w:rPr>
            </w:r>
            <w:r>
              <w:rPr>
                <w:rFonts w:ascii="Arial" w:hAnsi="Arial"/>
                <w:b w:val="0"/>
                <w:sz w:val="17"/>
              </w:rPr>
              <w:t>Current suppliers, pricing, terms, delivery, quality, risk and alternative sources.</w:t>
            </w:r>
          </w:p>
        </w:tc>
      </w:tr>
      <w:tr>
        <w:tc>
          <w:tcPr>
            <w:tcW w:type="dxa" w:w="2520"/>
            <w:vAlign w:val="center"/>
          </w:tcPr>
          <w:p>
            <w:pPr>
              <w:spacing w:after="0"/>
            </w:pPr>
            <w:r>
              <w:rPr>
                <w:rFonts w:ascii="Arial" w:hAnsi="Arial"/>
                <w:sz w:val="17"/>
              </w:rPr>
            </w:r>
            <w:r>
              <w:rPr>
                <w:rFonts w:ascii="Arial" w:hAnsi="Arial"/>
                <w:b w:val="0"/>
                <w:sz w:val="17"/>
              </w:rPr>
              <w:t>Inventory analysis</w:t>
            </w:r>
          </w:p>
        </w:tc>
        <w:tc>
          <w:tcPr>
            <w:tcW w:type="dxa" w:w="8208"/>
            <w:vAlign w:val="center"/>
          </w:tcPr>
          <w:p>
            <w:pPr>
              <w:spacing w:after="0"/>
            </w:pPr>
            <w:r>
              <w:rPr>
                <w:rFonts w:ascii="Arial" w:hAnsi="Arial"/>
                <w:sz w:val="17"/>
              </w:rPr>
            </w:r>
            <w:r>
              <w:rPr>
                <w:rFonts w:ascii="Arial" w:hAnsi="Arial"/>
                <w:b w:val="0"/>
                <w:sz w:val="17"/>
              </w:rPr>
              <w:t>Locations, min/max levels, service criticality, aging, legacy requirements and transferable stock.</w:t>
            </w:r>
          </w:p>
        </w:tc>
      </w:tr>
      <w:tr>
        <w:tc>
          <w:tcPr>
            <w:tcW w:type="dxa" w:w="2520"/>
            <w:vAlign w:val="center"/>
          </w:tcPr>
          <w:p>
            <w:pPr>
              <w:spacing w:after="0"/>
            </w:pPr>
            <w:r>
              <w:rPr>
                <w:rFonts w:ascii="Arial" w:hAnsi="Arial"/>
                <w:sz w:val="17"/>
              </w:rPr>
            </w:r>
            <w:r>
              <w:rPr>
                <w:rFonts w:ascii="Arial" w:hAnsi="Arial"/>
                <w:b w:val="0"/>
                <w:sz w:val="17"/>
              </w:rPr>
              <w:t>Negotiation</w:t>
            </w:r>
          </w:p>
        </w:tc>
        <w:tc>
          <w:tcPr>
            <w:tcW w:type="dxa" w:w="8208"/>
            <w:vAlign w:val="center"/>
          </w:tcPr>
          <w:p>
            <w:pPr>
              <w:spacing w:after="0"/>
            </w:pPr>
            <w:r>
              <w:rPr>
                <w:rFonts w:ascii="Arial" w:hAnsi="Arial"/>
                <w:sz w:val="17"/>
              </w:rPr>
            </w:r>
            <w:r>
              <w:rPr>
                <w:rFonts w:ascii="Arial" w:hAnsi="Arial"/>
                <w:b w:val="0"/>
                <w:sz w:val="17"/>
              </w:rPr>
              <w:t>Consolidated demand, target price, terms, freight, lead time, service levels, warranty and stocking support.</w:t>
            </w:r>
          </w:p>
        </w:tc>
      </w:tr>
      <w:tr>
        <w:tc>
          <w:tcPr>
            <w:tcW w:type="dxa" w:w="2520"/>
            <w:vAlign w:val="center"/>
          </w:tcPr>
          <w:p>
            <w:pPr>
              <w:spacing w:after="0"/>
            </w:pPr>
            <w:r>
              <w:rPr>
                <w:rFonts w:ascii="Arial" w:hAnsi="Arial"/>
                <w:sz w:val="17"/>
              </w:rPr>
            </w:r>
            <w:r>
              <w:rPr>
                <w:rFonts w:ascii="Arial" w:hAnsi="Arial"/>
                <w:b w:val="0"/>
                <w:sz w:val="17"/>
              </w:rPr>
              <w:t>Measures</w:t>
            </w:r>
          </w:p>
        </w:tc>
        <w:tc>
          <w:tcPr>
            <w:tcW w:type="dxa" w:w="8208"/>
            <w:vAlign w:val="center"/>
          </w:tcPr>
          <w:p>
            <w:pPr>
              <w:spacing w:after="0"/>
            </w:pPr>
            <w:r>
              <w:rPr>
                <w:rFonts w:ascii="Arial" w:hAnsi="Arial"/>
                <w:sz w:val="17"/>
              </w:rPr>
            </w:r>
            <w:r>
              <w:rPr>
                <w:rFonts w:ascii="Arial" w:hAnsi="Arial"/>
                <w:b w:val="0"/>
                <w:sz w:val="17"/>
              </w:rPr>
              <w:t>Savings, availability, expedite reduction, turns, inventory value, supplier delivery and quality.</w:t>
            </w:r>
          </w:p>
        </w:tc>
      </w:tr>
      <w:tr>
        <w:tc>
          <w:tcPr>
            <w:tcW w:type="dxa" w:w="2520"/>
            <w:vAlign w:val="center"/>
          </w:tcPr>
          <w:p>
            <w:pPr>
              <w:spacing w:after="0"/>
            </w:pPr>
            <w:r>
              <w:rPr>
                <w:rFonts w:ascii="Arial" w:hAnsi="Arial"/>
                <w:sz w:val="17"/>
              </w:rPr>
            </w:r>
            <w:r>
              <w:rPr>
                <w:rFonts w:ascii="Arial" w:hAnsi="Arial"/>
                <w:b w:val="0"/>
                <w:sz w:val="17"/>
              </w:rPr>
              <w:t>Duration</w:t>
            </w:r>
          </w:p>
        </w:tc>
        <w:tc>
          <w:tcPr>
            <w:tcW w:type="dxa" w:w="8208"/>
            <w:vAlign w:val="center"/>
          </w:tcPr>
          <w:p>
            <w:pPr>
              <w:spacing w:after="0"/>
            </w:pPr>
            <w:r>
              <w:rPr>
                <w:rFonts w:ascii="Arial" w:hAnsi="Arial"/>
                <w:sz w:val="17"/>
              </w:rPr>
            </w:r>
            <w:r>
              <w:rPr>
                <w:rFonts w:ascii="Arial" w:hAnsi="Arial"/>
                <w:b w:val="0"/>
                <w:sz w:val="17"/>
              </w:rPr>
              <w:t>Initial 60-90 day implementation after the baseline month.</w:t>
            </w:r>
          </w:p>
        </w:tc>
      </w:tr>
    </w:tbl>
    <w:tbl>
      <w:tblPr>
        <w:tblW w:type="auto" w:w="0"/>
        <w:jc w:val="center"/>
        <w:tblLook w:firstColumn="1" w:firstRow="1" w:lastColumn="0" w:lastRow="0" w:noHBand="0" w:noVBand="1" w:val="04A0"/>
      </w:tblPr>
      <w:tblGrid>
        <w:gridCol w:w="10224"/>
      </w:tblGrid>
      <w:tr>
        <w:tc>
          <w:tcPr>
            <w:tcW w:type="dxa" w:w="10224"/>
            <w:shd w:fill="EAF0F5"/>
          </w:tcPr>
          <w:p>
            <w:pPr>
              <w:spacing w:after="0"/>
            </w:pPr>
            <w:r/>
            <w:r>
              <w:rPr>
                <w:rFonts w:ascii="Arial" w:hAnsi="Arial"/>
                <w:b/>
                <w:color w:val="17324D"/>
                <w:sz w:val="20"/>
              </w:rPr>
              <w:t>Pilot success standard</w:t>
              <w:br/>
            </w:r>
            <w:r>
              <w:rPr>
                <w:rFonts w:ascii="Arial" w:hAnsi="Arial"/>
                <w:sz w:val="18"/>
              </w:rPr>
              <w:t>The pilot must improve financial performance without reducing service readiness. Savings should be validated by Accounting and adjusted for volume, specification, commodity and service-level changes.</w:t>
            </w:r>
          </w:p>
        </w:tc>
      </w:tr>
    </w:tbl>
    <w:p>
      <w:pPr>
        <w:pStyle w:val="Heading1"/>
      </w:pPr>
      <w:r>
        <w:t>8. Interim Procurement and Inventory Policy</w:t>
      </w:r>
    </w:p>
    <w:p>
      <w:pPr>
        <w:pStyle w:val="ListBullet"/>
        <w:spacing w:after="40"/>
        <w:ind w:left="259" w:hanging="173"/>
      </w:pPr>
      <w:r>
        <w:rPr>
          <w:rFonts w:ascii="Arial" w:hAnsi="Arial"/>
          <w:sz w:val="19"/>
        </w:rPr>
        <w:t>Use approved suppliers unless an emergency or documented exception is authorized.</w:t>
      </w:r>
    </w:p>
    <w:p>
      <w:pPr>
        <w:pStyle w:val="ListBullet"/>
        <w:spacing w:after="40"/>
        <w:ind w:left="259" w:hanging="173"/>
      </w:pPr>
      <w:r>
        <w:rPr>
          <w:rFonts w:ascii="Arial" w:hAnsi="Arial"/>
          <w:sz w:val="19"/>
        </w:rPr>
        <w:t>Issue a purchase order before placing an order whenever the system and circumstances allow.</w:t>
      </w:r>
    </w:p>
    <w:p>
      <w:pPr>
        <w:pStyle w:val="ListBullet"/>
        <w:spacing w:after="40"/>
        <w:ind w:left="259" w:hanging="173"/>
      </w:pPr>
      <w:r>
        <w:rPr>
          <w:rFonts w:ascii="Arial" w:hAnsi="Arial"/>
          <w:sz w:val="19"/>
        </w:rPr>
        <w:t>Apply documented approval thresholds by company, department, and purchase type.</w:t>
      </w:r>
    </w:p>
    <w:p>
      <w:pPr>
        <w:pStyle w:val="ListBullet"/>
        <w:spacing w:after="40"/>
        <w:ind w:left="259" w:hanging="173"/>
      </w:pPr>
      <w:r>
        <w:rPr>
          <w:rFonts w:ascii="Arial" w:hAnsi="Arial"/>
          <w:sz w:val="19"/>
        </w:rPr>
        <w:t>Use emergency-buy and expedite reason codes; review repeated exceptions weekly.</w:t>
      </w:r>
    </w:p>
    <w:p>
      <w:pPr>
        <w:pStyle w:val="ListBullet"/>
        <w:spacing w:after="40"/>
        <w:ind w:left="259" w:hanging="173"/>
      </w:pPr>
      <w:r>
        <w:rPr>
          <w:rFonts w:ascii="Arial" w:hAnsi="Arial"/>
          <w:sz w:val="19"/>
        </w:rPr>
        <w:t>Search available inventory across Gruber locations and businesses before buying duplicate stock.</w:t>
      </w:r>
    </w:p>
    <w:p>
      <w:pPr>
        <w:pStyle w:val="ListBullet"/>
        <w:spacing w:after="40"/>
        <w:ind w:left="259" w:hanging="173"/>
      </w:pPr>
      <w:r>
        <w:rPr>
          <w:rFonts w:ascii="Arial" w:hAnsi="Arial"/>
          <w:sz w:val="19"/>
        </w:rPr>
        <w:t>Reference the applicable customer order, manufacturing order, service work order, project, vehicle repair/restoration, facility expense, or capital request.</w:t>
      </w:r>
    </w:p>
    <w:p>
      <w:pPr>
        <w:pStyle w:val="ListBullet"/>
        <w:spacing w:after="40"/>
        <w:ind w:left="259" w:hanging="173"/>
      </w:pPr>
      <w:r>
        <w:rPr>
          <w:rFonts w:ascii="Arial" w:hAnsi="Arial"/>
          <w:sz w:val="19"/>
        </w:rPr>
        <w:t>Require supplier onboarding, tax, banking, insurance, quality, cybersecurity, and conflict checks appropriate to the relationship.</w:t>
      </w:r>
    </w:p>
    <w:p>
      <w:pPr>
        <w:pStyle w:val="ListBullet"/>
        <w:spacing w:after="40"/>
        <w:ind w:left="259" w:hanging="173"/>
      </w:pPr>
      <w:r>
        <w:rPr>
          <w:rFonts w:ascii="Arial" w:hAnsi="Arial"/>
          <w:sz w:val="19"/>
        </w:rPr>
        <w:t>Store current contracts, pricing, payment terms, freight terms, warranties, and service levels centrally.</w:t>
      </w:r>
    </w:p>
    <w:p>
      <w:pPr>
        <w:pStyle w:val="ListBullet"/>
        <w:spacing w:after="40"/>
        <w:ind w:left="259" w:hanging="173"/>
      </w:pPr>
      <w:r>
        <w:rPr>
          <w:rFonts w:ascii="Arial" w:hAnsi="Arial"/>
          <w:sz w:val="19"/>
        </w:rPr>
        <w:t>Record all receipts, transfers, issues, returns, cores, donor-part harvests, scrap, write-offs, and adjustments.</w:t>
      </w:r>
    </w:p>
    <w:p>
      <w:pPr>
        <w:pStyle w:val="ListBullet"/>
        <w:spacing w:after="40"/>
        <w:ind w:left="259" w:hanging="173"/>
      </w:pPr>
      <w:r>
        <w:rPr>
          <w:rFonts w:ascii="Arial" w:hAnsi="Arial"/>
          <w:sz w:val="19"/>
        </w:rPr>
        <w:t>Do not classify rare legacy service parts as obsolete without technical and service review.</w:t>
      </w:r>
    </w:p>
    <w:p>
      <w:pPr>
        <w:pStyle w:val="ListBullet"/>
        <w:spacing w:after="40"/>
        <w:ind w:left="259" w:hanging="173"/>
      </w:pPr>
      <w:r>
        <w:rPr>
          <w:rFonts w:ascii="Arial" w:hAnsi="Arial"/>
          <w:sz w:val="19"/>
        </w:rPr>
        <w:t>Validate reported savings through Accounting before presenting them as realized financial results.</w:t>
      </w:r>
    </w:p>
    <w:p>
      <w:pPr>
        <w:pStyle w:val="Heading1"/>
      </w:pPr>
      <w:r>
        <w:t>9. First Opportunity Tests</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7324D"/>
            <w:vAlign w:val="center"/>
          </w:tcPr>
          <w:p>
            <w:pPr>
              <w:spacing w:after="0"/>
            </w:pPr>
            <w:r>
              <w:rPr>
                <w:rFonts w:ascii="Arial" w:hAnsi="Arial"/>
                <w:b/>
                <w:color w:val="FFFFFF"/>
                <w:sz w:val="17"/>
              </w:rPr>
              <w:t>Test</w:t>
            </w:r>
          </w:p>
        </w:tc>
        <w:tc>
          <w:tcPr>
            <w:tcW w:type="dxa" w:w="5184"/>
            <w:shd w:fill="17324D"/>
            <w:vAlign w:val="center"/>
          </w:tcPr>
          <w:p>
            <w:pPr>
              <w:spacing w:after="0"/>
            </w:pPr>
            <w:r>
              <w:rPr>
                <w:rFonts w:ascii="Arial" w:hAnsi="Arial"/>
                <w:b/>
                <w:color w:val="FFFFFF"/>
                <w:sz w:val="17"/>
              </w:rPr>
              <w:t>Analysis</w:t>
            </w:r>
          </w:p>
        </w:tc>
        <w:tc>
          <w:tcPr>
            <w:tcW w:type="dxa" w:w="3456"/>
            <w:shd w:fill="17324D"/>
            <w:vAlign w:val="center"/>
          </w:tcPr>
          <w:p>
            <w:pPr>
              <w:spacing w:after="0"/>
            </w:pPr>
            <w:r>
              <w:rPr>
                <w:rFonts w:ascii="Arial" w:hAnsi="Arial"/>
                <w:b/>
                <w:color w:val="FFFFFF"/>
                <w:sz w:val="17"/>
              </w:rPr>
              <w:t>Possible Action</w:t>
            </w:r>
          </w:p>
        </w:tc>
      </w:tr>
      <w:tr>
        <w:tc>
          <w:tcPr>
            <w:tcW w:type="dxa" w:w="2088"/>
            <w:vAlign w:val="center"/>
          </w:tcPr>
          <w:p>
            <w:pPr>
              <w:spacing w:after="0"/>
            </w:pPr>
            <w:r>
              <w:rPr>
                <w:rFonts w:ascii="Arial" w:hAnsi="Arial"/>
                <w:sz w:val="17"/>
              </w:rPr>
            </w:r>
            <w:r>
              <w:rPr>
                <w:rFonts w:ascii="Arial" w:hAnsi="Arial"/>
                <w:b w:val="0"/>
                <w:sz w:val="17"/>
              </w:rPr>
              <w:t>Duplicate suppliers</w:t>
            </w:r>
          </w:p>
        </w:tc>
        <w:tc>
          <w:tcPr>
            <w:tcW w:type="dxa" w:w="5184"/>
            <w:vAlign w:val="center"/>
          </w:tcPr>
          <w:p>
            <w:pPr>
              <w:spacing w:after="0"/>
            </w:pPr>
            <w:r>
              <w:rPr>
                <w:rFonts w:ascii="Arial" w:hAnsi="Arial"/>
                <w:sz w:val="17"/>
              </w:rPr>
            </w:r>
            <w:r>
              <w:rPr>
                <w:rFonts w:ascii="Arial" w:hAnsi="Arial"/>
                <w:b w:val="0"/>
                <w:sz w:val="17"/>
              </w:rPr>
              <w:t>Compare normalized supplier names and category overlap across businesses.</w:t>
            </w:r>
          </w:p>
        </w:tc>
        <w:tc>
          <w:tcPr>
            <w:tcW w:type="dxa" w:w="3456"/>
            <w:vAlign w:val="center"/>
          </w:tcPr>
          <w:p>
            <w:pPr>
              <w:spacing w:after="0"/>
            </w:pPr>
            <w:r>
              <w:rPr>
                <w:rFonts w:ascii="Arial" w:hAnsi="Arial"/>
                <w:sz w:val="17"/>
              </w:rPr>
            </w:r>
            <w:r>
              <w:rPr>
                <w:rFonts w:ascii="Arial" w:hAnsi="Arial"/>
                <w:b w:val="0"/>
                <w:sz w:val="17"/>
              </w:rPr>
              <w:t>Consolidate demand and negotiate enterprise pricing.</w:t>
            </w:r>
          </w:p>
        </w:tc>
      </w:tr>
      <w:tr>
        <w:tc>
          <w:tcPr>
            <w:tcW w:type="dxa" w:w="2088"/>
            <w:vAlign w:val="center"/>
          </w:tcPr>
          <w:p>
            <w:pPr>
              <w:spacing w:after="0"/>
            </w:pPr>
            <w:r>
              <w:rPr>
                <w:rFonts w:ascii="Arial" w:hAnsi="Arial"/>
                <w:sz w:val="17"/>
              </w:rPr>
            </w:r>
            <w:r>
              <w:rPr>
                <w:rFonts w:ascii="Arial" w:hAnsi="Arial"/>
                <w:b w:val="0"/>
                <w:sz w:val="17"/>
              </w:rPr>
              <w:t>Price differences</w:t>
            </w:r>
          </w:p>
        </w:tc>
        <w:tc>
          <w:tcPr>
            <w:tcW w:type="dxa" w:w="5184"/>
            <w:vAlign w:val="center"/>
          </w:tcPr>
          <w:p>
            <w:pPr>
              <w:spacing w:after="0"/>
            </w:pPr>
            <w:r>
              <w:rPr>
                <w:rFonts w:ascii="Arial" w:hAnsi="Arial"/>
                <w:sz w:val="17"/>
              </w:rPr>
            </w:r>
            <w:r>
              <w:rPr>
                <w:rFonts w:ascii="Arial" w:hAnsi="Arial"/>
                <w:b w:val="0"/>
                <w:sz w:val="17"/>
              </w:rPr>
              <w:t>Compare identical items, specifications and landed cost by supplier and business.</w:t>
            </w:r>
          </w:p>
        </w:tc>
        <w:tc>
          <w:tcPr>
            <w:tcW w:type="dxa" w:w="3456"/>
            <w:vAlign w:val="center"/>
          </w:tcPr>
          <w:p>
            <w:pPr>
              <w:spacing w:after="0"/>
            </w:pPr>
            <w:r>
              <w:rPr>
                <w:rFonts w:ascii="Arial" w:hAnsi="Arial"/>
                <w:sz w:val="17"/>
              </w:rPr>
            </w:r>
            <w:r>
              <w:rPr>
                <w:rFonts w:ascii="Arial" w:hAnsi="Arial"/>
                <w:b w:val="0"/>
                <w:sz w:val="17"/>
              </w:rPr>
              <w:t>Standardize preferred source and contract price.</w:t>
            </w:r>
          </w:p>
        </w:tc>
      </w:tr>
      <w:tr>
        <w:tc>
          <w:tcPr>
            <w:tcW w:type="dxa" w:w="2088"/>
            <w:vAlign w:val="center"/>
          </w:tcPr>
          <w:p>
            <w:pPr>
              <w:spacing w:after="0"/>
            </w:pPr>
            <w:r>
              <w:rPr>
                <w:rFonts w:ascii="Arial" w:hAnsi="Arial"/>
                <w:sz w:val="17"/>
              </w:rPr>
            </w:r>
            <w:r>
              <w:rPr>
                <w:rFonts w:ascii="Arial" w:hAnsi="Arial"/>
                <w:b w:val="0"/>
                <w:sz w:val="17"/>
              </w:rPr>
              <w:t>Inventory transfers</w:t>
            </w:r>
          </w:p>
        </w:tc>
        <w:tc>
          <w:tcPr>
            <w:tcW w:type="dxa" w:w="5184"/>
            <w:vAlign w:val="center"/>
          </w:tcPr>
          <w:p>
            <w:pPr>
              <w:spacing w:after="0"/>
            </w:pPr>
            <w:r>
              <w:rPr>
                <w:rFonts w:ascii="Arial" w:hAnsi="Arial"/>
                <w:sz w:val="17"/>
              </w:rPr>
            </w:r>
            <w:r>
              <w:rPr>
                <w:rFonts w:ascii="Arial" w:hAnsi="Arial"/>
                <w:b w:val="0"/>
                <w:sz w:val="17"/>
              </w:rPr>
              <w:t>Find required items available in another location or business.</w:t>
            </w:r>
          </w:p>
        </w:tc>
        <w:tc>
          <w:tcPr>
            <w:tcW w:type="dxa" w:w="3456"/>
            <w:vAlign w:val="center"/>
          </w:tcPr>
          <w:p>
            <w:pPr>
              <w:spacing w:after="0"/>
            </w:pPr>
            <w:r>
              <w:rPr>
                <w:rFonts w:ascii="Arial" w:hAnsi="Arial"/>
                <w:sz w:val="17"/>
              </w:rPr>
            </w:r>
            <w:r>
              <w:rPr>
                <w:rFonts w:ascii="Arial" w:hAnsi="Arial"/>
                <w:b w:val="0"/>
                <w:sz w:val="17"/>
              </w:rPr>
              <w:t>Transfer before purchasing new stock.</w:t>
            </w:r>
          </w:p>
        </w:tc>
      </w:tr>
      <w:tr>
        <w:tc>
          <w:tcPr>
            <w:tcW w:type="dxa" w:w="2088"/>
            <w:vAlign w:val="center"/>
          </w:tcPr>
          <w:p>
            <w:pPr>
              <w:spacing w:after="0"/>
            </w:pPr>
            <w:r>
              <w:rPr>
                <w:rFonts w:ascii="Arial" w:hAnsi="Arial"/>
                <w:sz w:val="17"/>
              </w:rPr>
            </w:r>
            <w:r>
              <w:rPr>
                <w:rFonts w:ascii="Arial" w:hAnsi="Arial"/>
                <w:b w:val="0"/>
                <w:sz w:val="17"/>
              </w:rPr>
              <w:t>Old inventory</w:t>
            </w:r>
          </w:p>
        </w:tc>
        <w:tc>
          <w:tcPr>
            <w:tcW w:type="dxa" w:w="5184"/>
            <w:vAlign w:val="center"/>
          </w:tcPr>
          <w:p>
            <w:pPr>
              <w:spacing w:after="0"/>
            </w:pPr>
            <w:r>
              <w:rPr>
                <w:rFonts w:ascii="Arial" w:hAnsi="Arial"/>
                <w:sz w:val="17"/>
              </w:rPr>
            </w:r>
            <w:r>
              <w:rPr>
                <w:rFonts w:ascii="Arial" w:hAnsi="Arial"/>
                <w:b w:val="0"/>
                <w:sz w:val="17"/>
              </w:rPr>
              <w:t>Separate excess/obsolete stock from strategic legacy inventory.</w:t>
            </w:r>
          </w:p>
        </w:tc>
        <w:tc>
          <w:tcPr>
            <w:tcW w:type="dxa" w:w="3456"/>
            <w:vAlign w:val="center"/>
          </w:tcPr>
          <w:p>
            <w:pPr>
              <w:spacing w:after="0"/>
            </w:pPr>
            <w:r>
              <w:rPr>
                <w:rFonts w:ascii="Arial" w:hAnsi="Arial"/>
                <w:sz w:val="17"/>
              </w:rPr>
            </w:r>
            <w:r>
              <w:rPr>
                <w:rFonts w:ascii="Arial" w:hAnsi="Arial"/>
                <w:b w:val="0"/>
                <w:sz w:val="17"/>
              </w:rPr>
              <w:t>Return, sell, bundle, refurbish, harvest, recycle or retain intentionally.</w:t>
            </w:r>
          </w:p>
        </w:tc>
      </w:tr>
      <w:tr>
        <w:tc>
          <w:tcPr>
            <w:tcW w:type="dxa" w:w="2088"/>
            <w:vAlign w:val="center"/>
          </w:tcPr>
          <w:p>
            <w:pPr>
              <w:spacing w:after="0"/>
            </w:pPr>
            <w:r>
              <w:rPr>
                <w:rFonts w:ascii="Arial" w:hAnsi="Arial"/>
                <w:sz w:val="17"/>
              </w:rPr>
            </w:r>
            <w:r>
              <w:rPr>
                <w:rFonts w:ascii="Arial" w:hAnsi="Arial"/>
                <w:b w:val="0"/>
                <w:sz w:val="17"/>
              </w:rPr>
              <w:t>Emergency freight</w:t>
            </w:r>
          </w:p>
        </w:tc>
        <w:tc>
          <w:tcPr>
            <w:tcW w:type="dxa" w:w="5184"/>
            <w:vAlign w:val="center"/>
          </w:tcPr>
          <w:p>
            <w:pPr>
              <w:spacing w:after="0"/>
            </w:pPr>
            <w:r>
              <w:rPr>
                <w:rFonts w:ascii="Arial" w:hAnsi="Arial"/>
                <w:sz w:val="17"/>
              </w:rPr>
            </w:r>
            <w:r>
              <w:rPr>
                <w:rFonts w:ascii="Arial" w:hAnsi="Arial"/>
                <w:b w:val="0"/>
                <w:sz w:val="17"/>
              </w:rPr>
              <w:t>Identify repeated expedite reasons, suppliers, items and teams.</w:t>
            </w:r>
          </w:p>
        </w:tc>
        <w:tc>
          <w:tcPr>
            <w:tcW w:type="dxa" w:w="3456"/>
            <w:vAlign w:val="center"/>
          </w:tcPr>
          <w:p>
            <w:pPr>
              <w:spacing w:after="0"/>
            </w:pPr>
            <w:r>
              <w:rPr>
                <w:rFonts w:ascii="Arial" w:hAnsi="Arial"/>
                <w:sz w:val="17"/>
              </w:rPr>
            </w:r>
            <w:r>
              <w:rPr>
                <w:rFonts w:ascii="Arial" w:hAnsi="Arial"/>
                <w:b w:val="0"/>
                <w:sz w:val="17"/>
              </w:rPr>
              <w:t>Correct planning, stocking, approvals or supplier lead-time performance.</w:t>
            </w:r>
          </w:p>
        </w:tc>
      </w:tr>
      <w:tr>
        <w:tc>
          <w:tcPr>
            <w:tcW w:type="dxa" w:w="2088"/>
            <w:vAlign w:val="center"/>
          </w:tcPr>
          <w:p>
            <w:pPr>
              <w:spacing w:after="0"/>
            </w:pPr>
            <w:r>
              <w:rPr>
                <w:rFonts w:ascii="Arial" w:hAnsi="Arial"/>
                <w:sz w:val="17"/>
              </w:rPr>
            </w:r>
            <w:r>
              <w:rPr>
                <w:rFonts w:ascii="Arial" w:hAnsi="Arial"/>
                <w:b w:val="0"/>
                <w:sz w:val="17"/>
              </w:rPr>
              <w:t>Open PO risk</w:t>
            </w:r>
          </w:p>
        </w:tc>
        <w:tc>
          <w:tcPr>
            <w:tcW w:type="dxa" w:w="5184"/>
            <w:vAlign w:val="center"/>
          </w:tcPr>
          <w:p>
            <w:pPr>
              <w:spacing w:after="0"/>
            </w:pPr>
            <w:r>
              <w:rPr>
                <w:rFonts w:ascii="Arial" w:hAnsi="Arial"/>
                <w:sz w:val="17"/>
              </w:rPr>
            </w:r>
            <w:r>
              <w:rPr>
                <w:rFonts w:ascii="Arial" w:hAnsi="Arial"/>
                <w:b w:val="0"/>
                <w:sz w:val="17"/>
              </w:rPr>
              <w:t>Rank late or unconfirmed orders by customer, project and service impact.</w:t>
            </w:r>
          </w:p>
        </w:tc>
        <w:tc>
          <w:tcPr>
            <w:tcW w:type="dxa" w:w="3456"/>
            <w:vAlign w:val="center"/>
          </w:tcPr>
          <w:p>
            <w:pPr>
              <w:spacing w:after="0"/>
            </w:pPr>
            <w:r>
              <w:rPr>
                <w:rFonts w:ascii="Arial" w:hAnsi="Arial"/>
                <w:sz w:val="17"/>
              </w:rPr>
            </w:r>
            <w:r>
              <w:rPr>
                <w:rFonts w:ascii="Arial" w:hAnsi="Arial"/>
                <w:b w:val="0"/>
                <w:sz w:val="17"/>
              </w:rPr>
              <w:t>Escalate supplier, expedite strategically or source alternatives.</w:t>
            </w:r>
          </w:p>
        </w:tc>
      </w:tr>
      <w:tr>
        <w:tc>
          <w:tcPr>
            <w:tcW w:type="dxa" w:w="2088"/>
            <w:vAlign w:val="center"/>
          </w:tcPr>
          <w:p>
            <w:pPr>
              <w:spacing w:after="0"/>
            </w:pPr>
            <w:r>
              <w:rPr>
                <w:rFonts w:ascii="Arial" w:hAnsi="Arial"/>
                <w:sz w:val="17"/>
              </w:rPr>
            </w:r>
            <w:r>
              <w:rPr>
                <w:rFonts w:ascii="Arial" w:hAnsi="Arial"/>
                <w:b w:val="0"/>
                <w:sz w:val="17"/>
              </w:rPr>
              <w:t>Warranty leakage</w:t>
            </w:r>
          </w:p>
        </w:tc>
        <w:tc>
          <w:tcPr>
            <w:tcW w:type="dxa" w:w="5184"/>
            <w:vAlign w:val="center"/>
          </w:tcPr>
          <w:p>
            <w:pPr>
              <w:spacing w:after="0"/>
            </w:pPr>
            <w:r>
              <w:rPr>
                <w:rFonts w:ascii="Arial" w:hAnsi="Arial"/>
                <w:sz w:val="17"/>
              </w:rPr>
            </w:r>
            <w:r>
              <w:rPr>
                <w:rFonts w:ascii="Arial" w:hAnsi="Arial"/>
                <w:b w:val="0"/>
                <w:sz w:val="17"/>
              </w:rPr>
              <w:t>Compare supplier failures and customer/service costs with credits recovered.</w:t>
            </w:r>
          </w:p>
        </w:tc>
        <w:tc>
          <w:tcPr>
            <w:tcW w:type="dxa" w:w="3456"/>
            <w:vAlign w:val="center"/>
          </w:tcPr>
          <w:p>
            <w:pPr>
              <w:spacing w:after="0"/>
            </w:pPr>
            <w:r>
              <w:rPr>
                <w:rFonts w:ascii="Arial" w:hAnsi="Arial"/>
                <w:sz w:val="17"/>
              </w:rPr>
            </w:r>
            <w:r>
              <w:rPr>
                <w:rFonts w:ascii="Arial" w:hAnsi="Arial"/>
                <w:b w:val="0"/>
                <w:sz w:val="17"/>
              </w:rPr>
              <w:t>Strengthen claims, terms and supplier corrective action.</w:t>
            </w:r>
          </w:p>
        </w:tc>
      </w:tr>
      <w:tr>
        <w:tc>
          <w:tcPr>
            <w:tcW w:type="dxa" w:w="2088"/>
            <w:vAlign w:val="center"/>
          </w:tcPr>
          <w:p>
            <w:pPr>
              <w:spacing w:after="0"/>
            </w:pPr>
            <w:r>
              <w:rPr>
                <w:rFonts w:ascii="Arial" w:hAnsi="Arial"/>
                <w:sz w:val="17"/>
              </w:rPr>
            </w:r>
            <w:r>
              <w:rPr>
                <w:rFonts w:ascii="Arial" w:hAnsi="Arial"/>
                <w:b w:val="0"/>
                <w:sz w:val="17"/>
              </w:rPr>
              <w:t>Project leftovers</w:t>
            </w:r>
          </w:p>
        </w:tc>
        <w:tc>
          <w:tcPr>
            <w:tcW w:type="dxa" w:w="5184"/>
            <w:vAlign w:val="center"/>
          </w:tcPr>
          <w:p>
            <w:pPr>
              <w:spacing w:after="0"/>
            </w:pPr>
            <w:r>
              <w:rPr>
                <w:rFonts w:ascii="Arial" w:hAnsi="Arial"/>
                <w:sz w:val="17"/>
              </w:rPr>
            </w:r>
            <w:r>
              <w:rPr>
                <w:rFonts w:ascii="Arial" w:hAnsi="Arial"/>
                <w:b w:val="0"/>
                <w:sz w:val="17"/>
              </w:rPr>
              <w:t>Compare project purchases, issues, returns, scrap and remaining materials.</w:t>
            </w:r>
          </w:p>
        </w:tc>
        <w:tc>
          <w:tcPr>
            <w:tcW w:type="dxa" w:w="3456"/>
            <w:vAlign w:val="center"/>
          </w:tcPr>
          <w:p>
            <w:pPr>
              <w:spacing w:after="0"/>
            </w:pPr>
            <w:r>
              <w:rPr>
                <w:rFonts w:ascii="Arial" w:hAnsi="Arial"/>
                <w:sz w:val="17"/>
              </w:rPr>
            </w:r>
            <w:r>
              <w:rPr>
                <w:rFonts w:ascii="Arial" w:hAnsi="Arial"/>
                <w:b w:val="0"/>
                <w:sz w:val="17"/>
              </w:rPr>
              <w:t>Return to stock, supplier or future project; improve estimating.</w:t>
            </w:r>
          </w:p>
        </w:tc>
      </w:tr>
    </w:tbl>
    <w:p>
      <w:pPr>
        <w:pStyle w:val="Heading1"/>
      </w:pPr>
      <w:r>
        <w:t>10. Measures of Success</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7324D"/>
            <w:vAlign w:val="center"/>
          </w:tcPr>
          <w:p>
            <w:pPr>
              <w:spacing w:after="0"/>
            </w:pPr>
            <w:r>
              <w:rPr>
                <w:rFonts w:ascii="Arial" w:hAnsi="Arial"/>
                <w:b/>
                <w:color w:val="FFFFFF"/>
                <w:sz w:val="17"/>
              </w:rPr>
              <w:t>Area</w:t>
            </w:r>
          </w:p>
        </w:tc>
        <w:tc>
          <w:tcPr>
            <w:tcW w:type="dxa" w:w="5328"/>
            <w:shd w:fill="17324D"/>
            <w:vAlign w:val="center"/>
          </w:tcPr>
          <w:p>
            <w:pPr>
              <w:spacing w:after="0"/>
            </w:pPr>
            <w:r>
              <w:rPr>
                <w:rFonts w:ascii="Arial" w:hAnsi="Arial"/>
                <w:b/>
                <w:color w:val="FFFFFF"/>
                <w:sz w:val="17"/>
              </w:rPr>
              <w:t>Baseline Measure</w:t>
            </w:r>
          </w:p>
        </w:tc>
        <w:tc>
          <w:tcPr>
            <w:tcW w:type="dxa" w:w="3240"/>
            <w:shd w:fill="17324D"/>
            <w:vAlign w:val="center"/>
          </w:tcPr>
          <w:p>
            <w:pPr>
              <w:spacing w:after="0"/>
            </w:pPr>
            <w:r>
              <w:rPr>
                <w:rFonts w:ascii="Arial" w:hAnsi="Arial"/>
                <w:b/>
                <w:color w:val="FFFFFF"/>
                <w:sz w:val="17"/>
              </w:rPr>
              <w:t>Expected Direction</w:t>
            </w:r>
          </w:p>
        </w:tc>
      </w:tr>
      <w:tr>
        <w:tc>
          <w:tcPr>
            <w:tcW w:type="dxa" w:w="2088"/>
            <w:vAlign w:val="center"/>
          </w:tcPr>
          <w:p>
            <w:pPr>
              <w:spacing w:after="0"/>
            </w:pPr>
            <w:r>
              <w:rPr>
                <w:rFonts w:ascii="Arial" w:hAnsi="Arial"/>
                <w:sz w:val="17"/>
              </w:rPr>
            </w:r>
            <w:r>
              <w:rPr>
                <w:rFonts w:ascii="Arial" w:hAnsi="Arial"/>
                <w:b w:val="0"/>
                <w:sz w:val="17"/>
              </w:rPr>
              <w:t>Purchasing</w:t>
            </w:r>
          </w:p>
        </w:tc>
        <w:tc>
          <w:tcPr>
            <w:tcW w:type="dxa" w:w="5328"/>
            <w:vAlign w:val="center"/>
          </w:tcPr>
          <w:p>
            <w:pPr>
              <w:spacing w:after="0"/>
            </w:pPr>
            <w:r>
              <w:rPr>
                <w:rFonts w:ascii="Arial" w:hAnsi="Arial"/>
                <w:sz w:val="17"/>
              </w:rPr>
            </w:r>
            <w:r>
              <w:rPr>
                <w:rFonts w:ascii="Arial" w:hAnsi="Arial"/>
                <w:b w:val="0"/>
                <w:sz w:val="17"/>
              </w:rPr>
              <w:t>Total spend, price variance, off-contract spend and supplier count</w:t>
            </w:r>
          </w:p>
        </w:tc>
        <w:tc>
          <w:tcPr>
            <w:tcW w:type="dxa" w:w="3240"/>
            <w:vAlign w:val="center"/>
          </w:tcPr>
          <w:p>
            <w:pPr>
              <w:spacing w:after="0"/>
            </w:pPr>
            <w:r>
              <w:rPr>
                <w:rFonts w:ascii="Arial" w:hAnsi="Arial"/>
                <w:sz w:val="17"/>
              </w:rPr>
            </w:r>
            <w:r>
              <w:rPr>
                <w:rFonts w:ascii="Arial" w:hAnsi="Arial"/>
                <w:b w:val="0"/>
                <w:sz w:val="17"/>
              </w:rPr>
              <w:t>Lower avoidable cost and fragmentation</w:t>
            </w:r>
          </w:p>
        </w:tc>
      </w:tr>
      <w:tr>
        <w:tc>
          <w:tcPr>
            <w:tcW w:type="dxa" w:w="2088"/>
            <w:vAlign w:val="center"/>
          </w:tcPr>
          <w:p>
            <w:pPr>
              <w:spacing w:after="0"/>
            </w:pPr>
            <w:r>
              <w:rPr>
                <w:rFonts w:ascii="Arial" w:hAnsi="Arial"/>
                <w:sz w:val="17"/>
              </w:rPr>
            </w:r>
            <w:r>
              <w:rPr>
                <w:rFonts w:ascii="Arial" w:hAnsi="Arial"/>
                <w:b w:val="0"/>
                <w:sz w:val="17"/>
              </w:rPr>
              <w:t>Inventory</w:t>
            </w:r>
          </w:p>
        </w:tc>
        <w:tc>
          <w:tcPr>
            <w:tcW w:type="dxa" w:w="5328"/>
            <w:vAlign w:val="center"/>
          </w:tcPr>
          <w:p>
            <w:pPr>
              <w:spacing w:after="0"/>
            </w:pPr>
            <w:r>
              <w:rPr>
                <w:rFonts w:ascii="Arial" w:hAnsi="Arial"/>
                <w:sz w:val="17"/>
              </w:rPr>
            </w:r>
            <w:r>
              <w:rPr>
                <w:rFonts w:ascii="Arial" w:hAnsi="Arial"/>
                <w:b w:val="0"/>
                <w:sz w:val="17"/>
              </w:rPr>
              <w:t>Value, turns, days on hand, accuracy, aging and stockouts</w:t>
            </w:r>
          </w:p>
        </w:tc>
        <w:tc>
          <w:tcPr>
            <w:tcW w:type="dxa" w:w="3240"/>
            <w:vAlign w:val="center"/>
          </w:tcPr>
          <w:p>
            <w:pPr>
              <w:spacing w:after="0"/>
            </w:pPr>
            <w:r>
              <w:rPr>
                <w:rFonts w:ascii="Arial" w:hAnsi="Arial"/>
                <w:sz w:val="17"/>
              </w:rPr>
            </w:r>
            <w:r>
              <w:rPr>
                <w:rFonts w:ascii="Arial" w:hAnsi="Arial"/>
                <w:b w:val="0"/>
                <w:sz w:val="17"/>
              </w:rPr>
              <w:t>Higher accuracy and availability; lower unnecessary investment</w:t>
            </w:r>
          </w:p>
        </w:tc>
      </w:tr>
      <w:tr>
        <w:tc>
          <w:tcPr>
            <w:tcW w:type="dxa" w:w="2088"/>
            <w:vAlign w:val="center"/>
          </w:tcPr>
          <w:p>
            <w:pPr>
              <w:spacing w:after="0"/>
            </w:pPr>
            <w:r>
              <w:rPr>
                <w:rFonts w:ascii="Arial" w:hAnsi="Arial"/>
                <w:sz w:val="17"/>
              </w:rPr>
            </w:r>
            <w:r>
              <w:rPr>
                <w:rFonts w:ascii="Arial" w:hAnsi="Arial"/>
                <w:b w:val="0"/>
                <w:sz w:val="17"/>
              </w:rPr>
              <w:t>Suppliers</w:t>
            </w:r>
          </w:p>
        </w:tc>
        <w:tc>
          <w:tcPr>
            <w:tcW w:type="dxa" w:w="5328"/>
            <w:vAlign w:val="center"/>
          </w:tcPr>
          <w:p>
            <w:pPr>
              <w:spacing w:after="0"/>
            </w:pPr>
            <w:r>
              <w:rPr>
                <w:rFonts w:ascii="Arial" w:hAnsi="Arial"/>
                <w:sz w:val="17"/>
              </w:rPr>
            </w:r>
            <w:r>
              <w:rPr>
                <w:rFonts w:ascii="Arial" w:hAnsi="Arial"/>
                <w:b w:val="0"/>
                <w:sz w:val="17"/>
              </w:rPr>
              <w:t>On-time delivery, completeness, quality, invoice accuracy and risk</w:t>
            </w:r>
          </w:p>
        </w:tc>
        <w:tc>
          <w:tcPr>
            <w:tcW w:type="dxa" w:w="3240"/>
            <w:vAlign w:val="center"/>
          </w:tcPr>
          <w:p>
            <w:pPr>
              <w:spacing w:after="0"/>
            </w:pPr>
            <w:r>
              <w:rPr>
                <w:rFonts w:ascii="Arial" w:hAnsi="Arial"/>
                <w:sz w:val="17"/>
              </w:rPr>
            </w:r>
            <w:r>
              <w:rPr>
                <w:rFonts w:ascii="Arial" w:hAnsi="Arial"/>
                <w:b w:val="0"/>
                <w:sz w:val="17"/>
              </w:rPr>
              <w:t>Higher service and accountability</w:t>
            </w:r>
          </w:p>
        </w:tc>
      </w:tr>
      <w:tr>
        <w:tc>
          <w:tcPr>
            <w:tcW w:type="dxa" w:w="2088"/>
            <w:vAlign w:val="center"/>
          </w:tcPr>
          <w:p>
            <w:pPr>
              <w:spacing w:after="0"/>
            </w:pPr>
            <w:r>
              <w:rPr>
                <w:rFonts w:ascii="Arial" w:hAnsi="Arial"/>
                <w:sz w:val="17"/>
              </w:rPr>
            </w:r>
            <w:r>
              <w:rPr>
                <w:rFonts w:ascii="Arial" w:hAnsi="Arial"/>
                <w:b w:val="0"/>
                <w:sz w:val="17"/>
              </w:rPr>
              <w:t>Operations</w:t>
            </w:r>
          </w:p>
        </w:tc>
        <w:tc>
          <w:tcPr>
            <w:tcW w:type="dxa" w:w="5328"/>
            <w:vAlign w:val="center"/>
          </w:tcPr>
          <w:p>
            <w:pPr>
              <w:spacing w:after="0"/>
            </w:pPr>
            <w:r>
              <w:rPr>
                <w:rFonts w:ascii="Arial" w:hAnsi="Arial"/>
                <w:sz w:val="17"/>
              </w:rPr>
            </w:r>
            <w:r>
              <w:rPr>
                <w:rFonts w:ascii="Arial" w:hAnsi="Arial"/>
                <w:b w:val="0"/>
                <w:sz w:val="17"/>
              </w:rPr>
              <w:t>Past-due POs, expedites, material delays and repeated emergencies</w:t>
            </w:r>
          </w:p>
        </w:tc>
        <w:tc>
          <w:tcPr>
            <w:tcW w:type="dxa" w:w="3240"/>
            <w:vAlign w:val="center"/>
          </w:tcPr>
          <w:p>
            <w:pPr>
              <w:spacing w:after="0"/>
            </w:pPr>
            <w:r>
              <w:rPr>
                <w:rFonts w:ascii="Arial" w:hAnsi="Arial"/>
                <w:sz w:val="17"/>
              </w:rPr>
            </w:r>
            <w:r>
              <w:rPr>
                <w:rFonts w:ascii="Arial" w:hAnsi="Arial"/>
                <w:b w:val="0"/>
                <w:sz w:val="17"/>
              </w:rPr>
              <w:t>Fewer disruptions and faster resolution</w:t>
            </w:r>
          </w:p>
        </w:tc>
      </w:tr>
      <w:tr>
        <w:tc>
          <w:tcPr>
            <w:tcW w:type="dxa" w:w="2088"/>
            <w:vAlign w:val="center"/>
          </w:tcPr>
          <w:p>
            <w:pPr>
              <w:spacing w:after="0"/>
            </w:pPr>
            <w:r>
              <w:rPr>
                <w:rFonts w:ascii="Arial" w:hAnsi="Arial"/>
                <w:sz w:val="17"/>
              </w:rPr>
            </w:r>
            <w:r>
              <w:rPr>
                <w:rFonts w:ascii="Arial" w:hAnsi="Arial"/>
                <w:b w:val="0"/>
                <w:sz w:val="17"/>
              </w:rPr>
              <w:t>Cash</w:t>
            </w:r>
          </w:p>
        </w:tc>
        <w:tc>
          <w:tcPr>
            <w:tcW w:type="dxa" w:w="5328"/>
            <w:vAlign w:val="center"/>
          </w:tcPr>
          <w:p>
            <w:pPr>
              <w:spacing w:after="0"/>
            </w:pPr>
            <w:r>
              <w:rPr>
                <w:rFonts w:ascii="Arial" w:hAnsi="Arial"/>
                <w:sz w:val="17"/>
              </w:rPr>
            </w:r>
            <w:r>
              <w:rPr>
                <w:rFonts w:ascii="Arial" w:hAnsi="Arial"/>
                <w:b w:val="0"/>
                <w:sz w:val="17"/>
              </w:rPr>
              <w:t>Open commitments, advance payments, excess inventory and payment terms</w:t>
            </w:r>
          </w:p>
        </w:tc>
        <w:tc>
          <w:tcPr>
            <w:tcW w:type="dxa" w:w="3240"/>
            <w:vAlign w:val="center"/>
          </w:tcPr>
          <w:p>
            <w:pPr>
              <w:spacing w:after="0"/>
            </w:pPr>
            <w:r>
              <w:rPr>
                <w:rFonts w:ascii="Arial" w:hAnsi="Arial"/>
                <w:sz w:val="17"/>
              </w:rPr>
            </w:r>
            <w:r>
              <w:rPr>
                <w:rFonts w:ascii="Arial" w:hAnsi="Arial"/>
                <w:b w:val="0"/>
                <w:sz w:val="17"/>
              </w:rPr>
              <w:t>Improved working capital</w:t>
            </w:r>
          </w:p>
        </w:tc>
      </w:tr>
      <w:tr>
        <w:tc>
          <w:tcPr>
            <w:tcW w:type="dxa" w:w="2088"/>
            <w:vAlign w:val="center"/>
          </w:tcPr>
          <w:p>
            <w:pPr>
              <w:spacing w:after="0"/>
            </w:pPr>
            <w:r>
              <w:rPr>
                <w:rFonts w:ascii="Arial" w:hAnsi="Arial"/>
                <w:sz w:val="17"/>
              </w:rPr>
            </w:r>
            <w:r>
              <w:rPr>
                <w:rFonts w:ascii="Arial" w:hAnsi="Arial"/>
                <w:b w:val="0"/>
                <w:sz w:val="17"/>
              </w:rPr>
              <w:t>Profitability</w:t>
            </w:r>
          </w:p>
        </w:tc>
        <w:tc>
          <w:tcPr>
            <w:tcW w:type="dxa" w:w="5328"/>
            <w:vAlign w:val="center"/>
          </w:tcPr>
          <w:p>
            <w:pPr>
              <w:spacing w:after="0"/>
            </w:pPr>
            <w:r>
              <w:rPr>
                <w:rFonts w:ascii="Arial" w:hAnsi="Arial"/>
                <w:sz w:val="17"/>
              </w:rPr>
            </w:r>
            <w:r>
              <w:rPr>
                <w:rFonts w:ascii="Arial" w:hAnsi="Arial"/>
                <w:b w:val="0"/>
                <w:sz w:val="17"/>
              </w:rPr>
              <w:t>Material variance, warranty leakage, freight and realized savings</w:t>
            </w:r>
          </w:p>
        </w:tc>
        <w:tc>
          <w:tcPr>
            <w:tcW w:type="dxa" w:w="3240"/>
            <w:vAlign w:val="center"/>
          </w:tcPr>
          <w:p>
            <w:pPr>
              <w:spacing w:after="0"/>
            </w:pPr>
            <w:r>
              <w:rPr>
                <w:rFonts w:ascii="Arial" w:hAnsi="Arial"/>
                <w:sz w:val="17"/>
              </w:rPr>
            </w:r>
            <w:r>
              <w:rPr>
                <w:rFonts w:ascii="Arial" w:hAnsi="Arial"/>
                <w:b w:val="0"/>
                <w:sz w:val="17"/>
              </w:rPr>
              <w:t>Higher validated margin contribution</w:t>
            </w:r>
          </w:p>
        </w:tc>
      </w:tr>
      <w:tr>
        <w:tc>
          <w:tcPr>
            <w:tcW w:type="dxa" w:w="2088"/>
            <w:vAlign w:val="center"/>
          </w:tcPr>
          <w:p>
            <w:pPr>
              <w:spacing w:after="0"/>
            </w:pPr>
            <w:r>
              <w:rPr>
                <w:rFonts w:ascii="Arial" w:hAnsi="Arial"/>
                <w:sz w:val="17"/>
              </w:rPr>
            </w:r>
            <w:r>
              <w:rPr>
                <w:rFonts w:ascii="Arial" w:hAnsi="Arial"/>
                <w:b w:val="0"/>
                <w:sz w:val="17"/>
              </w:rPr>
              <w:t>Team</w:t>
            </w:r>
          </w:p>
        </w:tc>
        <w:tc>
          <w:tcPr>
            <w:tcW w:type="dxa" w:w="5328"/>
            <w:vAlign w:val="center"/>
          </w:tcPr>
          <w:p>
            <w:pPr>
              <w:spacing w:after="0"/>
            </w:pPr>
            <w:r>
              <w:rPr>
                <w:rFonts w:ascii="Arial" w:hAnsi="Arial"/>
                <w:sz w:val="17"/>
              </w:rPr>
            </w:r>
            <w:r>
              <w:rPr>
                <w:rFonts w:ascii="Arial" w:hAnsi="Arial"/>
                <w:b w:val="0"/>
                <w:sz w:val="17"/>
              </w:rPr>
              <w:t>Process ownership, report usage, training and corrective-action closure</w:t>
            </w:r>
          </w:p>
        </w:tc>
        <w:tc>
          <w:tcPr>
            <w:tcW w:type="dxa" w:w="3240"/>
            <w:vAlign w:val="center"/>
          </w:tcPr>
          <w:p>
            <w:pPr>
              <w:spacing w:after="0"/>
            </w:pPr>
            <w:r>
              <w:rPr>
                <w:rFonts w:ascii="Arial" w:hAnsi="Arial"/>
                <w:sz w:val="17"/>
              </w:rPr>
            </w:r>
            <w:r>
              <w:rPr>
                <w:rFonts w:ascii="Arial" w:hAnsi="Arial"/>
                <w:b w:val="0"/>
                <w:sz w:val="17"/>
              </w:rPr>
              <w:t>Stronger capability and consistent execution</w:t>
            </w:r>
          </w:p>
        </w:tc>
      </w:tr>
    </w:tbl>
    <w:p>
      <w:pPr>
        <w:pStyle w:val="Heading2"/>
      </w:pPr>
      <w:r>
        <w:t>Leadership Decisions Required Now</w:t>
      </w:r>
    </w:p>
    <w:p>
      <w:pPr>
        <w:pStyle w:val="ListBullet"/>
        <w:spacing w:after="40"/>
        <w:ind w:left="259" w:hanging="173"/>
      </w:pPr>
      <w:r>
        <w:rPr>
          <w:rFonts w:ascii="Arial" w:hAnsi="Arial"/>
          <w:sz w:val="19"/>
        </w:rPr>
        <w:t>Name the executive sponsor and procurement transformation lead.</w:t>
      </w:r>
    </w:p>
    <w:p>
      <w:pPr>
        <w:pStyle w:val="ListBullet"/>
        <w:spacing w:after="40"/>
        <w:ind w:left="259" w:hanging="173"/>
      </w:pPr>
      <w:r>
        <w:rPr>
          <w:rFonts w:ascii="Arial" w:hAnsi="Arial"/>
          <w:sz w:val="19"/>
        </w:rPr>
        <w:t>Assign one accountable representative from each of the five companies.</w:t>
      </w:r>
    </w:p>
    <w:p>
      <w:pPr>
        <w:pStyle w:val="ListBullet"/>
        <w:spacing w:after="40"/>
        <w:ind w:left="259" w:hanging="173"/>
      </w:pPr>
      <w:r>
        <w:rPr>
          <w:rFonts w:ascii="Arial" w:hAnsi="Arial"/>
          <w:sz w:val="19"/>
        </w:rPr>
        <w:t>Authorize access to purchasing, inventory, accounting, sales, manufacturing, project, service and work-order data.</w:t>
      </w:r>
    </w:p>
    <w:p>
      <w:pPr>
        <w:pStyle w:val="ListBullet"/>
        <w:spacing w:after="40"/>
        <w:ind w:left="259" w:hanging="173"/>
      </w:pPr>
      <w:r>
        <w:rPr>
          <w:rFonts w:ascii="Arial" w:hAnsi="Arial"/>
          <w:sz w:val="19"/>
        </w:rPr>
        <w:t>Approve the common data standards and the use of the baseline workbook.</w:t>
      </w:r>
    </w:p>
    <w:p>
      <w:pPr>
        <w:pStyle w:val="ListBullet"/>
        <w:spacing w:after="40"/>
        <w:ind w:left="259" w:hanging="173"/>
      </w:pPr>
      <w:r>
        <w:rPr>
          <w:rFonts w:ascii="Arial" w:hAnsi="Arial"/>
          <w:sz w:val="19"/>
        </w:rPr>
        <w:t>Authorize Gruber Power Services as the initial pilot and select its first category.</w:t>
      </w:r>
    </w:p>
    <w:p>
      <w:pPr>
        <w:pStyle w:val="ListBullet"/>
        <w:spacing w:after="40"/>
        <w:ind w:left="259" w:hanging="173"/>
      </w:pPr>
      <w:r>
        <w:rPr>
          <w:rFonts w:ascii="Arial" w:hAnsi="Arial"/>
          <w:sz w:val="19"/>
        </w:rPr>
        <w:t>Set the date for the first executive baseline review at the end of the 30-day period.</w:t>
      </w:r>
    </w:p>
    <w:tbl>
      <w:tblPr>
        <w:tblW w:type="auto" w:w="0"/>
        <w:jc w:val="center"/>
        <w:tblLook w:firstColumn="1" w:firstRow="1" w:lastColumn="0" w:lastRow="0" w:noHBand="0" w:noVBand="1" w:val="04A0"/>
      </w:tblPr>
      <w:tblGrid>
        <w:gridCol w:w="10224"/>
      </w:tblGrid>
      <w:tr>
        <w:tc>
          <w:tcPr>
            <w:tcW w:type="dxa" w:w="10224"/>
            <w:shd w:fill="EAF0F5"/>
          </w:tcPr>
          <w:p>
            <w:pPr>
              <w:spacing w:after="0"/>
            </w:pPr>
            <w:r/>
            <w:r>
              <w:rPr>
                <w:rFonts w:ascii="Arial" w:hAnsi="Arial"/>
                <w:b/>
                <w:color w:val="17324D"/>
                <w:sz w:val="20"/>
              </w:rPr>
              <w:t>Next action</w:t>
              <w:br/>
            </w:r>
            <w:r>
              <w:rPr>
                <w:rFonts w:ascii="Arial" w:hAnsi="Arial"/>
                <w:sz w:val="18"/>
              </w:rPr>
              <w:t>Distribute the workbook and this launch plan to the assigned team. Hold a 60-minute kickoff, begin discovery interviews immediately, and require each data owner to confirm availability and delivery dates for the requested files.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5"/>
      </w:rPr>
      <w:t>Confidential working plan | Gruber Communications • Gruber Power Services • Gruber Technical Services • Gruber Motor Company • EV Preserve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5D7C"/>
        <w:sz w:val="16"/>
      </w:rPr>
      <w:t>GRUBER PROCUREMENT TRANSFORMATION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F5D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