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asasd</w:t>
            </w:r>
            <w:r w:rsidR="000263F0">
              <w:rPr>
                <w:sz w:val="20"/>
              </w:rPr>
              <w:t xml:space="preserve"> </w:t>
            </w:r>
            <w:r w:rsidR="00234F04">
              <w:rPr>
                <w:sz w:val="20"/>
              </w:rPr>
              <w:t xml:space="preserve">(Scored </w:t>
            </w:r>
            <w:r>
              <w:rPr>
                <w:sz w:val="20"/>
              </w:rPr>
              <w:t>3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2016 – Feb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 </w:t>
            </w:r>
          </w:p>
          <w:p w:rsidR="00071C88" w:rsidRDefault="00101EDD" w:rsidP="00C81D5B">
            <w:pPr>
              <w:pStyle w:val="TableParagraph"/>
              <w:ind w:left="140"/>
              <w:rPr>
                <w:sz w:val="20"/>
              </w:rPr>
            </w:pPr>
            <w:r>
              <w:rPr>
                <w:sz w:val="20"/>
              </w:rPr>
              <w:t>asdadasd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2016 – Feb 2014</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ASDAS., </w:t>
            </w:r>
          </w:p>
          <w:p w:rsidR="00DA62F6" w:rsidRDefault="00DA62F6" w:rsidP="005770C8">
            <w:pPr>
              <w:pStyle w:val="TableParagraph"/>
              <w:rPr>
                <w:sz w:val="20"/>
              </w:rPr>
            </w:pPr>
            <w:r>
              <w:rPr>
                <w:sz w:val="20"/>
              </w:rPr>
              <w:t>asdadasd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asdasd</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Asdasd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as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asd</w:t>
            </w:r>
          </w:p>
          <w:p w:rsidR="00D7595C" w:rsidRDefault="000263F0" w:rsidP="00BE3ACF">
            <w:pPr>
              <w:pStyle w:val="TableParagraph"/>
              <w:rPr>
                <w:sz w:val="20"/>
              </w:rPr>
            </w:pPr>
            <w:r>
              <w:rPr>
                <w:sz w:val="20"/>
              </w:rPr>
              <w:t>asdas</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2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Immediate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asd</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ZendSpire Software Pvt.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asd</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asds</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