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31-Jul-2018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9853448000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contact@bigspire.com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78%</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Sdf</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31-Jul-2018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