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SANTHOSH KUMAR</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QA</w:t>
            </w:r>
          </w:p>
          <w:p w:rsidR="006D13A1" w:rsidRDefault="00416E11" w:rsidP="006D13A1">
            <w:pPr>
              <w:pStyle w:val="TableParagraph"/>
              <w:spacing w:before="108"/>
              <w:ind w:left="112"/>
            </w:pPr>
            <w:r>
              <w:t xml:space="preserve">Alfa Rubber </w:t>
            </w:r>
          </w:p>
          <w:p w:rsidR="008D2C1C" w:rsidRDefault="008D2C1C" w:rsidP="008D2C1C">
            <w:pPr>
              <w:pStyle w:val="TableParagraph"/>
              <w:spacing w:before="108"/>
              <w:ind w:left="112"/>
            </w:pPr>
            <w:r w:rsidRPr="008D2C1C">
              <w:t/>
            </w:r>
            <w:r w:rsidR="00C753C8">
              <w:t xml:space="preserve">, </w:t>
            </w:r>
            <w:r w:rsidR="00C753C8" w:rsidRPr="00C753C8">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04-Nov-2017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