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973" w:rsidRPr="00F3533F" w:rsidRDefault="00465973" w:rsidP="00D13A45">
      <w:pPr>
        <w:pStyle w:val="NoSpacing"/>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Impact of camp social environment and educational opportunitie</w:t>
      </w:r>
      <w:r w:rsidR="005B0EFF" w:rsidRPr="00F3533F">
        <w:rPr>
          <w:rFonts w:ascii="Times New Roman" w:hAnsi="Times New Roman" w:cs="Times New Roman"/>
          <w:b/>
          <w:sz w:val="24"/>
          <w:szCs w:val="24"/>
          <w:lang w:val="en-GB"/>
        </w:rPr>
        <w:t>s on gender-based v</w:t>
      </w:r>
      <w:r w:rsidRPr="00F3533F">
        <w:rPr>
          <w:rFonts w:ascii="Times New Roman" w:hAnsi="Times New Roman" w:cs="Times New Roman"/>
          <w:b/>
          <w:sz w:val="24"/>
          <w:szCs w:val="24"/>
          <w:lang w:val="en-GB"/>
        </w:rPr>
        <w:t>iolence</w:t>
      </w:r>
      <w:r w:rsidR="00CF54CA" w:rsidRPr="00F3533F">
        <w:rPr>
          <w:rFonts w:ascii="Times New Roman" w:hAnsi="Times New Roman" w:cs="Times New Roman"/>
          <w:b/>
          <w:sz w:val="24"/>
          <w:szCs w:val="24"/>
          <w:lang w:val="en-GB"/>
        </w:rPr>
        <w:t xml:space="preserve"> (GBV)</w:t>
      </w:r>
      <w:r w:rsidRPr="00F3533F">
        <w:rPr>
          <w:rFonts w:ascii="Times New Roman" w:hAnsi="Times New Roman" w:cs="Times New Roman"/>
          <w:b/>
          <w:sz w:val="24"/>
          <w:szCs w:val="24"/>
          <w:lang w:val="en-GB"/>
        </w:rPr>
        <w:t xml:space="preserve"> and social well-being among internally displaced women in Cross River North Senatorial District, Cross River State, Nigeria</w:t>
      </w: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By</w:t>
      </w:r>
    </w:p>
    <w:p w:rsidR="00465973" w:rsidRPr="00F3533F" w:rsidRDefault="00465973" w:rsidP="00D13A45">
      <w:pPr>
        <w:pStyle w:val="NoSpacing"/>
        <w:jc w:val="both"/>
        <w:rPr>
          <w:rFonts w:ascii="Times New Roman" w:hAnsi="Times New Roman" w:cs="Times New Roman"/>
          <w:sz w:val="24"/>
          <w:szCs w:val="24"/>
          <w:lang w:val="en-GB"/>
        </w:rPr>
      </w:pPr>
      <w:bookmarkStart w:id="0" w:name="_GoBack"/>
    </w:p>
    <w:p w:rsidR="00465973" w:rsidRPr="00F3533F" w:rsidRDefault="00465973" w:rsidP="00D13A45">
      <w:pPr>
        <w:pStyle w:val="NoSpacing"/>
        <w:jc w:val="both"/>
        <w:rPr>
          <w:rFonts w:ascii="Times New Roman" w:hAnsi="Times New Roman" w:cs="Times New Roman"/>
          <w:sz w:val="24"/>
          <w:szCs w:val="24"/>
          <w:lang w:val="en-GB"/>
        </w:rPr>
      </w:pPr>
      <w:proofErr w:type="spellStart"/>
      <w:r w:rsidRPr="00F3533F">
        <w:rPr>
          <w:rFonts w:ascii="Times New Roman" w:hAnsi="Times New Roman" w:cs="Times New Roman"/>
          <w:b/>
          <w:sz w:val="24"/>
          <w:szCs w:val="24"/>
          <w:lang w:val="en-GB"/>
        </w:rPr>
        <w:t>Okom</w:t>
      </w:r>
      <w:proofErr w:type="spellEnd"/>
      <w:r w:rsidRPr="00F3533F">
        <w:rPr>
          <w:rFonts w:ascii="Times New Roman" w:hAnsi="Times New Roman" w:cs="Times New Roman"/>
          <w:b/>
          <w:sz w:val="24"/>
          <w:szCs w:val="24"/>
          <w:lang w:val="en-GB"/>
        </w:rPr>
        <w:t xml:space="preserve">, Emmanuel </w:t>
      </w:r>
      <w:proofErr w:type="spellStart"/>
      <w:r w:rsidRPr="00F3533F">
        <w:rPr>
          <w:rFonts w:ascii="Times New Roman" w:hAnsi="Times New Roman" w:cs="Times New Roman"/>
          <w:b/>
          <w:sz w:val="24"/>
          <w:szCs w:val="24"/>
          <w:lang w:val="en-GB"/>
        </w:rPr>
        <w:t>Njor</w:t>
      </w:r>
      <w:proofErr w:type="spellEnd"/>
      <w:r w:rsidRPr="00F3533F">
        <w:rPr>
          <w:rFonts w:ascii="Times New Roman" w:hAnsi="Times New Roman" w:cs="Times New Roman"/>
          <w:b/>
          <w:sz w:val="24"/>
          <w:szCs w:val="24"/>
          <w:lang w:val="en-GB"/>
        </w:rPr>
        <w:t xml:space="preserve"> (PhD)</w:t>
      </w:r>
      <w:bookmarkEnd w:id="0"/>
      <w:r w:rsidRPr="00F3533F">
        <w:rPr>
          <w:rFonts w:ascii="Times New Roman" w:hAnsi="Times New Roman" w:cs="Times New Roman"/>
          <w:sz w:val="24"/>
          <w:szCs w:val="24"/>
          <w:lang w:val="en-GB"/>
        </w:rPr>
        <w:t xml:space="preserve">, </w:t>
      </w:r>
    </w:p>
    <w:p w:rsidR="00465973" w:rsidRPr="00F3533F" w:rsidRDefault="00465973" w:rsidP="00D13A45">
      <w:pPr>
        <w:pStyle w:val="NoSpacing"/>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Federal College of Education (Technical), </w:t>
      </w:r>
      <w:proofErr w:type="spellStart"/>
      <w:r w:rsidRPr="00F3533F">
        <w:rPr>
          <w:rFonts w:ascii="Times New Roman" w:hAnsi="Times New Roman" w:cs="Times New Roman"/>
          <w:sz w:val="24"/>
          <w:szCs w:val="24"/>
          <w:lang w:val="en-GB"/>
        </w:rPr>
        <w:t>Ekiadolor</w:t>
      </w:r>
      <w:proofErr w:type="spellEnd"/>
      <w:r w:rsidRPr="00F3533F">
        <w:rPr>
          <w:rFonts w:ascii="Times New Roman" w:hAnsi="Times New Roman" w:cs="Times New Roman"/>
          <w:sz w:val="24"/>
          <w:szCs w:val="24"/>
          <w:lang w:val="en-GB"/>
        </w:rPr>
        <w:t>, Benin, Edo State</w:t>
      </w:r>
    </w:p>
    <w:p w:rsidR="00465973" w:rsidRPr="00F3533F" w:rsidRDefault="00465973" w:rsidP="00D13A45">
      <w:pPr>
        <w:pStyle w:val="NoSpacing"/>
        <w:jc w:val="both"/>
        <w:rPr>
          <w:rFonts w:ascii="Times New Roman" w:hAnsi="Times New Roman" w:cs="Times New Roman"/>
          <w:sz w:val="24"/>
          <w:szCs w:val="24"/>
          <w:lang w:val="en-GB"/>
        </w:rPr>
      </w:pPr>
    </w:p>
    <w:p w:rsidR="00465973" w:rsidRPr="00F3533F" w:rsidRDefault="00EE6EAA" w:rsidP="00D13A45">
      <w:pPr>
        <w:pStyle w:val="NoSpacing"/>
        <w:jc w:val="both"/>
        <w:rPr>
          <w:rFonts w:ascii="Times New Roman" w:hAnsi="Times New Roman" w:cs="Times New Roman"/>
          <w:sz w:val="24"/>
          <w:szCs w:val="24"/>
          <w:lang w:val="en-GB"/>
        </w:rPr>
      </w:pPr>
      <w:proofErr w:type="spellStart"/>
      <w:r w:rsidRPr="00F3533F">
        <w:rPr>
          <w:rFonts w:ascii="Times New Roman" w:hAnsi="Times New Roman" w:cs="Times New Roman"/>
          <w:b/>
          <w:sz w:val="24"/>
          <w:szCs w:val="24"/>
          <w:lang w:val="en-GB"/>
        </w:rPr>
        <w:t>Aboh</w:t>
      </w:r>
      <w:proofErr w:type="spellEnd"/>
      <w:r w:rsidRPr="00F3533F">
        <w:rPr>
          <w:rFonts w:ascii="Times New Roman" w:hAnsi="Times New Roman" w:cs="Times New Roman"/>
          <w:b/>
          <w:sz w:val="24"/>
          <w:szCs w:val="24"/>
          <w:lang w:val="en-GB"/>
        </w:rPr>
        <w:t xml:space="preserve">, </w:t>
      </w:r>
      <w:proofErr w:type="spellStart"/>
      <w:r w:rsidRPr="00F3533F">
        <w:rPr>
          <w:rFonts w:ascii="Times New Roman" w:hAnsi="Times New Roman" w:cs="Times New Roman"/>
          <w:b/>
          <w:sz w:val="24"/>
          <w:szCs w:val="24"/>
          <w:lang w:val="en-GB"/>
        </w:rPr>
        <w:t>Fidelis</w:t>
      </w:r>
      <w:proofErr w:type="spellEnd"/>
      <w:r w:rsidRPr="00F3533F">
        <w:rPr>
          <w:rFonts w:ascii="Times New Roman" w:hAnsi="Times New Roman" w:cs="Times New Roman"/>
          <w:b/>
          <w:sz w:val="24"/>
          <w:szCs w:val="24"/>
          <w:lang w:val="en-GB"/>
        </w:rPr>
        <w:t xml:space="preserve"> </w:t>
      </w:r>
      <w:proofErr w:type="spellStart"/>
      <w:r w:rsidRPr="00F3533F">
        <w:rPr>
          <w:rFonts w:ascii="Times New Roman" w:hAnsi="Times New Roman" w:cs="Times New Roman"/>
          <w:b/>
          <w:sz w:val="24"/>
          <w:szCs w:val="24"/>
          <w:lang w:val="en-GB"/>
        </w:rPr>
        <w:t>Isomkwo</w:t>
      </w:r>
      <w:proofErr w:type="spellEnd"/>
      <w:r w:rsidRPr="00F3533F">
        <w:rPr>
          <w:rFonts w:ascii="Times New Roman" w:hAnsi="Times New Roman" w:cs="Times New Roman"/>
          <w:b/>
          <w:sz w:val="24"/>
          <w:szCs w:val="24"/>
          <w:lang w:val="en-GB"/>
        </w:rPr>
        <w:t xml:space="preserve"> (Ph</w:t>
      </w:r>
      <w:r w:rsidR="00465973" w:rsidRPr="00F3533F">
        <w:rPr>
          <w:rFonts w:ascii="Times New Roman" w:hAnsi="Times New Roman" w:cs="Times New Roman"/>
          <w:b/>
          <w:sz w:val="24"/>
          <w:szCs w:val="24"/>
          <w:lang w:val="en-GB"/>
        </w:rPr>
        <w:t>D)</w:t>
      </w:r>
      <w:r w:rsidR="00465973" w:rsidRPr="00F3533F">
        <w:rPr>
          <w:rFonts w:ascii="Times New Roman" w:hAnsi="Times New Roman" w:cs="Times New Roman"/>
          <w:sz w:val="24"/>
          <w:szCs w:val="24"/>
          <w:lang w:val="en-GB"/>
        </w:rPr>
        <w:t>,</w:t>
      </w:r>
    </w:p>
    <w:p w:rsidR="00465973" w:rsidRPr="00F3533F" w:rsidRDefault="00465973" w:rsidP="00D13A45">
      <w:pPr>
        <w:pStyle w:val="NoSpacing"/>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 Department of Sociology, University of </w:t>
      </w:r>
      <w:proofErr w:type="spellStart"/>
      <w:r w:rsidRPr="00F3533F">
        <w:rPr>
          <w:rFonts w:ascii="Times New Roman" w:hAnsi="Times New Roman" w:cs="Times New Roman"/>
          <w:sz w:val="24"/>
          <w:szCs w:val="24"/>
          <w:lang w:val="en-GB"/>
        </w:rPr>
        <w:t>Calabar</w:t>
      </w:r>
      <w:proofErr w:type="spellEnd"/>
      <w:r w:rsidRPr="00F3533F">
        <w:rPr>
          <w:rFonts w:ascii="Times New Roman" w:hAnsi="Times New Roman" w:cs="Times New Roman"/>
          <w:sz w:val="24"/>
          <w:szCs w:val="24"/>
          <w:lang w:val="en-GB"/>
        </w:rPr>
        <w:t xml:space="preserve">, </w:t>
      </w:r>
      <w:proofErr w:type="spellStart"/>
      <w:r w:rsidRPr="00F3533F">
        <w:rPr>
          <w:rFonts w:ascii="Times New Roman" w:hAnsi="Times New Roman" w:cs="Times New Roman"/>
          <w:sz w:val="24"/>
          <w:szCs w:val="24"/>
          <w:lang w:val="en-GB"/>
        </w:rPr>
        <w:t>Calabar</w:t>
      </w:r>
      <w:proofErr w:type="spellEnd"/>
    </w:p>
    <w:p w:rsidR="00EE6EAA" w:rsidRPr="00F3533F" w:rsidRDefault="00EE6EAA" w:rsidP="00D13A45">
      <w:pPr>
        <w:pStyle w:val="NoSpacing"/>
        <w:jc w:val="both"/>
        <w:rPr>
          <w:rFonts w:ascii="Times New Roman" w:hAnsi="Times New Roman" w:cs="Times New Roman"/>
          <w:sz w:val="24"/>
          <w:szCs w:val="24"/>
          <w:lang w:val="en-GB"/>
        </w:rPr>
      </w:pPr>
    </w:p>
    <w:p w:rsidR="00EE6EAA" w:rsidRPr="00F3533F" w:rsidRDefault="00EE6EAA" w:rsidP="00D13A45">
      <w:pPr>
        <w:pStyle w:val="NoSpacing"/>
        <w:jc w:val="both"/>
        <w:rPr>
          <w:rFonts w:ascii="Times New Roman" w:hAnsi="Times New Roman" w:cs="Times New Roman"/>
          <w:sz w:val="24"/>
          <w:szCs w:val="24"/>
          <w:lang w:val="en-GB"/>
        </w:rPr>
      </w:pPr>
      <w:proofErr w:type="spellStart"/>
      <w:r w:rsidRPr="00F3533F">
        <w:rPr>
          <w:rFonts w:ascii="Times New Roman" w:hAnsi="Times New Roman" w:cs="Times New Roman"/>
          <w:b/>
          <w:bCs/>
          <w:iCs/>
          <w:color w:val="000000"/>
          <w:sz w:val="24"/>
          <w:szCs w:val="24"/>
          <w:lang w:val="en-GB"/>
        </w:rPr>
        <w:t>Ngele</w:t>
      </w:r>
      <w:proofErr w:type="spellEnd"/>
      <w:r w:rsidRPr="00F3533F">
        <w:rPr>
          <w:rFonts w:ascii="Times New Roman" w:hAnsi="Times New Roman" w:cs="Times New Roman"/>
          <w:b/>
          <w:bCs/>
          <w:iCs/>
          <w:color w:val="000000"/>
          <w:sz w:val="24"/>
          <w:szCs w:val="24"/>
          <w:lang w:val="en-GB"/>
        </w:rPr>
        <w:t xml:space="preserve">, </w:t>
      </w:r>
      <w:r w:rsidRPr="00F3533F">
        <w:rPr>
          <w:rFonts w:ascii="Times New Roman" w:hAnsi="Times New Roman" w:cs="Times New Roman"/>
          <w:b/>
          <w:sz w:val="24"/>
          <w:szCs w:val="24"/>
          <w:lang w:val="en-GB"/>
        </w:rPr>
        <w:t xml:space="preserve">Emmanuel Paul </w:t>
      </w:r>
      <w:bookmarkStart w:id="1" w:name="_Hlk140066967"/>
      <w:r w:rsidR="00CF54CA" w:rsidRPr="00F3533F">
        <w:rPr>
          <w:rFonts w:ascii="Times New Roman" w:hAnsi="Times New Roman" w:cs="Times New Roman"/>
          <w:b/>
          <w:sz w:val="24"/>
          <w:szCs w:val="24"/>
          <w:lang w:val="en-GB"/>
        </w:rPr>
        <w:t>(Ph</w:t>
      </w:r>
      <w:r w:rsidRPr="00F3533F">
        <w:rPr>
          <w:rFonts w:ascii="Times New Roman" w:hAnsi="Times New Roman" w:cs="Times New Roman"/>
          <w:b/>
          <w:sz w:val="24"/>
          <w:szCs w:val="24"/>
          <w:lang w:val="en-GB"/>
        </w:rPr>
        <w:t>D)</w:t>
      </w:r>
      <w:bookmarkEnd w:id="1"/>
      <w:r w:rsidRPr="00F3533F">
        <w:rPr>
          <w:rFonts w:ascii="Times New Roman" w:hAnsi="Times New Roman" w:cs="Times New Roman"/>
          <w:sz w:val="24"/>
          <w:szCs w:val="24"/>
          <w:lang w:val="en-GB"/>
        </w:rPr>
        <w:t xml:space="preserve">, </w:t>
      </w:r>
    </w:p>
    <w:p w:rsidR="00EE6EAA" w:rsidRPr="00F3533F" w:rsidRDefault="00EE6EAA" w:rsidP="00D13A45">
      <w:pPr>
        <w:pStyle w:val="NoSpacing"/>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Department of Sociology, University of </w:t>
      </w:r>
      <w:proofErr w:type="spellStart"/>
      <w:r w:rsidRPr="00F3533F">
        <w:rPr>
          <w:rFonts w:ascii="Times New Roman" w:hAnsi="Times New Roman" w:cs="Times New Roman"/>
          <w:sz w:val="24"/>
          <w:szCs w:val="24"/>
          <w:lang w:val="en-GB"/>
        </w:rPr>
        <w:t>Calabar</w:t>
      </w:r>
      <w:proofErr w:type="spellEnd"/>
      <w:r w:rsidRPr="00F3533F">
        <w:rPr>
          <w:rFonts w:ascii="Times New Roman" w:hAnsi="Times New Roman" w:cs="Times New Roman"/>
          <w:sz w:val="24"/>
          <w:szCs w:val="24"/>
          <w:lang w:val="en-GB"/>
        </w:rPr>
        <w:t xml:space="preserve">, </w:t>
      </w:r>
      <w:proofErr w:type="spellStart"/>
      <w:r w:rsidRPr="00F3533F">
        <w:rPr>
          <w:rFonts w:ascii="Times New Roman" w:hAnsi="Times New Roman" w:cs="Times New Roman"/>
          <w:sz w:val="24"/>
          <w:szCs w:val="24"/>
          <w:lang w:val="en-GB"/>
        </w:rPr>
        <w:t>Calabar</w:t>
      </w:r>
      <w:proofErr w:type="spellEnd"/>
    </w:p>
    <w:p w:rsidR="00465973" w:rsidRPr="00F3533F" w:rsidRDefault="00465973" w:rsidP="00D13A45">
      <w:pPr>
        <w:pStyle w:val="NoSpacing"/>
        <w:jc w:val="both"/>
        <w:rPr>
          <w:rFonts w:ascii="Times New Roman" w:eastAsia="Times New Roman" w:hAnsi="Times New Roman" w:cs="Times New Roman"/>
          <w:b/>
          <w:bCs/>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5B0EFF" w:rsidRPr="00F3533F" w:rsidRDefault="005B0EFF" w:rsidP="00D13A45">
      <w:pPr>
        <w:pStyle w:val="NoSpacing"/>
        <w:jc w:val="both"/>
        <w:rPr>
          <w:rStyle w:val="Strong"/>
          <w:rFonts w:ascii="Times New Roman" w:hAnsi="Times New Roman" w:cs="Times New Roman"/>
          <w:sz w:val="24"/>
          <w:szCs w:val="24"/>
          <w:lang w:val="en-GB"/>
        </w:rPr>
      </w:pPr>
    </w:p>
    <w:p w:rsidR="005B0EFF" w:rsidRPr="00F3533F" w:rsidRDefault="005B0EFF"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465973" w:rsidRPr="00F3533F" w:rsidRDefault="00465973" w:rsidP="00D13A45">
      <w:pPr>
        <w:pStyle w:val="NoSpacing"/>
        <w:jc w:val="both"/>
        <w:rPr>
          <w:rStyle w:val="Strong"/>
          <w:rFonts w:ascii="Times New Roman" w:hAnsi="Times New Roman" w:cs="Times New Roman"/>
          <w:sz w:val="24"/>
          <w:szCs w:val="24"/>
          <w:lang w:val="en-GB"/>
        </w:rPr>
      </w:pPr>
    </w:p>
    <w:p w:rsidR="00586368" w:rsidRPr="00F3533F" w:rsidRDefault="00586368" w:rsidP="00D13A45">
      <w:pPr>
        <w:pStyle w:val="NoSpacing"/>
        <w:jc w:val="both"/>
        <w:rPr>
          <w:rStyle w:val="Strong"/>
          <w:rFonts w:ascii="Times New Roman" w:hAnsi="Times New Roman" w:cs="Times New Roman"/>
          <w:sz w:val="24"/>
          <w:szCs w:val="24"/>
          <w:lang w:val="en-GB"/>
        </w:rPr>
      </w:pPr>
    </w:p>
    <w:p w:rsidR="005A19E4" w:rsidRPr="00F3533F" w:rsidRDefault="005A19E4" w:rsidP="005A19E4">
      <w:pPr>
        <w:pStyle w:val="NoSpacing"/>
        <w:jc w:val="both"/>
        <w:rPr>
          <w:rStyle w:val="Strong"/>
          <w:rFonts w:ascii="Times New Roman" w:hAnsi="Times New Roman" w:cs="Times New Roman"/>
          <w:sz w:val="24"/>
          <w:szCs w:val="24"/>
          <w:lang w:val="en-GB"/>
        </w:rPr>
      </w:pPr>
      <w:r w:rsidRPr="00F3533F">
        <w:rPr>
          <w:rStyle w:val="Strong"/>
          <w:rFonts w:ascii="Times New Roman" w:hAnsi="Times New Roman" w:cs="Times New Roman"/>
          <w:sz w:val="24"/>
          <w:szCs w:val="24"/>
          <w:lang w:val="en-GB"/>
        </w:rPr>
        <w:lastRenderedPageBreak/>
        <w:t>ABSTRACT</w:t>
      </w:r>
    </w:p>
    <w:p w:rsidR="006762FC" w:rsidRPr="006762FC" w:rsidRDefault="006762FC" w:rsidP="006762FC">
      <w:pPr>
        <w:jc w:val="both"/>
      </w:pPr>
      <w:r w:rsidRPr="00F3533F">
        <w:rPr>
          <w:lang w:val="en-GB"/>
        </w:rPr>
        <w:t xml:space="preserve">The frequency and intensity of violence in Northern Nigeria along with humanitarian crises, which have filtered down South, have led to the establishment of various camps there and in Cross River North Senatorial District. These camps provide temporary shelter to vulnerable groups, particularly women and children. However, certain conditions within the camps have heightened residents’ vulnerability to gender-based violence (GBV). Approximately 200,000 internally displaced persons (IDPs) are in Cross River State, with around 27,000 residing in </w:t>
      </w:r>
      <w:proofErr w:type="spellStart"/>
      <w:r w:rsidRPr="00F3533F">
        <w:rPr>
          <w:lang w:val="en-GB"/>
        </w:rPr>
        <w:t>Adagom</w:t>
      </w:r>
      <w:proofErr w:type="spellEnd"/>
      <w:r w:rsidRPr="00F3533F">
        <w:rPr>
          <w:lang w:val="en-GB"/>
        </w:rPr>
        <w:t xml:space="preserve">, </w:t>
      </w:r>
      <w:proofErr w:type="spellStart"/>
      <w:r w:rsidRPr="00F3533F">
        <w:rPr>
          <w:lang w:val="en-GB"/>
        </w:rPr>
        <w:t>Ukende</w:t>
      </w:r>
      <w:proofErr w:type="spellEnd"/>
      <w:r w:rsidRPr="00F3533F">
        <w:rPr>
          <w:lang w:val="en-GB"/>
        </w:rPr>
        <w:t xml:space="preserve">, and </w:t>
      </w:r>
      <w:proofErr w:type="spellStart"/>
      <w:r w:rsidRPr="00F3533F">
        <w:rPr>
          <w:lang w:val="en-GB"/>
        </w:rPr>
        <w:t>Obanliku</w:t>
      </w:r>
      <w:proofErr w:type="spellEnd"/>
      <w:r w:rsidRPr="00F3533F">
        <w:rPr>
          <w:lang w:val="en-GB"/>
        </w:rPr>
        <w:t xml:space="preserve"> camps. Thi</w:t>
      </w:r>
      <w:r w:rsidR="005E765D">
        <w:rPr>
          <w:lang w:val="en-GB"/>
        </w:rPr>
        <w:t>s study utilized a mixed-method</w:t>
      </w:r>
      <w:r w:rsidRPr="00F3533F">
        <w:rPr>
          <w:lang w:val="en-GB"/>
        </w:rPr>
        <w:t xml:space="preserve"> approach to gather and analyze quantitative and qualitative data on camp conditions and their impact on GBV.</w:t>
      </w:r>
      <w:r w:rsidRPr="006762FC">
        <w:t xml:space="preserve"> </w:t>
      </w:r>
      <w:r>
        <w:t>Findings reveal</w:t>
      </w:r>
      <w:r w:rsidRPr="005A19E4">
        <w:t xml:space="preserve"> a significant relationship between camp environment and GBV (</w:t>
      </w:r>
      <w:r w:rsidRPr="005A19E4">
        <w:rPr>
          <w:rStyle w:val="katex-mathml"/>
          <w:rFonts w:eastAsia="Calibri"/>
        </w:rPr>
        <w:t>χ</w:t>
      </w:r>
      <w:r w:rsidRPr="005A19E4">
        <w:rPr>
          <w:rStyle w:val="katex-mathml"/>
          <w:rFonts w:eastAsia="Calibri"/>
          <w:vertAlign w:val="superscript"/>
        </w:rPr>
        <w:t>2</w:t>
      </w:r>
      <w:r w:rsidRPr="005A19E4">
        <w:rPr>
          <w:rStyle w:val="katex-mathml"/>
          <w:rFonts w:eastAsia="Calibri"/>
        </w:rPr>
        <w:t>=28.21</w:t>
      </w:r>
      <w:r w:rsidRPr="005A19E4">
        <w:t>, p &lt; 0.05), while the correlation between educational access and GBV was weak and non-significant (</w:t>
      </w:r>
      <w:r w:rsidRPr="005A19E4">
        <w:rPr>
          <w:rStyle w:val="katex-mathml"/>
          <w:rFonts w:eastAsia="Calibri"/>
        </w:rPr>
        <w:t>r=0.034</w:t>
      </w:r>
      <w:r w:rsidRPr="005A19E4">
        <w:t xml:space="preserve">, p = 0.496). Regression analysis indicated minimal influence on social well-being (R² = 0.0014), underscoring the need for enhanced camp infrastructure and educational resources. </w:t>
      </w:r>
      <w:r w:rsidRPr="005A19E4">
        <w:rPr>
          <w:lang w:val="en-GB"/>
        </w:rPr>
        <w:t>Qualitative insights further contextualized these issues.</w:t>
      </w:r>
      <w:r>
        <w:rPr>
          <w:lang w:val="en-GB"/>
        </w:rPr>
        <w:t xml:space="preserve"> Among others, </w:t>
      </w:r>
      <w:r w:rsidRPr="00F3533F">
        <w:rPr>
          <w:lang w:val="en-GB"/>
        </w:rPr>
        <w:t>the study recommends government incentives to improve camp environments, enhance educational access, and address GBV for improved safety and well-being.</w:t>
      </w:r>
      <w:r>
        <w:rPr>
          <w:lang w:val="en-GB"/>
        </w:rPr>
        <w:t xml:space="preserve"> (Word count: 182</w:t>
      </w:r>
      <w:r w:rsidRPr="00F3533F">
        <w:rPr>
          <w:lang w:val="en-GB"/>
        </w:rPr>
        <w:t>)</w:t>
      </w:r>
    </w:p>
    <w:p w:rsidR="00465973" w:rsidRPr="00F3533F" w:rsidRDefault="006762FC" w:rsidP="00D13A45">
      <w:pPr>
        <w:pStyle w:val="NoSpacing"/>
        <w:jc w:val="both"/>
        <w:rPr>
          <w:rFonts w:ascii="Times New Roman" w:hAnsi="Times New Roman" w:cs="Times New Roman"/>
          <w:sz w:val="24"/>
          <w:szCs w:val="24"/>
          <w:lang w:val="en-GB"/>
        </w:rPr>
      </w:pPr>
      <w:r w:rsidRPr="00F3533F">
        <w:rPr>
          <w:rFonts w:ascii="Times New Roman" w:hAnsi="Times New Roman" w:cs="Times New Roman"/>
          <w:b/>
          <w:sz w:val="24"/>
          <w:szCs w:val="24"/>
          <w:lang w:val="en-GB"/>
        </w:rPr>
        <w:t>Keywords: camp social environment, educational opportunities, gender-based violence, social well-being, Internally Displaced Persons (IDPs)</w:t>
      </w: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747DD3" w:rsidRPr="00F3533F" w:rsidRDefault="00747DD3" w:rsidP="00D13A45">
      <w:pPr>
        <w:pStyle w:val="NoSpacing"/>
        <w:jc w:val="both"/>
        <w:rPr>
          <w:rFonts w:ascii="Times New Roman" w:hAnsi="Times New Roman" w:cs="Times New Roman"/>
          <w:b/>
          <w:sz w:val="24"/>
          <w:szCs w:val="24"/>
          <w:lang w:val="en-GB"/>
        </w:rPr>
      </w:pPr>
    </w:p>
    <w:p w:rsidR="00747DD3" w:rsidRPr="00F3533F" w:rsidRDefault="00747DD3" w:rsidP="00D13A45">
      <w:pPr>
        <w:pStyle w:val="NoSpacing"/>
        <w:jc w:val="both"/>
        <w:rPr>
          <w:rFonts w:ascii="Times New Roman" w:hAnsi="Times New Roman" w:cs="Times New Roman"/>
          <w:b/>
          <w:sz w:val="24"/>
          <w:szCs w:val="24"/>
          <w:lang w:val="en-GB"/>
        </w:rPr>
      </w:pPr>
    </w:p>
    <w:p w:rsidR="00747DD3" w:rsidRDefault="00747DD3" w:rsidP="00D13A45">
      <w:pPr>
        <w:pStyle w:val="NoSpacing"/>
        <w:jc w:val="both"/>
        <w:rPr>
          <w:rFonts w:ascii="Times New Roman" w:hAnsi="Times New Roman" w:cs="Times New Roman"/>
          <w:b/>
          <w:sz w:val="24"/>
          <w:szCs w:val="24"/>
          <w:lang w:val="en-GB"/>
        </w:rPr>
      </w:pPr>
    </w:p>
    <w:p w:rsidR="006762FC" w:rsidRDefault="006762FC" w:rsidP="00D13A45">
      <w:pPr>
        <w:pStyle w:val="NoSpacing"/>
        <w:jc w:val="both"/>
        <w:rPr>
          <w:rFonts w:ascii="Times New Roman" w:hAnsi="Times New Roman" w:cs="Times New Roman"/>
          <w:b/>
          <w:sz w:val="24"/>
          <w:szCs w:val="24"/>
          <w:lang w:val="en-GB"/>
        </w:rPr>
      </w:pPr>
    </w:p>
    <w:p w:rsidR="006762FC" w:rsidRDefault="006762FC" w:rsidP="00D13A45">
      <w:pPr>
        <w:pStyle w:val="NoSpacing"/>
        <w:jc w:val="both"/>
        <w:rPr>
          <w:rFonts w:ascii="Times New Roman" w:hAnsi="Times New Roman" w:cs="Times New Roman"/>
          <w:b/>
          <w:sz w:val="24"/>
          <w:szCs w:val="24"/>
          <w:lang w:val="en-GB"/>
        </w:rPr>
      </w:pPr>
    </w:p>
    <w:p w:rsidR="006762FC" w:rsidRDefault="006762FC" w:rsidP="00D13A45">
      <w:pPr>
        <w:pStyle w:val="NoSpacing"/>
        <w:jc w:val="both"/>
        <w:rPr>
          <w:rFonts w:ascii="Times New Roman" w:hAnsi="Times New Roman" w:cs="Times New Roman"/>
          <w:b/>
          <w:sz w:val="24"/>
          <w:szCs w:val="24"/>
          <w:lang w:val="en-GB"/>
        </w:rPr>
      </w:pPr>
    </w:p>
    <w:p w:rsidR="006762FC" w:rsidRPr="00F3533F" w:rsidRDefault="006762FC" w:rsidP="00D13A45">
      <w:pPr>
        <w:pStyle w:val="NoSpacing"/>
        <w:jc w:val="both"/>
        <w:rPr>
          <w:rFonts w:ascii="Times New Roman" w:hAnsi="Times New Roman" w:cs="Times New Roman"/>
          <w:b/>
          <w:sz w:val="24"/>
          <w:szCs w:val="24"/>
          <w:lang w:val="en-GB"/>
        </w:rPr>
      </w:pPr>
    </w:p>
    <w:p w:rsidR="00747DD3" w:rsidRPr="00F3533F" w:rsidRDefault="00747DD3" w:rsidP="00D13A45">
      <w:pPr>
        <w:pStyle w:val="NoSpacing"/>
        <w:jc w:val="both"/>
        <w:rPr>
          <w:rFonts w:ascii="Times New Roman" w:hAnsi="Times New Roman" w:cs="Times New Roman"/>
          <w:b/>
          <w:sz w:val="24"/>
          <w:szCs w:val="24"/>
          <w:lang w:val="en-GB"/>
        </w:rPr>
      </w:pPr>
    </w:p>
    <w:p w:rsidR="00465973" w:rsidRPr="00F3533F" w:rsidRDefault="00465973" w:rsidP="00D13A45">
      <w:pPr>
        <w:pStyle w:val="NoSpacing"/>
        <w:jc w:val="both"/>
        <w:rPr>
          <w:rFonts w:ascii="Times New Roman" w:hAnsi="Times New Roman" w:cs="Times New Roman"/>
          <w:b/>
          <w:sz w:val="24"/>
          <w:szCs w:val="24"/>
          <w:lang w:val="en-GB"/>
        </w:rPr>
      </w:pPr>
    </w:p>
    <w:p w:rsidR="00586368" w:rsidRPr="00F3533F" w:rsidRDefault="00586368" w:rsidP="00D13A45">
      <w:pPr>
        <w:pStyle w:val="NoSpacing"/>
        <w:jc w:val="both"/>
        <w:rPr>
          <w:rFonts w:ascii="Times New Roman" w:hAnsi="Times New Roman" w:cs="Times New Roman"/>
          <w:b/>
          <w:sz w:val="24"/>
          <w:szCs w:val="24"/>
          <w:lang w:val="en-GB"/>
        </w:rPr>
      </w:pPr>
    </w:p>
    <w:p w:rsidR="00465973" w:rsidRPr="00F3533F" w:rsidRDefault="00465973"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lastRenderedPageBreak/>
        <w:t>INTRODUCTION</w:t>
      </w:r>
    </w:p>
    <w:p w:rsidR="00465973" w:rsidRPr="00F3533F" w:rsidRDefault="00465973"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This study aimed at exploring how the camp social environment and educational opportunities influence GBV and social well-being among internally displaced women. By analyzing these factors, the research sought to provide insights that can inform policy and practice, to enhance the support and protection of displaced women in Cross River State. </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Internally displaced persons (IDPs) often face numerous challenges, including increased vulnerability to gender-based violence (GBV) and compromised social well-being. This study focuses on the impact of the camp social environment and educational opportunities on GBV and social well-being among internally displaced women in the Cross River North Senatorial District, Cross River State, Nigeria. With over 27,000 IDPs residing in the </w:t>
      </w:r>
      <w:proofErr w:type="spellStart"/>
      <w:r w:rsidRPr="00F3533F">
        <w:rPr>
          <w:rFonts w:ascii="Times New Roman" w:hAnsi="Times New Roman" w:cs="Times New Roman"/>
          <w:sz w:val="24"/>
          <w:szCs w:val="24"/>
          <w:lang w:val="en-GB"/>
        </w:rPr>
        <w:t>Adagom</w:t>
      </w:r>
      <w:proofErr w:type="spellEnd"/>
      <w:r w:rsidRPr="00F3533F">
        <w:rPr>
          <w:rFonts w:ascii="Times New Roman" w:hAnsi="Times New Roman" w:cs="Times New Roman"/>
          <w:sz w:val="24"/>
          <w:szCs w:val="24"/>
          <w:lang w:val="en-GB"/>
        </w:rPr>
        <w:t xml:space="preserve">, </w:t>
      </w:r>
      <w:proofErr w:type="spellStart"/>
      <w:r w:rsidRPr="00F3533F">
        <w:rPr>
          <w:rFonts w:ascii="Times New Roman" w:hAnsi="Times New Roman" w:cs="Times New Roman"/>
          <w:sz w:val="24"/>
          <w:szCs w:val="24"/>
          <w:lang w:val="en-GB"/>
        </w:rPr>
        <w:t>Ukende</w:t>
      </w:r>
      <w:proofErr w:type="spellEnd"/>
      <w:r w:rsidRPr="00F3533F">
        <w:rPr>
          <w:rFonts w:ascii="Times New Roman" w:hAnsi="Times New Roman" w:cs="Times New Roman"/>
          <w:sz w:val="24"/>
          <w:szCs w:val="24"/>
          <w:lang w:val="en-GB"/>
        </w:rPr>
        <w:t xml:space="preserve">, and </w:t>
      </w:r>
      <w:proofErr w:type="spellStart"/>
      <w:r w:rsidRPr="00F3533F">
        <w:rPr>
          <w:rFonts w:ascii="Times New Roman" w:hAnsi="Times New Roman" w:cs="Times New Roman"/>
          <w:sz w:val="24"/>
          <w:szCs w:val="24"/>
          <w:lang w:val="en-GB"/>
        </w:rPr>
        <w:t>Obanliku</w:t>
      </w:r>
      <w:proofErr w:type="spellEnd"/>
      <w:r w:rsidRPr="00F3533F">
        <w:rPr>
          <w:rFonts w:ascii="Times New Roman" w:hAnsi="Times New Roman" w:cs="Times New Roman"/>
          <w:sz w:val="24"/>
          <w:szCs w:val="24"/>
          <w:lang w:val="en-GB"/>
        </w:rPr>
        <w:t xml:space="preserve"> settlements, understanding the interplay between camp environments and educational access is crucial for developing effective interventions to improve the quality of life for these women (UNHCR, 2023).</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Gender-based violence remains a pervasive issue in displacement settings, exacerbated by the instability and lack of resources typical of such environments. Women in IDP camps are often at heightened risk of various forms of GBV, including sexual exploitation and domestic violence, due to the breakdown of traditional protective structures and inadequate support systems (</w:t>
      </w:r>
      <w:proofErr w:type="spellStart"/>
      <w:r w:rsidRPr="00F3533F">
        <w:rPr>
          <w:rFonts w:ascii="Times New Roman" w:hAnsi="Times New Roman" w:cs="Times New Roman"/>
          <w:sz w:val="24"/>
          <w:szCs w:val="24"/>
          <w:lang w:val="en-GB"/>
        </w:rPr>
        <w:t>Mastrorillo</w:t>
      </w:r>
      <w:proofErr w:type="spellEnd"/>
      <w:r w:rsidRPr="00F3533F">
        <w:rPr>
          <w:rFonts w:ascii="Times New Roman" w:hAnsi="Times New Roman" w:cs="Times New Roman"/>
          <w:sz w:val="24"/>
          <w:szCs w:val="24"/>
          <w:lang w:val="en-GB"/>
        </w:rPr>
        <w:t xml:space="preserve"> et al., 2016). The camp social environment—encompassing factors such as security, community cohesion, and the availability of support services—plays a significant role in shaping the experiences of displaced women (</w:t>
      </w:r>
      <w:proofErr w:type="spellStart"/>
      <w:r w:rsidRPr="00F3533F">
        <w:rPr>
          <w:rFonts w:ascii="Times New Roman" w:hAnsi="Times New Roman" w:cs="Times New Roman"/>
          <w:sz w:val="24"/>
          <w:szCs w:val="24"/>
          <w:lang w:val="en-GB"/>
        </w:rPr>
        <w:t>Siddiqi</w:t>
      </w:r>
      <w:proofErr w:type="spellEnd"/>
      <w:r w:rsidRPr="00F3533F">
        <w:rPr>
          <w:rFonts w:ascii="Times New Roman" w:hAnsi="Times New Roman" w:cs="Times New Roman"/>
          <w:sz w:val="24"/>
          <w:szCs w:val="24"/>
          <w:lang w:val="en-GB"/>
        </w:rPr>
        <w:t xml:space="preserve"> &amp; Jansen, 2020).</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Educational opportunities are also a critical factor in mitigating the negative impacts of displacement. Access to education can empower women, provide them with skills and knowledge, and contribute to their overall well-being (Miller et al., 2019). However, displaced populations often face barriers to education, including limited infrastructure, lack of resources, </w:t>
      </w:r>
      <w:r w:rsidRPr="00F3533F">
        <w:rPr>
          <w:rFonts w:ascii="Times New Roman" w:hAnsi="Times New Roman" w:cs="Times New Roman"/>
          <w:sz w:val="24"/>
          <w:szCs w:val="24"/>
          <w:lang w:val="en-GB"/>
        </w:rPr>
        <w:lastRenderedPageBreak/>
        <w:t>and cultural barriers, which can exacerbate vulnerabilities and limit social and economic opportunities (Al-</w:t>
      </w:r>
      <w:proofErr w:type="spellStart"/>
      <w:r w:rsidRPr="00F3533F">
        <w:rPr>
          <w:rFonts w:ascii="Times New Roman" w:hAnsi="Times New Roman" w:cs="Times New Roman"/>
          <w:sz w:val="24"/>
          <w:szCs w:val="24"/>
          <w:lang w:val="en-GB"/>
        </w:rPr>
        <w:t>Hanawi</w:t>
      </w:r>
      <w:proofErr w:type="spellEnd"/>
      <w:r w:rsidRPr="00F3533F">
        <w:rPr>
          <w:rFonts w:ascii="Times New Roman" w:hAnsi="Times New Roman" w:cs="Times New Roman"/>
          <w:sz w:val="24"/>
          <w:szCs w:val="24"/>
          <w:lang w:val="en-GB"/>
        </w:rPr>
        <w:t xml:space="preserve"> et al., 2021).</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The camp social environment is a critical determinant of the well-being of displaced individuals, particularly women. The physical and social conditions in IDP camps, such as security, infrastructure, and community cohesion, profoundly impact the incidence of gender-based violence (GBV) and overall social well-being. Poorly managed camps with inadequate security measures and limited resources often experience higher rates of violence and distress among their inhabitants (</w:t>
      </w:r>
      <w:proofErr w:type="spellStart"/>
      <w:r w:rsidRPr="00F3533F">
        <w:rPr>
          <w:rFonts w:ascii="Times New Roman" w:hAnsi="Times New Roman" w:cs="Times New Roman"/>
          <w:sz w:val="24"/>
          <w:szCs w:val="24"/>
          <w:lang w:val="en-GB"/>
        </w:rPr>
        <w:t>Schwerdtle</w:t>
      </w:r>
      <w:proofErr w:type="spellEnd"/>
      <w:r w:rsidRPr="00F3533F">
        <w:rPr>
          <w:rFonts w:ascii="Times New Roman" w:hAnsi="Times New Roman" w:cs="Times New Roman"/>
          <w:sz w:val="24"/>
          <w:szCs w:val="24"/>
          <w:lang w:val="en-GB"/>
        </w:rPr>
        <w:t xml:space="preserve"> et al., 2018). For example, studies have shown that the prevalence of GBV in IDP camps is significantly influenced by the level of camp security and the presence of support services. In camps where security is lax, women are more likely to experience violence due to the increased presence of opportunistic perpetrators and the lack of protective measures (</w:t>
      </w:r>
      <w:proofErr w:type="spellStart"/>
      <w:r w:rsidRPr="00F3533F">
        <w:rPr>
          <w:rFonts w:ascii="Times New Roman" w:hAnsi="Times New Roman" w:cs="Times New Roman"/>
          <w:sz w:val="24"/>
          <w:szCs w:val="24"/>
          <w:lang w:val="en-GB"/>
        </w:rPr>
        <w:t>Mastrorillo</w:t>
      </w:r>
      <w:proofErr w:type="spellEnd"/>
      <w:r w:rsidRPr="00F3533F">
        <w:rPr>
          <w:rFonts w:ascii="Times New Roman" w:hAnsi="Times New Roman" w:cs="Times New Roman"/>
          <w:sz w:val="24"/>
          <w:szCs w:val="24"/>
          <w:lang w:val="en-GB"/>
        </w:rPr>
        <w:t xml:space="preserve"> et al., 2016). Conversely, camps that prioritize security and have robust community support structures tend to report lower instances of GBV (</w:t>
      </w:r>
      <w:proofErr w:type="spellStart"/>
      <w:r w:rsidRPr="00F3533F">
        <w:rPr>
          <w:rFonts w:ascii="Times New Roman" w:hAnsi="Times New Roman" w:cs="Times New Roman"/>
          <w:sz w:val="24"/>
          <w:szCs w:val="24"/>
          <w:lang w:val="en-GB"/>
        </w:rPr>
        <w:t>Siddiqi</w:t>
      </w:r>
      <w:proofErr w:type="spellEnd"/>
      <w:r w:rsidRPr="00F3533F">
        <w:rPr>
          <w:rFonts w:ascii="Times New Roman" w:hAnsi="Times New Roman" w:cs="Times New Roman"/>
          <w:sz w:val="24"/>
          <w:szCs w:val="24"/>
          <w:lang w:val="en-GB"/>
        </w:rPr>
        <w:t xml:space="preserve"> &amp; Jansen, 2020).</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Community cohesion also plays a vital role in the social environment of IDP camps. Strong social networks and supportive community relationships can provide protective buffers against violence and promote a sense of belonging and security (Rogers et al., 2022). </w:t>
      </w:r>
      <w:proofErr w:type="gramStart"/>
      <w:r w:rsidRPr="00F3533F">
        <w:rPr>
          <w:rFonts w:ascii="Times New Roman" w:hAnsi="Times New Roman" w:cs="Times New Roman"/>
          <w:sz w:val="24"/>
          <w:szCs w:val="24"/>
          <w:lang w:val="en-GB"/>
        </w:rPr>
        <w:t>When displaced individuals have access to community-based support and participatory decision-making processes, their resilience and overall well-being improve (UNHCR, 2023).</w:t>
      </w:r>
      <w:proofErr w:type="gramEnd"/>
      <w:r w:rsidRPr="00F3533F">
        <w:rPr>
          <w:rFonts w:ascii="Times New Roman" w:hAnsi="Times New Roman" w:cs="Times New Roman"/>
          <w:sz w:val="24"/>
          <w:szCs w:val="24"/>
          <w:lang w:val="en-GB"/>
        </w:rPr>
        <w:t xml:space="preserve"> However, camps with fragmented communities and weak social ties often struggle with higher levels of conflict and violence (Oxfam, 2020).</w:t>
      </w:r>
    </w:p>
    <w:p w:rsidR="00465973" w:rsidRPr="00F3533F" w:rsidRDefault="00465973"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Educational opportunities are fundamental to the empowerment and social integration of displaced women. Access to education not only equips women with essential skills but also enhances their ability to advocate for their rights and seek assistance in times of need (Miller et </w:t>
      </w:r>
      <w:r w:rsidRPr="00F3533F">
        <w:rPr>
          <w:rFonts w:ascii="Times New Roman" w:hAnsi="Times New Roman" w:cs="Times New Roman"/>
          <w:sz w:val="24"/>
          <w:szCs w:val="24"/>
          <w:lang w:val="en-GB"/>
        </w:rPr>
        <w:lastRenderedPageBreak/>
        <w:t>al., 2019). Education has been identified as a key protective factor against GBV, as it fosters awareness about rights and access to resources (Al-</w:t>
      </w:r>
      <w:proofErr w:type="spellStart"/>
      <w:r w:rsidRPr="00F3533F">
        <w:rPr>
          <w:rFonts w:ascii="Times New Roman" w:hAnsi="Times New Roman" w:cs="Times New Roman"/>
          <w:sz w:val="24"/>
          <w:szCs w:val="24"/>
          <w:lang w:val="en-GB"/>
        </w:rPr>
        <w:t>Hanawi</w:t>
      </w:r>
      <w:proofErr w:type="spellEnd"/>
      <w:r w:rsidRPr="00F3533F">
        <w:rPr>
          <w:rFonts w:ascii="Times New Roman" w:hAnsi="Times New Roman" w:cs="Times New Roman"/>
          <w:sz w:val="24"/>
          <w:szCs w:val="24"/>
          <w:lang w:val="en-GB"/>
        </w:rPr>
        <w:t xml:space="preserve"> et al., 2021).</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In displacement settings, barriers to education include insufficient infrastructure, lack of qualified teachers, and cultural norms that may limit educational access for girls (UNICEF, 2021). For example, the closure or underfunding of schools in IDP camps can prevent women from accessing education, thereby perpetuating cycles of vulnerability and dependence (Miller et al., 2019). The lack of educational facilities and resources in camps often results in lower literacy rates and fewer opportunities for personal and professional development among displaced women (Al-</w:t>
      </w:r>
      <w:proofErr w:type="spellStart"/>
      <w:r w:rsidRPr="00F3533F">
        <w:rPr>
          <w:rFonts w:ascii="Times New Roman" w:hAnsi="Times New Roman" w:cs="Times New Roman"/>
          <w:sz w:val="24"/>
          <w:szCs w:val="24"/>
          <w:lang w:val="en-GB"/>
        </w:rPr>
        <w:t>Hanawi</w:t>
      </w:r>
      <w:proofErr w:type="spellEnd"/>
      <w:r w:rsidRPr="00F3533F">
        <w:rPr>
          <w:rFonts w:ascii="Times New Roman" w:hAnsi="Times New Roman" w:cs="Times New Roman"/>
          <w:sz w:val="24"/>
          <w:szCs w:val="24"/>
          <w:lang w:val="en-GB"/>
        </w:rPr>
        <w:t xml:space="preserve"> et al., 2021).</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Furthermore, cultural barriers and social norms can influence educational participation. In some contexts, traditional views may prioritize male education over female education, leading to gender disparities in educational attainment among displaced populations (UNICEF, 2021). Addressing these barriers requires targeted interventions, including community awareness programs and the provision of gender-sensitive educational services, to ensure equal access to educational opportunities for displaced women (Miller et al., 2019).</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Gender-based violence (GBV) is a severe issue in IDP camps, driven by the breakdown of social structures and inadequate support systems. GBV in displacement settings often includes sexual violence, domestic abuse, and exploitation, which are exacerbated by the instability and lack of protection in these environments (</w:t>
      </w:r>
      <w:proofErr w:type="spellStart"/>
      <w:r w:rsidRPr="00F3533F">
        <w:rPr>
          <w:rFonts w:ascii="Times New Roman" w:hAnsi="Times New Roman" w:cs="Times New Roman"/>
          <w:sz w:val="24"/>
          <w:szCs w:val="24"/>
          <w:lang w:val="en-GB"/>
        </w:rPr>
        <w:t>Schwerdtle</w:t>
      </w:r>
      <w:proofErr w:type="spellEnd"/>
      <w:r w:rsidRPr="00F3533F">
        <w:rPr>
          <w:rFonts w:ascii="Times New Roman" w:hAnsi="Times New Roman" w:cs="Times New Roman"/>
          <w:sz w:val="24"/>
          <w:szCs w:val="24"/>
          <w:lang w:val="en-GB"/>
        </w:rPr>
        <w:t xml:space="preserve"> et al., 2018). The risk of GBV increases due to the heightened vulnerabilities of displaced women and the absence of functioning legal and social support systems (</w:t>
      </w:r>
      <w:proofErr w:type="spellStart"/>
      <w:r w:rsidRPr="00F3533F">
        <w:rPr>
          <w:rFonts w:ascii="Times New Roman" w:hAnsi="Times New Roman" w:cs="Times New Roman"/>
          <w:sz w:val="24"/>
          <w:szCs w:val="24"/>
          <w:lang w:val="en-GB"/>
        </w:rPr>
        <w:t>Mastrorillo</w:t>
      </w:r>
      <w:proofErr w:type="spellEnd"/>
      <w:r w:rsidRPr="00F3533F">
        <w:rPr>
          <w:rFonts w:ascii="Times New Roman" w:hAnsi="Times New Roman" w:cs="Times New Roman"/>
          <w:sz w:val="24"/>
          <w:szCs w:val="24"/>
          <w:lang w:val="en-GB"/>
        </w:rPr>
        <w:t xml:space="preserve"> et al., 2016).</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Research has highlighted several factors contributing to GBV in IDP camps. Poor camp management, inadequate security measures, and lack of access to essential services, such as healthcare and legal support, are significant risk factors for GBV (</w:t>
      </w:r>
      <w:proofErr w:type="spellStart"/>
      <w:r w:rsidRPr="00F3533F">
        <w:rPr>
          <w:rFonts w:ascii="Times New Roman" w:hAnsi="Times New Roman" w:cs="Times New Roman"/>
          <w:sz w:val="24"/>
          <w:szCs w:val="24"/>
          <w:lang w:val="en-GB"/>
        </w:rPr>
        <w:t>Siddiqi</w:t>
      </w:r>
      <w:proofErr w:type="spellEnd"/>
      <w:r w:rsidRPr="00F3533F">
        <w:rPr>
          <w:rFonts w:ascii="Times New Roman" w:hAnsi="Times New Roman" w:cs="Times New Roman"/>
          <w:sz w:val="24"/>
          <w:szCs w:val="24"/>
          <w:lang w:val="en-GB"/>
        </w:rPr>
        <w:t xml:space="preserve"> &amp; Jansen, 2020). </w:t>
      </w:r>
      <w:r w:rsidRPr="00F3533F">
        <w:rPr>
          <w:rFonts w:ascii="Times New Roman" w:hAnsi="Times New Roman" w:cs="Times New Roman"/>
          <w:sz w:val="24"/>
          <w:szCs w:val="24"/>
          <w:lang w:val="en-GB"/>
        </w:rPr>
        <w:lastRenderedPageBreak/>
        <w:t>Additionally, the presence of economic hardships and limited opportunities for women can increase their vulnerability to exploitation and violence (Rogers et al., 2022).</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Effective interventions to address GBV in displacement settings include strengthening camp security, enhancing community-based protection mechanisms, and ensuring access to comprehensive support services for survivors (Oxfam, 2020). Programs that integrate GBV prevention and response into broader camp management strategies are crucial for addressing the underlying causes of violence and promoting a safer environment for displaced women (</w:t>
      </w:r>
      <w:proofErr w:type="spellStart"/>
      <w:r w:rsidRPr="00F3533F">
        <w:rPr>
          <w:rFonts w:ascii="Times New Roman" w:hAnsi="Times New Roman" w:cs="Times New Roman"/>
          <w:sz w:val="24"/>
          <w:szCs w:val="24"/>
          <w:lang w:val="en-GB"/>
        </w:rPr>
        <w:t>Siddiqi</w:t>
      </w:r>
      <w:proofErr w:type="spellEnd"/>
      <w:r w:rsidRPr="00F3533F">
        <w:rPr>
          <w:rFonts w:ascii="Times New Roman" w:hAnsi="Times New Roman" w:cs="Times New Roman"/>
          <w:sz w:val="24"/>
          <w:szCs w:val="24"/>
          <w:lang w:val="en-GB"/>
        </w:rPr>
        <w:t xml:space="preserve"> &amp; Jansen, 2020).</w:t>
      </w:r>
    </w:p>
    <w:p w:rsidR="00465973" w:rsidRPr="00F3533F" w:rsidRDefault="00465973" w:rsidP="004C37E7">
      <w:pPr>
        <w:pStyle w:val="NoSpacing"/>
        <w:spacing w:line="480" w:lineRule="auto"/>
        <w:ind w:firstLine="720"/>
        <w:jc w:val="both"/>
        <w:rPr>
          <w:rFonts w:ascii="Times New Roman" w:hAnsi="Times New Roman" w:cs="Times New Roman"/>
          <w:sz w:val="24"/>
          <w:szCs w:val="24"/>
          <w:lang w:val="en-GB"/>
        </w:rPr>
      </w:pPr>
    </w:p>
    <w:p w:rsidR="00465973" w:rsidRPr="00F3533F" w:rsidRDefault="00465973" w:rsidP="004C37E7">
      <w:pPr>
        <w:pStyle w:val="NoSpacing"/>
        <w:spacing w:line="480" w:lineRule="auto"/>
        <w:jc w:val="both"/>
        <w:rPr>
          <w:rFonts w:ascii="Times New Roman" w:eastAsia="Times New Roman" w:hAnsi="Times New Roman" w:cs="Times New Roman"/>
          <w:b/>
          <w:bCs/>
          <w:sz w:val="24"/>
          <w:szCs w:val="24"/>
          <w:lang w:val="en-GB"/>
        </w:rPr>
      </w:pPr>
      <w:r w:rsidRPr="00F3533F">
        <w:rPr>
          <w:rFonts w:ascii="Times New Roman" w:eastAsia="Times New Roman" w:hAnsi="Times New Roman" w:cs="Times New Roman"/>
          <w:b/>
          <w:bCs/>
          <w:sz w:val="24"/>
          <w:szCs w:val="24"/>
          <w:lang w:val="en-GB"/>
        </w:rPr>
        <w:t>THEORETICAL CONSIDERATION</w:t>
      </w:r>
    </w:p>
    <w:p w:rsidR="00465973" w:rsidRPr="00F3533F" w:rsidRDefault="00465973" w:rsidP="004C37E7">
      <w:pPr>
        <w:pStyle w:val="NoSpacing"/>
        <w:spacing w:line="480" w:lineRule="auto"/>
        <w:jc w:val="both"/>
        <w:rPr>
          <w:rFonts w:ascii="Times New Roman" w:eastAsia="Times New Roman" w:hAnsi="Times New Roman" w:cs="Times New Roman"/>
          <w:bCs/>
          <w:sz w:val="24"/>
          <w:szCs w:val="24"/>
          <w:lang w:val="en-GB"/>
        </w:rPr>
      </w:pPr>
      <w:r w:rsidRPr="00F3533F">
        <w:rPr>
          <w:rFonts w:ascii="Times New Roman" w:eastAsia="Times New Roman" w:hAnsi="Times New Roman" w:cs="Times New Roman"/>
          <w:bCs/>
          <w:sz w:val="24"/>
          <w:szCs w:val="24"/>
          <w:lang w:val="en-GB"/>
        </w:rPr>
        <w:t xml:space="preserve">The present research anchors it foothold on two theoretical beliefs, namely, the Social Disorganisation Theory and the Structural Strain Theory, which relevantly explain the subject matter of the research. </w:t>
      </w:r>
    </w:p>
    <w:p w:rsidR="00465973" w:rsidRPr="00F3533F" w:rsidRDefault="00465973" w:rsidP="004C37E7">
      <w:pPr>
        <w:pStyle w:val="NoSpacing"/>
        <w:spacing w:line="480" w:lineRule="auto"/>
        <w:ind w:firstLine="720"/>
        <w:jc w:val="both"/>
        <w:rPr>
          <w:rFonts w:ascii="Times New Roman" w:eastAsia="Times New Roman" w:hAnsi="Times New Roman" w:cs="Times New Roman"/>
          <w:bCs/>
          <w:sz w:val="24"/>
          <w:szCs w:val="24"/>
          <w:lang w:val="en-GB"/>
        </w:rPr>
      </w:pPr>
      <w:r w:rsidRPr="00F3533F">
        <w:rPr>
          <w:rFonts w:ascii="Times New Roman" w:eastAsia="Times New Roman" w:hAnsi="Times New Roman" w:cs="Times New Roman"/>
          <w:b/>
          <w:bCs/>
          <w:sz w:val="24"/>
          <w:szCs w:val="24"/>
          <w:lang w:val="en-GB"/>
        </w:rPr>
        <w:t>The</w:t>
      </w:r>
      <w:r w:rsidRPr="00F3533F">
        <w:rPr>
          <w:rFonts w:ascii="Times New Roman" w:eastAsia="Times New Roman" w:hAnsi="Times New Roman" w:cs="Times New Roman"/>
          <w:b/>
          <w:sz w:val="24"/>
          <w:szCs w:val="24"/>
          <w:lang w:val="en-GB"/>
        </w:rPr>
        <w:t xml:space="preserve"> Social Disorganisation Theory</w:t>
      </w:r>
      <w:r w:rsidRPr="00F3533F">
        <w:rPr>
          <w:rFonts w:ascii="Times New Roman" w:eastAsia="Times New Roman" w:hAnsi="Times New Roman" w:cs="Times New Roman"/>
          <w:sz w:val="24"/>
          <w:szCs w:val="24"/>
          <w:lang w:val="en-GB"/>
        </w:rPr>
        <w:t>, originally developed by Clifford Shaw and Henry McKay, suggests that crime and deviance are more likely to occur in communities with weakened social institutions and reduced social cohesion. In the context of internally displaced persons (IDPs), this theory can be applied to understand how the breakdown of community structures and social networks in displacement settings can contribute to increased gender-based violence (GBV) and diminished social well-being.</w:t>
      </w:r>
    </w:p>
    <w:p w:rsidR="00465973" w:rsidRPr="00F3533F" w:rsidRDefault="00465973" w:rsidP="004C37E7">
      <w:pPr>
        <w:pStyle w:val="NoSpacing"/>
        <w:spacing w:line="480" w:lineRule="auto"/>
        <w:jc w:val="both"/>
        <w:rPr>
          <w:rFonts w:ascii="Times New Roman" w:eastAsia="Times New Roman" w:hAnsi="Times New Roman" w:cs="Times New Roman"/>
          <w:sz w:val="24"/>
          <w:szCs w:val="24"/>
          <w:lang w:val="en-GB"/>
        </w:rPr>
      </w:pPr>
      <w:r w:rsidRPr="00F3533F">
        <w:rPr>
          <w:rFonts w:ascii="Times New Roman" w:eastAsia="Times New Roman" w:hAnsi="Times New Roman" w:cs="Times New Roman"/>
          <w:sz w:val="24"/>
          <w:szCs w:val="24"/>
          <w:lang w:val="en-GB"/>
        </w:rPr>
        <w:t xml:space="preserve"> </w:t>
      </w:r>
      <w:r w:rsidRPr="00F3533F">
        <w:rPr>
          <w:rFonts w:ascii="Times New Roman" w:eastAsia="Times New Roman" w:hAnsi="Times New Roman" w:cs="Times New Roman"/>
          <w:sz w:val="24"/>
          <w:szCs w:val="24"/>
          <w:lang w:val="en-GB"/>
        </w:rPr>
        <w:tab/>
        <w:t>This theory is relevant as it can help explain how the disruption of social structures, lack of community support, and instability within IDP camps contribute to higher rates of GBV and lower social well-being. The social disorganization within camps can lead to weakened informal social controls and increased vulnerability to violence.</w:t>
      </w:r>
    </w:p>
    <w:p w:rsidR="00465973" w:rsidRPr="00F3533F" w:rsidRDefault="00465973" w:rsidP="004C37E7">
      <w:pPr>
        <w:pStyle w:val="NoSpacing"/>
        <w:spacing w:line="480" w:lineRule="auto"/>
        <w:ind w:firstLine="720"/>
        <w:jc w:val="both"/>
        <w:rPr>
          <w:rFonts w:ascii="Times New Roman" w:eastAsia="Times New Roman" w:hAnsi="Times New Roman" w:cs="Times New Roman"/>
          <w:sz w:val="24"/>
          <w:szCs w:val="24"/>
          <w:lang w:val="en-GB"/>
        </w:rPr>
      </w:pPr>
      <w:r w:rsidRPr="00F3533F">
        <w:rPr>
          <w:rFonts w:ascii="Times New Roman" w:eastAsia="Times New Roman" w:hAnsi="Times New Roman" w:cs="Times New Roman"/>
          <w:bCs/>
          <w:sz w:val="24"/>
          <w:szCs w:val="24"/>
          <w:lang w:val="en-GB"/>
        </w:rPr>
        <w:lastRenderedPageBreak/>
        <w:t xml:space="preserve">It is also relevant as it emphasizes that </w:t>
      </w:r>
      <w:r w:rsidRPr="00F3533F">
        <w:rPr>
          <w:rFonts w:ascii="Times New Roman" w:eastAsia="Times New Roman" w:hAnsi="Times New Roman" w:cs="Times New Roman"/>
          <w:sz w:val="24"/>
          <w:szCs w:val="24"/>
          <w:lang w:val="en-GB"/>
        </w:rPr>
        <w:t>limited access to education and the associated lack of empowerment can further exacerbate social disorganization, as education often plays a key role in strengthening social cohesion and reducing vulnerabilities.</w:t>
      </w:r>
    </w:p>
    <w:p w:rsidR="00465973" w:rsidRPr="00F3533F" w:rsidRDefault="00465973" w:rsidP="004C37E7">
      <w:pPr>
        <w:pStyle w:val="NoSpacing"/>
        <w:spacing w:line="480" w:lineRule="auto"/>
        <w:ind w:firstLine="720"/>
        <w:jc w:val="both"/>
        <w:rPr>
          <w:rFonts w:ascii="Times New Roman" w:eastAsia="Times New Roman" w:hAnsi="Times New Roman" w:cs="Times New Roman"/>
          <w:sz w:val="24"/>
          <w:szCs w:val="24"/>
          <w:lang w:val="en-GB"/>
        </w:rPr>
      </w:pPr>
    </w:p>
    <w:p w:rsidR="00465973" w:rsidRPr="00F3533F" w:rsidRDefault="00465973" w:rsidP="004C37E7">
      <w:pPr>
        <w:pStyle w:val="NoSpacing"/>
        <w:spacing w:line="480" w:lineRule="auto"/>
        <w:ind w:firstLine="720"/>
        <w:jc w:val="both"/>
        <w:rPr>
          <w:rFonts w:ascii="Times New Roman" w:eastAsia="Times New Roman" w:hAnsi="Times New Roman" w:cs="Times New Roman"/>
          <w:bCs/>
          <w:sz w:val="24"/>
          <w:szCs w:val="24"/>
          <w:lang w:val="en-GB"/>
        </w:rPr>
      </w:pPr>
      <w:r w:rsidRPr="00F3533F">
        <w:rPr>
          <w:rFonts w:ascii="Times New Roman" w:eastAsia="Times New Roman" w:hAnsi="Times New Roman" w:cs="Times New Roman"/>
          <w:b/>
          <w:sz w:val="24"/>
          <w:szCs w:val="24"/>
          <w:lang w:val="en-GB"/>
        </w:rPr>
        <w:t>The Structural Strain Theory</w:t>
      </w:r>
      <w:r w:rsidRPr="00F3533F">
        <w:rPr>
          <w:rFonts w:ascii="Times New Roman" w:eastAsia="Times New Roman" w:hAnsi="Times New Roman" w:cs="Times New Roman"/>
          <w:sz w:val="24"/>
          <w:szCs w:val="24"/>
          <w:lang w:val="en-GB"/>
        </w:rPr>
        <w:t>, developed by Robert K. Merton, posits that individuals experience strain when they are unable to achieve culturally approved goals through legitimate means, leading to deviance and criminal behaviour. In the context of displaced populations, strain theory can be used to explore how the lack of resources and opportunities within camps creates strain, potentially leading to increased GBV and reduced social well-being.</w:t>
      </w:r>
    </w:p>
    <w:p w:rsidR="00465973" w:rsidRPr="00F3533F" w:rsidRDefault="00465973" w:rsidP="004C37E7">
      <w:pPr>
        <w:pStyle w:val="NoSpacing"/>
        <w:spacing w:line="480" w:lineRule="auto"/>
        <w:ind w:firstLine="720"/>
        <w:jc w:val="both"/>
        <w:rPr>
          <w:rFonts w:ascii="Times New Roman" w:eastAsia="Times New Roman" w:hAnsi="Times New Roman" w:cs="Times New Roman"/>
          <w:sz w:val="24"/>
          <w:szCs w:val="24"/>
          <w:lang w:val="en-GB"/>
        </w:rPr>
      </w:pPr>
      <w:r w:rsidRPr="00F3533F">
        <w:rPr>
          <w:rFonts w:ascii="Times New Roman" w:eastAsia="Times New Roman" w:hAnsi="Times New Roman" w:cs="Times New Roman"/>
          <w:sz w:val="24"/>
          <w:szCs w:val="24"/>
          <w:lang w:val="en-GB"/>
        </w:rPr>
        <w:t>This theory is relevant, as it can be applied to understand how the strain of displacement– such as poverty, loss of social status, and lack of security – leads to increased stress and maladaptive coping mechanisms, including GBV.</w:t>
      </w:r>
    </w:p>
    <w:p w:rsidR="00465973" w:rsidRPr="00F3533F" w:rsidRDefault="00465973" w:rsidP="004C37E7">
      <w:pPr>
        <w:pStyle w:val="NoSpacing"/>
        <w:spacing w:line="480" w:lineRule="auto"/>
        <w:ind w:firstLine="720"/>
        <w:jc w:val="both"/>
        <w:rPr>
          <w:rFonts w:ascii="Times New Roman" w:eastAsia="Times New Roman" w:hAnsi="Times New Roman" w:cs="Times New Roman"/>
          <w:sz w:val="24"/>
          <w:szCs w:val="24"/>
          <w:lang w:val="en-GB"/>
        </w:rPr>
      </w:pPr>
      <w:r w:rsidRPr="00F3533F">
        <w:rPr>
          <w:rFonts w:ascii="Times New Roman" w:eastAsia="Times New Roman" w:hAnsi="Times New Roman" w:cs="Times New Roman"/>
          <w:bCs/>
          <w:sz w:val="24"/>
          <w:szCs w:val="24"/>
          <w:lang w:val="en-GB"/>
        </w:rPr>
        <w:t xml:space="preserve">The </w:t>
      </w:r>
      <w:r w:rsidRPr="00F3533F">
        <w:rPr>
          <w:rFonts w:ascii="Times New Roman" w:eastAsia="Times New Roman" w:hAnsi="Times New Roman" w:cs="Times New Roman"/>
          <w:sz w:val="24"/>
          <w:szCs w:val="24"/>
          <w:lang w:val="en-GB"/>
        </w:rPr>
        <w:t>Strain theory is also relevant as it can help explain how limited educational opportunities contribute to feelings of frustration and powerlessness among displaced women, potentially leading to further social issues and impacting their well-being.</w:t>
      </w:r>
    </w:p>
    <w:p w:rsidR="00465973" w:rsidRPr="00F3533F" w:rsidRDefault="00465973" w:rsidP="004C37E7">
      <w:pPr>
        <w:pStyle w:val="NoSpacing"/>
        <w:spacing w:line="480" w:lineRule="auto"/>
        <w:jc w:val="both"/>
        <w:rPr>
          <w:rFonts w:ascii="Times New Roman" w:hAnsi="Times New Roman" w:cs="Times New Roman"/>
          <w:sz w:val="24"/>
          <w:szCs w:val="24"/>
          <w:lang w:val="en-GB"/>
        </w:rPr>
      </w:pPr>
    </w:p>
    <w:p w:rsidR="00465973" w:rsidRPr="00F3533F" w:rsidRDefault="00465973"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METHODOLOGY</w:t>
      </w:r>
    </w:p>
    <w:p w:rsidR="001C06DD" w:rsidRPr="00F3533F" w:rsidRDefault="00465973"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This study examined the relationship between the camp social environment, educational opportunities, and social well-being among females aged 15 years and above in selected IDP camps within </w:t>
      </w:r>
      <w:proofErr w:type="spellStart"/>
      <w:r w:rsidRPr="00F3533F">
        <w:rPr>
          <w:rFonts w:ascii="Times New Roman" w:hAnsi="Times New Roman" w:cs="Times New Roman"/>
          <w:sz w:val="24"/>
          <w:szCs w:val="24"/>
          <w:lang w:val="en-GB"/>
        </w:rPr>
        <w:t>Ogoja</w:t>
      </w:r>
      <w:proofErr w:type="spellEnd"/>
      <w:r w:rsidRPr="00F3533F">
        <w:rPr>
          <w:rFonts w:ascii="Times New Roman" w:hAnsi="Times New Roman" w:cs="Times New Roman"/>
          <w:sz w:val="24"/>
          <w:szCs w:val="24"/>
          <w:lang w:val="en-GB"/>
        </w:rPr>
        <w:t>, Cross River North Senatorial Dis</w:t>
      </w:r>
      <w:r w:rsidR="005E765D">
        <w:rPr>
          <w:rFonts w:ascii="Times New Roman" w:hAnsi="Times New Roman" w:cs="Times New Roman"/>
          <w:sz w:val="24"/>
          <w:szCs w:val="24"/>
          <w:lang w:val="en-GB"/>
        </w:rPr>
        <w:t>trict. Utilizing a mixed-method</w:t>
      </w:r>
      <w:r w:rsidRPr="00F3533F">
        <w:rPr>
          <w:rFonts w:ascii="Times New Roman" w:hAnsi="Times New Roman" w:cs="Times New Roman"/>
          <w:sz w:val="24"/>
          <w:szCs w:val="24"/>
          <w:lang w:val="en-GB"/>
        </w:rPr>
        <w:t xml:space="preserve"> approach, the study combined both quantitative and qualitative designs. Using the Taro Yamane formula, a sample size was determined for the population under study. The researcher employed simple random sampling to select respondents, resulting in a total sample size of 399, upon whom a structured questionnaire was administered. For the quantitative component, data were collected </w:t>
      </w:r>
      <w:r w:rsidRPr="00F3533F">
        <w:rPr>
          <w:rFonts w:ascii="Times New Roman" w:hAnsi="Times New Roman" w:cs="Times New Roman"/>
          <w:sz w:val="24"/>
          <w:szCs w:val="24"/>
          <w:lang w:val="en-GB"/>
        </w:rPr>
        <w:lastRenderedPageBreak/>
        <w:t xml:space="preserve">using a 4-point </w:t>
      </w:r>
      <w:proofErr w:type="spellStart"/>
      <w:r w:rsidRPr="00F3533F">
        <w:rPr>
          <w:rFonts w:ascii="Times New Roman" w:hAnsi="Times New Roman" w:cs="Times New Roman"/>
          <w:sz w:val="24"/>
          <w:szCs w:val="24"/>
          <w:lang w:val="en-GB"/>
        </w:rPr>
        <w:t>Likert</w:t>
      </w:r>
      <w:proofErr w:type="spellEnd"/>
      <w:r w:rsidRPr="00F3533F">
        <w:rPr>
          <w:rFonts w:ascii="Times New Roman" w:hAnsi="Times New Roman" w:cs="Times New Roman"/>
          <w:sz w:val="24"/>
          <w:szCs w:val="24"/>
          <w:lang w:val="en-GB"/>
        </w:rPr>
        <w:t xml:space="preserve"> scale to measure respondents’ perceptions and experiences regarding their camp environment, educational opportunities, and social well-being. Qualitative data was gathered through Focus Group Discussion</w:t>
      </w:r>
      <w:r w:rsidR="00D13A45" w:rsidRPr="00F3533F">
        <w:rPr>
          <w:rFonts w:ascii="Times New Roman" w:hAnsi="Times New Roman" w:cs="Times New Roman"/>
          <w:sz w:val="24"/>
          <w:szCs w:val="24"/>
          <w:lang w:val="en-GB"/>
        </w:rPr>
        <w:t>s</w:t>
      </w:r>
      <w:r w:rsidRPr="00F3533F">
        <w:rPr>
          <w:rFonts w:ascii="Times New Roman" w:hAnsi="Times New Roman" w:cs="Times New Roman"/>
          <w:sz w:val="24"/>
          <w:szCs w:val="24"/>
          <w:lang w:val="en-GB"/>
        </w:rPr>
        <w:t xml:space="preserve"> (FGD</w:t>
      </w:r>
      <w:r w:rsidR="00D13A45" w:rsidRPr="00F3533F">
        <w:rPr>
          <w:rFonts w:ascii="Times New Roman" w:hAnsi="Times New Roman" w:cs="Times New Roman"/>
          <w:sz w:val="24"/>
          <w:szCs w:val="24"/>
          <w:lang w:val="en-GB"/>
        </w:rPr>
        <w:t>s</w:t>
      </w:r>
      <w:r w:rsidRPr="00F3533F">
        <w:rPr>
          <w:rFonts w:ascii="Times New Roman" w:hAnsi="Times New Roman" w:cs="Times New Roman"/>
          <w:sz w:val="24"/>
          <w:szCs w:val="24"/>
          <w:lang w:val="en-GB"/>
        </w:rPr>
        <w:t xml:space="preserve">), which helped to strengthen the quantitative data obtained. </w:t>
      </w:r>
    </w:p>
    <w:p w:rsidR="00D13A45" w:rsidRPr="00F3533F" w:rsidRDefault="00D13A45"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Ethical approval was sought and obtained before the commencement of the study. Informed consent was obtained from all participants, and confidentiality was maintained throughout the research process. Participants were assured that their responses would be used solely for academic purposes, and no identifying information would be disclosed.</w:t>
      </w:r>
    </w:p>
    <w:p w:rsidR="001C06DD" w:rsidRPr="00F3533F" w:rsidRDefault="001C06DD"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Below is a data table, based on demographic information and responses of 399 respondents, divided across the three IDP camps in Cross River North: </w:t>
      </w:r>
      <w:proofErr w:type="spellStart"/>
      <w:r w:rsidRPr="00F3533F">
        <w:rPr>
          <w:rFonts w:ascii="Times New Roman" w:hAnsi="Times New Roman" w:cs="Times New Roman"/>
          <w:sz w:val="24"/>
          <w:szCs w:val="24"/>
          <w:lang w:val="en-GB"/>
        </w:rPr>
        <w:t>Adagom</w:t>
      </w:r>
      <w:proofErr w:type="spellEnd"/>
      <w:r w:rsidRPr="00F3533F">
        <w:rPr>
          <w:rFonts w:ascii="Times New Roman" w:hAnsi="Times New Roman" w:cs="Times New Roman"/>
          <w:sz w:val="24"/>
          <w:szCs w:val="24"/>
          <w:lang w:val="en-GB"/>
        </w:rPr>
        <w:t xml:space="preserve">, </w:t>
      </w:r>
      <w:proofErr w:type="spellStart"/>
      <w:r w:rsidRPr="00F3533F">
        <w:rPr>
          <w:rFonts w:ascii="Times New Roman" w:hAnsi="Times New Roman" w:cs="Times New Roman"/>
          <w:sz w:val="24"/>
          <w:szCs w:val="24"/>
          <w:lang w:val="en-GB"/>
        </w:rPr>
        <w:t>Ukende</w:t>
      </w:r>
      <w:proofErr w:type="spellEnd"/>
      <w:r w:rsidRPr="00F3533F">
        <w:rPr>
          <w:rFonts w:ascii="Times New Roman" w:hAnsi="Times New Roman" w:cs="Times New Roman"/>
          <w:sz w:val="24"/>
          <w:szCs w:val="24"/>
          <w:lang w:val="en-GB"/>
        </w:rPr>
        <w:t xml:space="preserve">, and </w:t>
      </w:r>
      <w:proofErr w:type="spellStart"/>
      <w:r w:rsidRPr="00F3533F">
        <w:rPr>
          <w:rFonts w:ascii="Times New Roman" w:hAnsi="Times New Roman" w:cs="Times New Roman"/>
          <w:sz w:val="24"/>
          <w:szCs w:val="24"/>
          <w:lang w:val="en-GB"/>
        </w:rPr>
        <w:t>Obanliku</w:t>
      </w:r>
      <w:proofErr w:type="spellEnd"/>
      <w:r w:rsidRPr="00F3533F">
        <w:rPr>
          <w:rFonts w:ascii="Times New Roman" w:hAnsi="Times New Roman" w:cs="Times New Roman"/>
          <w:sz w:val="24"/>
          <w:szCs w:val="24"/>
          <w:lang w:val="en-GB"/>
        </w:rPr>
        <w:t>. This table was designed to summarize the distribution of respondents and their responses to key variables (camp environment, educational opportunities, and social well-being), which would later be analyzed using descriptive and inferential statistical tools.</w:t>
      </w:r>
    </w:p>
    <w:p w:rsidR="00623074" w:rsidRPr="00F3533F" w:rsidRDefault="00623074" w:rsidP="004C37E7">
      <w:pPr>
        <w:pStyle w:val="NoSpacing"/>
        <w:spacing w:line="480" w:lineRule="auto"/>
        <w:jc w:val="both"/>
        <w:rPr>
          <w:rFonts w:ascii="Times New Roman" w:hAnsi="Times New Roman" w:cs="Times New Roman"/>
          <w:b/>
          <w:sz w:val="24"/>
          <w:szCs w:val="24"/>
          <w:lang w:val="en-GB"/>
        </w:rPr>
      </w:pPr>
    </w:p>
    <w:p w:rsidR="001C06DD" w:rsidRPr="00F3533F" w:rsidRDefault="001C06DD" w:rsidP="004C37E7">
      <w:pPr>
        <w:pStyle w:val="Heading3"/>
        <w:keepNext w:val="0"/>
        <w:keepLines w:val="0"/>
        <w:spacing w:before="0" w:after="281" w:line="480" w:lineRule="auto"/>
        <w:jc w:val="both"/>
        <w:rPr>
          <w:rFonts w:ascii="Times New Roman" w:eastAsia="Times New Roman" w:hAnsi="Times New Roman" w:cs="Times New Roman"/>
          <w:color w:val="auto"/>
          <w:sz w:val="24"/>
          <w:szCs w:val="24"/>
          <w:lang w:val="en-GB"/>
        </w:rPr>
      </w:pPr>
    </w:p>
    <w:p w:rsidR="001C06DD" w:rsidRPr="00F3533F" w:rsidRDefault="001C06DD" w:rsidP="004C37E7">
      <w:pPr>
        <w:pStyle w:val="Heading3"/>
        <w:keepNext w:val="0"/>
        <w:keepLines w:val="0"/>
        <w:spacing w:before="0" w:after="281" w:line="480" w:lineRule="auto"/>
        <w:jc w:val="both"/>
        <w:rPr>
          <w:rFonts w:ascii="Times New Roman" w:eastAsia="Times New Roman" w:hAnsi="Times New Roman" w:cs="Times New Roman"/>
          <w:color w:val="auto"/>
          <w:sz w:val="24"/>
          <w:szCs w:val="24"/>
          <w:lang w:val="en-GB"/>
        </w:rPr>
      </w:pPr>
    </w:p>
    <w:p w:rsidR="001C06DD" w:rsidRPr="00F3533F" w:rsidRDefault="001C06DD" w:rsidP="004C37E7">
      <w:pPr>
        <w:pStyle w:val="Heading3"/>
        <w:keepNext w:val="0"/>
        <w:keepLines w:val="0"/>
        <w:spacing w:before="0" w:after="281" w:line="480" w:lineRule="auto"/>
        <w:jc w:val="both"/>
        <w:rPr>
          <w:rFonts w:ascii="Times New Roman" w:eastAsia="Times New Roman" w:hAnsi="Times New Roman" w:cs="Times New Roman"/>
          <w:color w:val="auto"/>
          <w:sz w:val="24"/>
          <w:szCs w:val="24"/>
          <w:lang w:val="en-GB"/>
        </w:rPr>
      </w:pPr>
    </w:p>
    <w:p w:rsidR="00E86703" w:rsidRPr="00F3533F" w:rsidRDefault="00E86703" w:rsidP="00D13A45">
      <w:pPr>
        <w:jc w:val="both"/>
        <w:rPr>
          <w:lang w:val="en-GB"/>
        </w:rPr>
      </w:pPr>
    </w:p>
    <w:p w:rsidR="00432F35" w:rsidRPr="00F3533F" w:rsidRDefault="001C06DD" w:rsidP="00D13A45">
      <w:pPr>
        <w:pStyle w:val="NoSpacing"/>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Table 1: Demographic information and summary of responses of respondents in three IDP c</w:t>
      </w:r>
      <w:r w:rsidR="00432F35" w:rsidRPr="00F3533F">
        <w:rPr>
          <w:rFonts w:ascii="Times New Roman" w:hAnsi="Times New Roman" w:cs="Times New Roman"/>
          <w:b/>
          <w:sz w:val="24"/>
          <w:szCs w:val="24"/>
          <w:lang w:val="en-GB"/>
        </w:rPr>
        <w:t>amps (n = 399)</w:t>
      </w:r>
    </w:p>
    <w:tbl>
      <w:tblPr>
        <w:tblW w:w="9585" w:type="dxa"/>
        <w:tblCellSpacing w:w="15" w:type="dxa"/>
        <w:tblCellMar>
          <w:top w:w="15" w:type="dxa"/>
          <w:left w:w="15" w:type="dxa"/>
          <w:bottom w:w="15" w:type="dxa"/>
          <w:right w:w="15" w:type="dxa"/>
        </w:tblCellMar>
        <w:tblLook w:val="04A0"/>
      </w:tblPr>
      <w:tblGrid>
        <w:gridCol w:w="3685"/>
        <w:gridCol w:w="1490"/>
        <w:gridCol w:w="1411"/>
        <w:gridCol w:w="1597"/>
        <w:gridCol w:w="1402"/>
      </w:tblGrid>
      <w:tr w:rsidR="00432F35" w:rsidRPr="00F3533F" w:rsidTr="00432F35">
        <w:trPr>
          <w:tblHeader/>
          <w:tblCellSpacing w:w="15" w:type="dxa"/>
        </w:trPr>
        <w:tc>
          <w:tcPr>
            <w:tcW w:w="0" w:type="auto"/>
            <w:tcMar>
              <w:top w:w="15" w:type="dxa"/>
              <w:left w:w="15" w:type="dxa"/>
              <w:bottom w:w="15" w:type="dxa"/>
              <w:right w:w="15" w:type="dxa"/>
            </w:tcMar>
            <w:vAlign w:val="center"/>
            <w:hideMark/>
          </w:tcPr>
          <w:p w:rsidR="00432F35" w:rsidRPr="00F3533F" w:rsidRDefault="00432F35" w:rsidP="00D13A45">
            <w:pPr>
              <w:pStyle w:val="NoSpacing"/>
              <w:jc w:val="both"/>
              <w:rPr>
                <w:rFonts w:ascii="Times New Roman" w:hAnsi="Times New Roman" w:cs="Times New Roman"/>
                <w:b/>
                <w:bCs/>
                <w:sz w:val="24"/>
                <w:szCs w:val="24"/>
                <w:lang w:val="en-GB"/>
              </w:rPr>
            </w:pPr>
            <w:r w:rsidRPr="00F3533F">
              <w:rPr>
                <w:rFonts w:ascii="Times New Roman" w:hAnsi="Times New Roman" w:cs="Times New Roman"/>
                <w:b/>
                <w:bCs/>
                <w:sz w:val="24"/>
                <w:szCs w:val="24"/>
                <w:lang w:val="en-GB"/>
              </w:rPr>
              <w:t>Variables</w:t>
            </w:r>
          </w:p>
        </w:tc>
        <w:tc>
          <w:tcPr>
            <w:tcW w:w="0" w:type="auto"/>
            <w:tcMar>
              <w:top w:w="15" w:type="dxa"/>
              <w:left w:w="15" w:type="dxa"/>
              <w:bottom w:w="15" w:type="dxa"/>
              <w:right w:w="15" w:type="dxa"/>
            </w:tcMar>
            <w:vAlign w:val="center"/>
            <w:hideMark/>
          </w:tcPr>
          <w:p w:rsidR="00432F35" w:rsidRPr="00F3533F" w:rsidRDefault="00432F35" w:rsidP="00D13A45">
            <w:pPr>
              <w:pStyle w:val="NoSpacing"/>
              <w:jc w:val="both"/>
              <w:rPr>
                <w:rFonts w:ascii="Times New Roman" w:hAnsi="Times New Roman" w:cs="Times New Roman"/>
                <w:b/>
                <w:bCs/>
                <w:sz w:val="24"/>
                <w:szCs w:val="24"/>
                <w:lang w:val="en-GB"/>
              </w:rPr>
            </w:pPr>
            <w:proofErr w:type="spellStart"/>
            <w:r w:rsidRPr="00F3533F">
              <w:rPr>
                <w:rFonts w:ascii="Times New Roman" w:hAnsi="Times New Roman" w:cs="Times New Roman"/>
                <w:b/>
                <w:bCs/>
                <w:sz w:val="24"/>
                <w:szCs w:val="24"/>
                <w:lang w:val="en-GB"/>
              </w:rPr>
              <w:t>Adagom</w:t>
            </w:r>
            <w:proofErr w:type="spellEnd"/>
            <w:r w:rsidRPr="00F3533F">
              <w:rPr>
                <w:rFonts w:ascii="Times New Roman" w:hAnsi="Times New Roman" w:cs="Times New Roman"/>
                <w:b/>
                <w:bCs/>
                <w:sz w:val="24"/>
                <w:szCs w:val="24"/>
                <w:lang w:val="en-GB"/>
              </w:rPr>
              <w:t xml:space="preserve"> (n=133)</w:t>
            </w:r>
          </w:p>
        </w:tc>
        <w:tc>
          <w:tcPr>
            <w:tcW w:w="0" w:type="auto"/>
            <w:tcMar>
              <w:top w:w="15" w:type="dxa"/>
              <w:left w:w="15" w:type="dxa"/>
              <w:bottom w:w="15" w:type="dxa"/>
              <w:right w:w="15" w:type="dxa"/>
            </w:tcMar>
            <w:vAlign w:val="center"/>
            <w:hideMark/>
          </w:tcPr>
          <w:p w:rsidR="00432F35" w:rsidRPr="00F3533F" w:rsidRDefault="00432F35" w:rsidP="00D13A45">
            <w:pPr>
              <w:pStyle w:val="NoSpacing"/>
              <w:jc w:val="both"/>
              <w:rPr>
                <w:rFonts w:ascii="Times New Roman" w:hAnsi="Times New Roman" w:cs="Times New Roman"/>
                <w:b/>
                <w:bCs/>
                <w:sz w:val="24"/>
                <w:szCs w:val="24"/>
                <w:lang w:val="en-GB"/>
              </w:rPr>
            </w:pPr>
            <w:proofErr w:type="spellStart"/>
            <w:r w:rsidRPr="00F3533F">
              <w:rPr>
                <w:rFonts w:ascii="Times New Roman" w:hAnsi="Times New Roman" w:cs="Times New Roman"/>
                <w:b/>
                <w:bCs/>
                <w:sz w:val="24"/>
                <w:szCs w:val="24"/>
                <w:lang w:val="en-GB"/>
              </w:rPr>
              <w:t>Ukende</w:t>
            </w:r>
            <w:proofErr w:type="spellEnd"/>
            <w:r w:rsidRPr="00F3533F">
              <w:rPr>
                <w:rFonts w:ascii="Times New Roman" w:hAnsi="Times New Roman" w:cs="Times New Roman"/>
                <w:b/>
                <w:bCs/>
                <w:sz w:val="24"/>
                <w:szCs w:val="24"/>
                <w:lang w:val="en-GB"/>
              </w:rPr>
              <w:t xml:space="preserve"> (n=133)</w:t>
            </w:r>
          </w:p>
        </w:tc>
        <w:tc>
          <w:tcPr>
            <w:tcW w:w="0" w:type="auto"/>
            <w:tcMar>
              <w:top w:w="15" w:type="dxa"/>
              <w:left w:w="15" w:type="dxa"/>
              <w:bottom w:w="15" w:type="dxa"/>
              <w:right w:w="15" w:type="dxa"/>
            </w:tcMar>
            <w:vAlign w:val="center"/>
            <w:hideMark/>
          </w:tcPr>
          <w:p w:rsidR="00432F35" w:rsidRPr="00F3533F" w:rsidRDefault="00432F35" w:rsidP="00D13A45">
            <w:pPr>
              <w:pStyle w:val="NoSpacing"/>
              <w:jc w:val="both"/>
              <w:rPr>
                <w:rFonts w:ascii="Times New Roman" w:hAnsi="Times New Roman" w:cs="Times New Roman"/>
                <w:b/>
                <w:bCs/>
                <w:sz w:val="24"/>
                <w:szCs w:val="24"/>
                <w:lang w:val="en-GB"/>
              </w:rPr>
            </w:pPr>
            <w:proofErr w:type="spellStart"/>
            <w:r w:rsidRPr="00F3533F">
              <w:rPr>
                <w:rFonts w:ascii="Times New Roman" w:hAnsi="Times New Roman" w:cs="Times New Roman"/>
                <w:b/>
                <w:bCs/>
                <w:sz w:val="24"/>
                <w:szCs w:val="24"/>
                <w:lang w:val="en-GB"/>
              </w:rPr>
              <w:t>Obanliku</w:t>
            </w:r>
            <w:proofErr w:type="spellEnd"/>
            <w:r w:rsidRPr="00F3533F">
              <w:rPr>
                <w:rFonts w:ascii="Times New Roman" w:hAnsi="Times New Roman" w:cs="Times New Roman"/>
                <w:b/>
                <w:bCs/>
                <w:sz w:val="24"/>
                <w:szCs w:val="24"/>
                <w:lang w:val="en-GB"/>
              </w:rPr>
              <w:t xml:space="preserve"> (n=133)</w:t>
            </w:r>
          </w:p>
        </w:tc>
        <w:tc>
          <w:tcPr>
            <w:tcW w:w="1357" w:type="dxa"/>
            <w:tcMar>
              <w:top w:w="15" w:type="dxa"/>
              <w:left w:w="15" w:type="dxa"/>
              <w:bottom w:w="15" w:type="dxa"/>
              <w:right w:w="15" w:type="dxa"/>
            </w:tcMar>
            <w:vAlign w:val="center"/>
            <w:hideMark/>
          </w:tcPr>
          <w:p w:rsidR="00432F35" w:rsidRPr="00F3533F" w:rsidRDefault="00432F35" w:rsidP="00D13A45">
            <w:pPr>
              <w:pStyle w:val="NoSpacing"/>
              <w:jc w:val="both"/>
              <w:rPr>
                <w:rFonts w:ascii="Times New Roman" w:hAnsi="Times New Roman" w:cs="Times New Roman"/>
                <w:b/>
                <w:bCs/>
                <w:sz w:val="24"/>
                <w:szCs w:val="24"/>
                <w:lang w:val="en-GB"/>
              </w:rPr>
            </w:pPr>
            <w:r w:rsidRPr="00F3533F">
              <w:rPr>
                <w:rFonts w:ascii="Times New Roman" w:hAnsi="Times New Roman" w:cs="Times New Roman"/>
                <w:b/>
                <w:bCs/>
                <w:sz w:val="24"/>
                <w:szCs w:val="24"/>
                <w:lang w:val="en-GB"/>
              </w:rPr>
              <w:t>Total (n=399)</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Gender</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Female</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133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133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133</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399</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01762A" w:rsidP="00D13A45">
            <w:pPr>
              <w:jc w:val="both"/>
              <w:rPr>
                <w:lang w:val="en-GB"/>
              </w:rPr>
            </w:pPr>
            <w:r w:rsidRPr="00F3533F">
              <w:rPr>
                <w:b/>
                <w:bCs/>
                <w:lang w:val="en-GB"/>
              </w:rPr>
              <w:t>Age g</w:t>
            </w:r>
            <w:r w:rsidR="00432F35" w:rsidRPr="00F3533F">
              <w:rPr>
                <w:b/>
                <w:bCs/>
                <w:lang w:val="en-GB"/>
              </w:rPr>
              <w:t>roup</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15-24 years</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40 (30.1%)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43 (32.3%)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38 (28.6%)</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121 (30.3%)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lastRenderedPageBreak/>
              <w:t>25-34 years</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55 (41.4%)</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50 (37.6%)</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60 (45.1%)</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165 (41.4%)</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35 years and above</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38 (28.6%)</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40 (30.1%)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35 (26.3%)</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113 (28.3%)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01762A" w:rsidP="00D13A45">
            <w:pPr>
              <w:jc w:val="both"/>
              <w:rPr>
                <w:lang w:val="en-GB"/>
              </w:rPr>
            </w:pPr>
            <w:r w:rsidRPr="00F3533F">
              <w:rPr>
                <w:b/>
                <w:bCs/>
                <w:lang w:val="en-GB"/>
              </w:rPr>
              <w:t>Marital s</w:t>
            </w:r>
            <w:r w:rsidR="00432F35" w:rsidRPr="00F3533F">
              <w:rPr>
                <w:b/>
                <w:bCs/>
                <w:lang w:val="en-GB"/>
              </w:rPr>
              <w:t>tatus</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Single</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49 (36.8%)</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45 (33.8%)</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48 (36.1%)</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142 (35.6%)</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Married</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60 (45.1%)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65 (48.9%)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63 (47.4%)</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188 (47.1%)</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Divorced/Widowed</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24 (18.1%)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23 (17.3%)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22 (16.5%)</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69 (17.3%)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01762A" w:rsidP="00D13A45">
            <w:pPr>
              <w:jc w:val="both"/>
              <w:rPr>
                <w:lang w:val="en-GB"/>
              </w:rPr>
            </w:pPr>
            <w:r w:rsidRPr="00F3533F">
              <w:rPr>
                <w:b/>
                <w:bCs/>
                <w:lang w:val="en-GB"/>
              </w:rPr>
              <w:t>Level of e</w:t>
            </w:r>
            <w:r w:rsidR="00432F35" w:rsidRPr="00F3533F">
              <w:rPr>
                <w:b/>
                <w:bCs/>
                <w:lang w:val="en-GB"/>
              </w:rPr>
              <w:t>ducation</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No formal education</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35 (26.3%)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40 (30.1%)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42 (31.6%)</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117 (29.3%)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Primary</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50 (37.6%)</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48 (36.1%)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45 (33.8%)</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143 (35.8%)</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Secondary</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38 (28.6%)</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37 (27.8%)</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35 (26.3%)</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110 (27.6%)</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Tertiary</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10 (7.5%)</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8 (6.0%)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11 (8.3%)</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29 (7.3%)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01762A" w:rsidP="00D13A45">
            <w:pPr>
              <w:jc w:val="both"/>
              <w:rPr>
                <w:lang w:val="en-GB"/>
              </w:rPr>
            </w:pPr>
            <w:r w:rsidRPr="00F3533F">
              <w:rPr>
                <w:b/>
                <w:bCs/>
                <w:lang w:val="en-GB"/>
              </w:rPr>
              <w:t>Employment s</w:t>
            </w:r>
            <w:r w:rsidR="00432F35" w:rsidRPr="00F3533F">
              <w:rPr>
                <w:b/>
                <w:bCs/>
                <w:lang w:val="en-GB"/>
              </w:rPr>
              <w:t>tatus</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Unemployed</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95 (71.4%)</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93 (69.9%)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98 (73.7%)</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286 (71.7%)</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Employed (informal)</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38 (28.6%)</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40 (30.1%)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35 (26.3%)</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113 (28.3%)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01762A" w:rsidP="00D13A45">
            <w:pPr>
              <w:jc w:val="both"/>
              <w:rPr>
                <w:lang w:val="en-GB"/>
              </w:rPr>
            </w:pPr>
            <w:r w:rsidRPr="00F3533F">
              <w:rPr>
                <w:b/>
                <w:bCs/>
                <w:lang w:val="en-GB"/>
              </w:rPr>
              <w:t>Access to educational o</w:t>
            </w:r>
            <w:r w:rsidR="00432F35" w:rsidRPr="00F3533F">
              <w:rPr>
                <w:b/>
                <w:bCs/>
                <w:lang w:val="en-GB"/>
              </w:rPr>
              <w:t>pportunities</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Yes</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43 (32.3%)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40 (30.1%)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45 (33.8%)</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128 (32.1%)</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No</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90 (67.7%)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93 (69.9%)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88 (66.2%)</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271 (67.9%)</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Experienced Gender-Based Violence (GBV)</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Yes</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72 (54.1%)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76 (57.1%)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68 (51.1%)</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216 (54.1%)</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No</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61 (45.9%)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57 (42.9%)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65 (48.9%)</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183 (45.9%)</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01762A" w:rsidP="00D13A45">
            <w:pPr>
              <w:jc w:val="both"/>
              <w:rPr>
                <w:lang w:val="en-GB"/>
              </w:rPr>
            </w:pPr>
            <w:r w:rsidRPr="00F3533F">
              <w:rPr>
                <w:b/>
                <w:bCs/>
                <w:lang w:val="en-GB"/>
              </w:rPr>
              <w:t>Perception of camp social e</w:t>
            </w:r>
            <w:r w:rsidR="00432F35" w:rsidRPr="00F3533F">
              <w:rPr>
                <w:b/>
                <w:bCs/>
                <w:lang w:val="en-GB"/>
              </w:rPr>
              <w:t>nvironment</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Positive</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40 (30.1%)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35 (26.3%)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42 (31.6%)</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117 (29.3%)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Negative</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93 (69.9%)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98 (73.7%)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91 (68.4%)</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282 (70.7%)</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01762A" w:rsidP="00D13A45">
            <w:pPr>
              <w:jc w:val="both"/>
              <w:rPr>
                <w:lang w:val="en-GB"/>
              </w:rPr>
            </w:pPr>
            <w:r w:rsidRPr="00F3533F">
              <w:rPr>
                <w:b/>
                <w:bCs/>
                <w:lang w:val="en-GB"/>
              </w:rPr>
              <w:t>Perception of social b</w:t>
            </w:r>
            <w:r w:rsidR="00432F35" w:rsidRPr="00F3533F">
              <w:rPr>
                <w:b/>
                <w:bCs/>
                <w:lang w:val="en-GB"/>
              </w:rPr>
              <w:t>ell-being</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High</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35 (26.3%)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38 (28.6%)</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33 (24.8%)</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106 (26.6%)</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Low</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98 (73.7%)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95 (71.4%)</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100 (75.2%)</w:t>
            </w:r>
          </w:p>
        </w:tc>
        <w:tc>
          <w:tcPr>
            <w:tcW w:w="1357"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293 (73.4%)</w:t>
            </w:r>
          </w:p>
        </w:tc>
      </w:tr>
      <w:tr w:rsidR="0001762A" w:rsidRPr="00F3533F" w:rsidTr="00E86703">
        <w:trPr>
          <w:trHeight w:val="1005"/>
          <w:tblCellSpacing w:w="15" w:type="dxa"/>
        </w:trPr>
        <w:tc>
          <w:tcPr>
            <w:tcW w:w="0" w:type="auto"/>
            <w:tcMar>
              <w:top w:w="15" w:type="dxa"/>
              <w:left w:w="15" w:type="dxa"/>
              <w:bottom w:w="15" w:type="dxa"/>
              <w:right w:w="15" w:type="dxa"/>
            </w:tcMar>
            <w:vAlign w:val="center"/>
            <w:hideMark/>
          </w:tcPr>
          <w:p w:rsidR="0001762A" w:rsidRPr="00F3533F" w:rsidRDefault="0001762A" w:rsidP="00D13A45">
            <w:pPr>
              <w:spacing w:before="100" w:beforeAutospacing="1" w:after="100" w:afterAutospacing="1"/>
              <w:jc w:val="both"/>
              <w:outlineLvl w:val="2"/>
              <w:rPr>
                <w:b/>
                <w:lang w:val="en-GB"/>
              </w:rPr>
            </w:pPr>
            <w:r w:rsidRPr="00F3533F">
              <w:rPr>
                <w:b/>
                <w:lang w:val="en-GB"/>
              </w:rPr>
              <w:t>Field Research, 2024</w:t>
            </w:r>
          </w:p>
          <w:p w:rsidR="0001762A" w:rsidRPr="00F3533F" w:rsidRDefault="0001762A" w:rsidP="00D13A45">
            <w:pPr>
              <w:jc w:val="both"/>
              <w:rPr>
                <w:lang w:val="en-GB"/>
              </w:rPr>
            </w:pPr>
          </w:p>
        </w:tc>
        <w:tc>
          <w:tcPr>
            <w:tcW w:w="0" w:type="auto"/>
            <w:tcMar>
              <w:top w:w="15" w:type="dxa"/>
              <w:left w:w="15" w:type="dxa"/>
              <w:bottom w:w="15" w:type="dxa"/>
              <w:right w:w="15" w:type="dxa"/>
            </w:tcMar>
            <w:vAlign w:val="center"/>
            <w:hideMark/>
          </w:tcPr>
          <w:p w:rsidR="0001762A" w:rsidRPr="00F3533F" w:rsidRDefault="0001762A" w:rsidP="00D13A45">
            <w:pPr>
              <w:jc w:val="both"/>
              <w:rPr>
                <w:lang w:val="en-GB"/>
              </w:rPr>
            </w:pPr>
          </w:p>
        </w:tc>
        <w:tc>
          <w:tcPr>
            <w:tcW w:w="0" w:type="auto"/>
            <w:tcMar>
              <w:top w:w="15" w:type="dxa"/>
              <w:left w:w="15" w:type="dxa"/>
              <w:bottom w:w="15" w:type="dxa"/>
              <w:right w:w="15" w:type="dxa"/>
            </w:tcMar>
            <w:vAlign w:val="center"/>
            <w:hideMark/>
          </w:tcPr>
          <w:p w:rsidR="0001762A" w:rsidRPr="00F3533F" w:rsidRDefault="0001762A" w:rsidP="00D13A45">
            <w:pPr>
              <w:jc w:val="both"/>
              <w:rPr>
                <w:lang w:val="en-GB"/>
              </w:rPr>
            </w:pPr>
          </w:p>
        </w:tc>
        <w:tc>
          <w:tcPr>
            <w:tcW w:w="0" w:type="auto"/>
            <w:tcMar>
              <w:top w:w="15" w:type="dxa"/>
              <w:left w:w="15" w:type="dxa"/>
              <w:bottom w:w="15" w:type="dxa"/>
              <w:right w:w="15" w:type="dxa"/>
            </w:tcMar>
            <w:vAlign w:val="center"/>
            <w:hideMark/>
          </w:tcPr>
          <w:p w:rsidR="0001762A" w:rsidRPr="00F3533F" w:rsidRDefault="0001762A" w:rsidP="00D13A45">
            <w:pPr>
              <w:jc w:val="both"/>
              <w:rPr>
                <w:lang w:val="en-GB"/>
              </w:rPr>
            </w:pPr>
          </w:p>
        </w:tc>
        <w:tc>
          <w:tcPr>
            <w:tcW w:w="1357" w:type="dxa"/>
            <w:tcMar>
              <w:top w:w="15" w:type="dxa"/>
              <w:left w:w="15" w:type="dxa"/>
              <w:bottom w:w="15" w:type="dxa"/>
              <w:right w:w="15" w:type="dxa"/>
            </w:tcMar>
            <w:vAlign w:val="center"/>
            <w:hideMark/>
          </w:tcPr>
          <w:p w:rsidR="0001762A" w:rsidRPr="00F3533F" w:rsidRDefault="0001762A" w:rsidP="00D13A45">
            <w:pPr>
              <w:jc w:val="both"/>
              <w:rPr>
                <w:lang w:val="en-GB"/>
              </w:rPr>
            </w:pPr>
          </w:p>
        </w:tc>
      </w:tr>
    </w:tbl>
    <w:p w:rsidR="001C06DD" w:rsidRPr="00F3533F" w:rsidRDefault="00D13A45" w:rsidP="004C37E7">
      <w:pPr>
        <w:spacing w:before="100" w:beforeAutospacing="1" w:after="100" w:afterAutospacing="1" w:line="480" w:lineRule="auto"/>
        <w:jc w:val="both"/>
        <w:outlineLvl w:val="2"/>
        <w:rPr>
          <w:b/>
          <w:bCs/>
          <w:lang w:val="en-GB"/>
        </w:rPr>
      </w:pPr>
      <w:r w:rsidRPr="00F3533F">
        <w:rPr>
          <w:lang w:val="en-GB"/>
        </w:rPr>
        <w:t>All respondents we</w:t>
      </w:r>
      <w:r w:rsidR="001C06DD" w:rsidRPr="00F3533F">
        <w:rPr>
          <w:lang w:val="en-GB"/>
        </w:rPr>
        <w:t>re female</w:t>
      </w:r>
      <w:r w:rsidRPr="00F3533F">
        <w:rPr>
          <w:lang w:val="en-GB"/>
        </w:rPr>
        <w:t>s</w:t>
      </w:r>
      <w:r w:rsidR="001C06DD" w:rsidRPr="00F3533F">
        <w:rPr>
          <w:lang w:val="en-GB"/>
        </w:rPr>
        <w:t xml:space="preserve">, as the </w:t>
      </w:r>
      <w:r w:rsidR="00586368" w:rsidRPr="00F3533F">
        <w:rPr>
          <w:lang w:val="en-GB"/>
        </w:rPr>
        <w:t>study focused</w:t>
      </w:r>
      <w:r w:rsidR="001C06DD" w:rsidRPr="00F3533F">
        <w:rPr>
          <w:lang w:val="en-GB"/>
        </w:rPr>
        <w:t xml:space="preserve"> on women aged 15 years and above.</w:t>
      </w:r>
      <w:r w:rsidR="001C06DD" w:rsidRPr="00F3533F">
        <w:rPr>
          <w:bCs/>
          <w:lang w:val="en-GB"/>
        </w:rPr>
        <w:t xml:space="preserve"> The Age Groups are </w:t>
      </w:r>
      <w:r w:rsidR="001C06DD" w:rsidRPr="00F3533F">
        <w:rPr>
          <w:lang w:val="en-GB"/>
        </w:rPr>
        <w:t>divided into three categories, such as 15 – 24, 25–34, 35 and above.</w:t>
      </w:r>
      <w:r w:rsidR="001C06DD" w:rsidRPr="00F3533F">
        <w:rPr>
          <w:b/>
          <w:bCs/>
          <w:lang w:val="en-GB"/>
        </w:rPr>
        <w:t xml:space="preserve"> </w:t>
      </w:r>
      <w:r w:rsidR="001C06DD" w:rsidRPr="00F3533F">
        <w:rPr>
          <w:bCs/>
          <w:lang w:val="en-GB"/>
        </w:rPr>
        <w:t>The Marital Status</w:t>
      </w:r>
      <w:r w:rsidR="001C06DD" w:rsidRPr="00F3533F">
        <w:rPr>
          <w:lang w:val="en-GB"/>
        </w:rPr>
        <w:t xml:space="preserve"> is categorized as Single, Married, and Divorced/Widowed.</w:t>
      </w:r>
      <w:r w:rsidR="001C06DD" w:rsidRPr="00F3533F">
        <w:rPr>
          <w:b/>
          <w:bCs/>
          <w:lang w:val="en-GB"/>
        </w:rPr>
        <w:t xml:space="preserve"> </w:t>
      </w:r>
      <w:r w:rsidR="001C06DD" w:rsidRPr="00F3533F">
        <w:rPr>
          <w:bCs/>
          <w:lang w:val="en-GB"/>
        </w:rPr>
        <w:t>The Level of Education</w:t>
      </w:r>
      <w:r w:rsidR="001C06DD" w:rsidRPr="00F3533F">
        <w:rPr>
          <w:lang w:val="en-GB"/>
        </w:rPr>
        <w:t xml:space="preserve"> is </w:t>
      </w:r>
      <w:r w:rsidR="001C06DD" w:rsidRPr="00F3533F">
        <w:rPr>
          <w:lang w:val="en-GB"/>
        </w:rPr>
        <w:lastRenderedPageBreak/>
        <w:t>itemized as follows: No Formal Education, Primary, Secondary, and Tertiary Education Levels.</w:t>
      </w:r>
      <w:r w:rsidR="001C06DD" w:rsidRPr="00F3533F">
        <w:rPr>
          <w:b/>
          <w:bCs/>
          <w:lang w:val="en-GB"/>
        </w:rPr>
        <w:t xml:space="preserve"> </w:t>
      </w:r>
      <w:r w:rsidR="001C06DD" w:rsidRPr="00F3533F">
        <w:rPr>
          <w:bCs/>
          <w:lang w:val="en-GB"/>
        </w:rPr>
        <w:t>The Employment Status</w:t>
      </w:r>
      <w:r w:rsidR="001C06DD" w:rsidRPr="00F3533F">
        <w:rPr>
          <w:lang w:val="en-GB"/>
        </w:rPr>
        <w:t xml:space="preserve"> indicates whether respondents are employed (informal) or unemployed.</w:t>
      </w:r>
      <w:r w:rsidR="001C06DD" w:rsidRPr="00F3533F">
        <w:rPr>
          <w:b/>
          <w:bCs/>
          <w:lang w:val="en-GB"/>
        </w:rPr>
        <w:t xml:space="preserve"> </w:t>
      </w:r>
      <w:r w:rsidR="001C06DD" w:rsidRPr="00F3533F">
        <w:rPr>
          <w:bCs/>
          <w:lang w:val="en-GB"/>
        </w:rPr>
        <w:t>Access to Educational Opportunities</w:t>
      </w:r>
      <w:r w:rsidR="001C06DD" w:rsidRPr="00F3533F">
        <w:rPr>
          <w:lang w:val="en-GB"/>
        </w:rPr>
        <w:t xml:space="preserve"> denotes whether respondents had access to education while in the camp. </w:t>
      </w:r>
      <w:r w:rsidR="001C06DD" w:rsidRPr="00F3533F">
        <w:rPr>
          <w:bCs/>
          <w:lang w:val="en-GB"/>
        </w:rPr>
        <w:t>Experienced Gender-Based Violence (GBV)</w:t>
      </w:r>
      <w:r w:rsidR="001C06DD" w:rsidRPr="00F3533F">
        <w:rPr>
          <w:lang w:val="en-GB"/>
        </w:rPr>
        <w:t xml:space="preserve"> indicates if respondents reported any experiences of GBV.</w:t>
      </w:r>
      <w:r w:rsidR="001C06DD" w:rsidRPr="00F3533F">
        <w:rPr>
          <w:b/>
          <w:bCs/>
          <w:lang w:val="en-GB"/>
        </w:rPr>
        <w:t xml:space="preserve"> </w:t>
      </w:r>
      <w:r w:rsidR="001C06DD" w:rsidRPr="00F3533F">
        <w:rPr>
          <w:bCs/>
          <w:lang w:val="en-GB"/>
        </w:rPr>
        <w:t>Perception of Camp Social Environment</w:t>
      </w:r>
      <w:r w:rsidR="001C06DD" w:rsidRPr="00F3533F">
        <w:rPr>
          <w:lang w:val="en-GB"/>
        </w:rPr>
        <w:t xml:space="preserve"> represents respondents’ evaluation of their camp environment as positive or negative.</w:t>
      </w:r>
      <w:r w:rsidR="001C06DD" w:rsidRPr="00F3533F">
        <w:rPr>
          <w:b/>
          <w:bCs/>
          <w:lang w:val="en-GB"/>
        </w:rPr>
        <w:t xml:space="preserve"> </w:t>
      </w:r>
      <w:r w:rsidR="001C06DD" w:rsidRPr="00F3533F">
        <w:rPr>
          <w:bCs/>
          <w:lang w:val="en-GB"/>
        </w:rPr>
        <w:t>Perception of Social Well-being</w:t>
      </w:r>
      <w:r w:rsidR="001C06DD" w:rsidRPr="00F3533F">
        <w:rPr>
          <w:lang w:val="en-GB"/>
        </w:rPr>
        <w:t xml:space="preserve"> categorizes respondents’ views of their social well-being as high or low.</w:t>
      </w:r>
    </w:p>
    <w:p w:rsidR="006F0FD5" w:rsidRPr="00F3533F" w:rsidRDefault="006F0FD5"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 xml:space="preserve">Table 2: </w:t>
      </w:r>
      <w:r w:rsidR="001C06DD" w:rsidRPr="00F3533F">
        <w:rPr>
          <w:rFonts w:ascii="Times New Roman" w:hAnsi="Times New Roman" w:cs="Times New Roman"/>
          <w:b/>
          <w:sz w:val="24"/>
          <w:szCs w:val="24"/>
          <w:lang w:val="en-GB"/>
        </w:rPr>
        <w:t>Descriptive analysis – summary of v</w:t>
      </w:r>
      <w:r w:rsidR="00432F35" w:rsidRPr="00F3533F">
        <w:rPr>
          <w:rFonts w:ascii="Times New Roman" w:hAnsi="Times New Roman" w:cs="Times New Roman"/>
          <w:b/>
          <w:sz w:val="24"/>
          <w:szCs w:val="24"/>
          <w:lang w:val="en-GB"/>
        </w:rPr>
        <w:t>ariables</w:t>
      </w:r>
    </w:p>
    <w:p w:rsidR="00432F35" w:rsidRPr="00F3533F" w:rsidRDefault="006F0FD5"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 xml:space="preserve"> </w:t>
      </w:r>
      <w:r w:rsidR="00432F35" w:rsidRPr="00F3533F">
        <w:rPr>
          <w:rFonts w:ascii="Times New Roman" w:hAnsi="Times New Roman" w:cs="Times New Roman"/>
          <w:sz w:val="24"/>
          <w:szCs w:val="24"/>
          <w:lang w:val="en-GB"/>
        </w:rPr>
        <w:t xml:space="preserve">The summary statistics for the key variables were generated using the </w:t>
      </w:r>
      <w:r w:rsidR="00432F35" w:rsidRPr="00F3533F">
        <w:rPr>
          <w:rFonts w:ascii="Times New Roman" w:eastAsia="Courier New" w:hAnsi="Times New Roman" w:cs="Times New Roman"/>
          <w:sz w:val="24"/>
          <w:szCs w:val="24"/>
          <w:lang w:val="en-GB"/>
        </w:rPr>
        <w:t>.describe</w:t>
      </w:r>
      <w:r w:rsidRPr="00F3533F">
        <w:rPr>
          <w:rFonts w:ascii="Times New Roman" w:eastAsia="Courier New" w:hAnsi="Times New Roman" w:cs="Times New Roman"/>
          <w:sz w:val="24"/>
          <w:szCs w:val="24"/>
          <w:lang w:val="en-GB"/>
        </w:rPr>
        <w:t xml:space="preserve"> </w:t>
      </w:r>
      <w:r w:rsidR="00432F35" w:rsidRPr="00F3533F">
        <w:rPr>
          <w:rFonts w:ascii="Times New Roman" w:eastAsia="Courier New" w:hAnsi="Times New Roman" w:cs="Times New Roman"/>
          <w:sz w:val="24"/>
          <w:szCs w:val="24"/>
          <w:lang w:val="en-GB"/>
        </w:rPr>
        <w:t>()</w:t>
      </w:r>
      <w:r w:rsidR="00432F35" w:rsidRPr="00F3533F">
        <w:rPr>
          <w:rFonts w:ascii="Times New Roman" w:hAnsi="Times New Roman" w:cs="Times New Roman"/>
          <w:sz w:val="24"/>
          <w:szCs w:val="24"/>
          <w:lang w:val="en-GB"/>
        </w:rPr>
        <w:t xml:space="preserve"> function on the dataset, which provided the following values:</w:t>
      </w:r>
    </w:p>
    <w:tbl>
      <w:tblPr>
        <w:tblW w:w="0" w:type="auto"/>
        <w:tblCellSpacing w:w="15" w:type="dxa"/>
        <w:tblCellMar>
          <w:top w:w="15" w:type="dxa"/>
          <w:left w:w="15" w:type="dxa"/>
          <w:bottom w:w="15" w:type="dxa"/>
          <w:right w:w="15" w:type="dxa"/>
        </w:tblCellMar>
        <w:tblLook w:val="04A0"/>
      </w:tblPr>
      <w:tblGrid>
        <w:gridCol w:w="2320"/>
        <w:gridCol w:w="1844"/>
        <w:gridCol w:w="1746"/>
        <w:gridCol w:w="1911"/>
        <w:gridCol w:w="1629"/>
      </w:tblGrid>
      <w:tr w:rsidR="00432F35" w:rsidRPr="00F3533F" w:rsidTr="00432F35">
        <w:trPr>
          <w:tblHeade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b/>
                <w:bCs/>
                <w:lang w:val="en-GB"/>
              </w:rPr>
            </w:pPr>
            <w:r w:rsidRPr="00F3533F">
              <w:rPr>
                <w:b/>
                <w:bCs/>
                <w:lang w:val="en-GB"/>
              </w:rPr>
              <w:t>Variable</w:t>
            </w:r>
          </w:p>
        </w:tc>
        <w:tc>
          <w:tcPr>
            <w:tcW w:w="0" w:type="auto"/>
            <w:tcMar>
              <w:top w:w="15" w:type="dxa"/>
              <w:left w:w="15" w:type="dxa"/>
              <w:bottom w:w="15" w:type="dxa"/>
              <w:right w:w="15" w:type="dxa"/>
            </w:tcMar>
            <w:vAlign w:val="center"/>
            <w:hideMark/>
          </w:tcPr>
          <w:p w:rsidR="00432F35" w:rsidRPr="00F3533F" w:rsidRDefault="006F0FD5" w:rsidP="00D13A45">
            <w:pPr>
              <w:jc w:val="both"/>
              <w:rPr>
                <w:b/>
                <w:bCs/>
                <w:lang w:val="en-GB"/>
              </w:rPr>
            </w:pPr>
            <w:r w:rsidRPr="00F3533F">
              <w:rPr>
                <w:b/>
                <w:bCs/>
                <w:lang w:val="en-GB"/>
              </w:rPr>
              <w:t>Educational a</w:t>
            </w:r>
            <w:r w:rsidR="00432F35" w:rsidRPr="00F3533F">
              <w:rPr>
                <w:b/>
                <w:bCs/>
                <w:lang w:val="en-GB"/>
              </w:rPr>
              <w:t>ccess</w:t>
            </w:r>
          </w:p>
        </w:tc>
        <w:tc>
          <w:tcPr>
            <w:tcW w:w="0" w:type="auto"/>
            <w:tcMar>
              <w:top w:w="15" w:type="dxa"/>
              <w:left w:w="15" w:type="dxa"/>
              <w:bottom w:w="15" w:type="dxa"/>
              <w:right w:w="15" w:type="dxa"/>
            </w:tcMar>
            <w:vAlign w:val="center"/>
            <w:hideMark/>
          </w:tcPr>
          <w:p w:rsidR="00432F35" w:rsidRPr="00F3533F" w:rsidRDefault="00432F35" w:rsidP="00D13A45">
            <w:pPr>
              <w:jc w:val="both"/>
              <w:rPr>
                <w:b/>
                <w:bCs/>
                <w:lang w:val="en-GB"/>
              </w:rPr>
            </w:pPr>
            <w:r w:rsidRPr="00F3533F">
              <w:rPr>
                <w:b/>
                <w:bCs/>
                <w:lang w:val="en-GB"/>
              </w:rPr>
              <w:t xml:space="preserve">GBV </w:t>
            </w:r>
            <w:r w:rsidR="006F0FD5" w:rsidRPr="00F3533F">
              <w:rPr>
                <w:b/>
                <w:bCs/>
                <w:lang w:val="en-GB"/>
              </w:rPr>
              <w:t>experienced</w:t>
            </w:r>
          </w:p>
        </w:tc>
        <w:tc>
          <w:tcPr>
            <w:tcW w:w="0" w:type="auto"/>
            <w:tcMar>
              <w:top w:w="15" w:type="dxa"/>
              <w:left w:w="15" w:type="dxa"/>
              <w:bottom w:w="15" w:type="dxa"/>
              <w:right w:w="15" w:type="dxa"/>
            </w:tcMar>
            <w:vAlign w:val="center"/>
            <w:hideMark/>
          </w:tcPr>
          <w:p w:rsidR="00432F35" w:rsidRPr="00F3533F" w:rsidRDefault="00432F35" w:rsidP="00D13A45">
            <w:pPr>
              <w:jc w:val="both"/>
              <w:rPr>
                <w:b/>
                <w:bCs/>
                <w:lang w:val="en-GB"/>
              </w:rPr>
            </w:pPr>
            <w:r w:rsidRPr="00F3533F">
              <w:rPr>
                <w:b/>
                <w:bCs/>
                <w:lang w:val="en-GB"/>
              </w:rPr>
              <w:t xml:space="preserve">Camp </w:t>
            </w:r>
            <w:r w:rsidR="006F0FD5" w:rsidRPr="00F3533F">
              <w:rPr>
                <w:b/>
                <w:bCs/>
                <w:lang w:val="en-GB"/>
              </w:rPr>
              <w:t>environment</w:t>
            </w:r>
          </w:p>
        </w:tc>
        <w:tc>
          <w:tcPr>
            <w:tcW w:w="0" w:type="auto"/>
            <w:tcMar>
              <w:top w:w="15" w:type="dxa"/>
              <w:left w:w="15" w:type="dxa"/>
              <w:bottom w:w="15" w:type="dxa"/>
              <w:right w:w="15" w:type="dxa"/>
            </w:tcMar>
            <w:vAlign w:val="center"/>
            <w:hideMark/>
          </w:tcPr>
          <w:p w:rsidR="00432F35" w:rsidRPr="00F3533F" w:rsidRDefault="00D13A45" w:rsidP="00D13A45">
            <w:pPr>
              <w:jc w:val="both"/>
              <w:rPr>
                <w:b/>
                <w:bCs/>
                <w:lang w:val="en-GB"/>
              </w:rPr>
            </w:pPr>
            <w:r w:rsidRPr="00F3533F">
              <w:rPr>
                <w:b/>
                <w:bCs/>
                <w:lang w:val="en-GB"/>
              </w:rPr>
              <w:t xml:space="preserve">Social </w:t>
            </w:r>
            <w:r w:rsidR="006F0FD5" w:rsidRPr="00F3533F">
              <w:rPr>
                <w:b/>
                <w:bCs/>
                <w:lang w:val="en-GB"/>
              </w:rPr>
              <w:t>well</w:t>
            </w:r>
            <w:r w:rsidR="00432F35" w:rsidRPr="00F3533F">
              <w:rPr>
                <w:b/>
                <w:bCs/>
                <w:lang w:val="en-GB"/>
              </w:rPr>
              <w:t>-being</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Count</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399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399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399</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399</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Mean</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0.330827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0.536341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0.300752</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0.293233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Standard Deviation</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0.471102</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0.499304</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0.459161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0.455816</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Minimum</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25th Percentile (Q1)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Median (50th Percentile)</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75th Percentile (Q3)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Maximum</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r>
    </w:tbl>
    <w:p w:rsidR="00432F35" w:rsidRPr="00F3533F" w:rsidRDefault="00432F35" w:rsidP="004C37E7">
      <w:pPr>
        <w:spacing w:before="240" w:after="240" w:line="480" w:lineRule="auto"/>
        <w:jc w:val="both"/>
        <w:rPr>
          <w:lang w:val="en-GB"/>
        </w:rPr>
      </w:pPr>
      <w:r w:rsidRPr="00F3533F">
        <w:rPr>
          <w:lang w:val="en-GB"/>
        </w:rPr>
        <w:t>This descriptive analysis shows the distribution of responses, where most respondents do not have access to education, have experienced GBV, rate their camp environment negatively, and report low social well-being.</w:t>
      </w:r>
    </w:p>
    <w:p w:rsidR="00432F35" w:rsidRPr="00F3533F" w:rsidRDefault="006F0FD5" w:rsidP="004C37E7">
      <w:pPr>
        <w:spacing w:line="480" w:lineRule="auto"/>
        <w:ind w:firstLine="720"/>
        <w:jc w:val="both"/>
        <w:rPr>
          <w:lang w:val="en-GB"/>
        </w:rPr>
      </w:pPr>
      <w:r w:rsidRPr="00F3533F">
        <w:rPr>
          <w:lang w:val="en-GB"/>
        </w:rPr>
        <w:t xml:space="preserve">We </w:t>
      </w:r>
      <w:r w:rsidR="0001762A" w:rsidRPr="00F3533F">
        <w:rPr>
          <w:lang w:val="en-GB"/>
        </w:rPr>
        <w:t>used</w:t>
      </w:r>
      <w:r w:rsidR="00E86703" w:rsidRPr="00F3533F">
        <w:rPr>
          <w:lang w:val="en-GB"/>
        </w:rPr>
        <w:t xml:space="preserve"> inferential</w:t>
      </w:r>
      <w:r w:rsidRPr="00F3533F">
        <w:rPr>
          <w:lang w:val="en-GB"/>
        </w:rPr>
        <w:t xml:space="preserve"> statistical tools such as the C</w:t>
      </w:r>
      <w:r w:rsidR="0001762A" w:rsidRPr="00F3533F">
        <w:rPr>
          <w:lang w:val="en-GB"/>
        </w:rPr>
        <w:t xml:space="preserve">hi-Square, Pearson Product Moment Correlation </w:t>
      </w:r>
      <w:r w:rsidR="00E86703" w:rsidRPr="00F3533F">
        <w:rPr>
          <w:lang w:val="en-GB"/>
        </w:rPr>
        <w:t>Coefficient and</w:t>
      </w:r>
      <w:r w:rsidR="0001762A" w:rsidRPr="00F3533F">
        <w:rPr>
          <w:lang w:val="en-GB"/>
        </w:rPr>
        <w:t xml:space="preserve"> the Linear Regression A</w:t>
      </w:r>
      <w:r w:rsidR="00E86703" w:rsidRPr="00F3533F">
        <w:rPr>
          <w:lang w:val="en-GB"/>
        </w:rPr>
        <w:t>nalysis to analyse data gather</w:t>
      </w:r>
      <w:r w:rsidR="00586368" w:rsidRPr="00F3533F">
        <w:rPr>
          <w:lang w:val="en-GB"/>
        </w:rPr>
        <w:t>ed</w:t>
      </w:r>
      <w:r w:rsidR="0001762A" w:rsidRPr="00F3533F">
        <w:rPr>
          <w:lang w:val="en-GB"/>
        </w:rPr>
        <w:t xml:space="preserve"> from the field</w:t>
      </w:r>
      <w:r w:rsidR="007B7DEB" w:rsidRPr="00F3533F">
        <w:rPr>
          <w:lang w:val="en-GB"/>
        </w:rPr>
        <w:t>, in order to ascertain relationships among variables</w:t>
      </w:r>
      <w:r w:rsidR="0001762A" w:rsidRPr="00F3533F">
        <w:rPr>
          <w:lang w:val="en-GB"/>
        </w:rPr>
        <w:t>. The analyses are presented below.</w:t>
      </w:r>
    </w:p>
    <w:p w:rsidR="00D87596" w:rsidRPr="00F3533F" w:rsidRDefault="00D87596" w:rsidP="004C37E7">
      <w:pPr>
        <w:spacing w:line="480" w:lineRule="auto"/>
        <w:ind w:firstLine="720"/>
        <w:jc w:val="both"/>
        <w:rPr>
          <w:lang w:val="en-GB"/>
        </w:rPr>
      </w:pPr>
    </w:p>
    <w:p w:rsidR="00432F35" w:rsidRPr="00F3533F" w:rsidRDefault="00E86703"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Chi-square test: camp environment vs. GBV e</w:t>
      </w:r>
      <w:r w:rsidR="00432F35" w:rsidRPr="00F3533F">
        <w:rPr>
          <w:rFonts w:ascii="Times New Roman" w:hAnsi="Times New Roman" w:cs="Times New Roman"/>
          <w:b/>
          <w:sz w:val="24"/>
          <w:szCs w:val="24"/>
          <w:lang w:val="en-GB"/>
        </w:rPr>
        <w:t>xperience</w:t>
      </w:r>
    </w:p>
    <w:p w:rsidR="00432F35" w:rsidRPr="00F3533F" w:rsidRDefault="00432F35"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We used a chi-square test of independence to determine whether there is a statistically significant relationship between the camp environment and GBV experience.</w:t>
      </w:r>
    </w:p>
    <w:p w:rsidR="00432F35" w:rsidRPr="00F3533F" w:rsidRDefault="00D87596" w:rsidP="00D13A45">
      <w:pPr>
        <w:spacing w:before="240"/>
        <w:jc w:val="both"/>
        <w:rPr>
          <w:lang w:val="en-GB"/>
        </w:rPr>
      </w:pPr>
      <w:r w:rsidRPr="00F3533F">
        <w:rPr>
          <w:b/>
          <w:bCs/>
          <w:lang w:val="en-GB"/>
        </w:rPr>
        <w:t>Observed d</w:t>
      </w:r>
      <w:r w:rsidR="00432F35" w:rsidRPr="00F3533F">
        <w:rPr>
          <w:b/>
          <w:bCs/>
          <w:lang w:val="en-GB"/>
        </w:rPr>
        <w:t>ata</w:t>
      </w:r>
      <w:r w:rsidR="00432F35" w:rsidRPr="00F3533F">
        <w:rPr>
          <w:lang w:val="en-GB"/>
        </w:rPr>
        <w:t xml:space="preserve"> (from the crosstab of Camp Environment and GBV Experience):</w:t>
      </w:r>
    </w:p>
    <w:p w:rsidR="00432F35" w:rsidRPr="00F3533F" w:rsidRDefault="00432F35" w:rsidP="00D13A45">
      <w:pPr>
        <w:pStyle w:val="ListParagraph"/>
        <w:jc w:val="both"/>
        <w:rPr>
          <w:lang w:val="en-GB"/>
        </w:rPr>
      </w:pPr>
      <w:r w:rsidRPr="00F3533F">
        <w:rPr>
          <w:lang w:val="en-GB"/>
        </w:rPr>
        <w:t xml:space="preserve">Positive Camp Environment and Experienced GBV                                            </w:t>
      </w:r>
      <w:r w:rsidR="00D13A45" w:rsidRPr="00F3533F">
        <w:rPr>
          <w:lang w:val="en-GB"/>
        </w:rPr>
        <w:t xml:space="preserve"> </w:t>
      </w:r>
      <w:r w:rsidRPr="00F3533F">
        <w:rPr>
          <w:lang w:val="en-GB"/>
        </w:rPr>
        <w:t>86</w:t>
      </w:r>
    </w:p>
    <w:p w:rsidR="00432F35" w:rsidRPr="00F3533F" w:rsidRDefault="00432F35" w:rsidP="00D13A45">
      <w:pPr>
        <w:pStyle w:val="ListParagraph"/>
        <w:jc w:val="both"/>
        <w:rPr>
          <w:lang w:val="en-GB"/>
        </w:rPr>
      </w:pPr>
      <w:r w:rsidRPr="00F3533F">
        <w:rPr>
          <w:lang w:val="en-GB"/>
        </w:rPr>
        <w:t>Positive Camp Environment and No GBV                                                           31</w:t>
      </w:r>
    </w:p>
    <w:p w:rsidR="00432F35" w:rsidRPr="00F3533F" w:rsidRDefault="00432F35" w:rsidP="00D13A45">
      <w:pPr>
        <w:pStyle w:val="ListParagraph"/>
        <w:jc w:val="both"/>
        <w:rPr>
          <w:lang w:val="en-GB"/>
        </w:rPr>
      </w:pPr>
      <w:r w:rsidRPr="00F3533F">
        <w:rPr>
          <w:lang w:val="en-GB"/>
        </w:rPr>
        <w:t xml:space="preserve">Negative Camp Environment and Experienced GBV                                        </w:t>
      </w:r>
      <w:r w:rsidR="00D13A45" w:rsidRPr="00F3533F">
        <w:rPr>
          <w:lang w:val="en-GB"/>
        </w:rPr>
        <w:t xml:space="preserve"> </w:t>
      </w:r>
      <w:r w:rsidRPr="00F3533F">
        <w:rPr>
          <w:lang w:val="en-GB"/>
        </w:rPr>
        <w:t>130</w:t>
      </w:r>
    </w:p>
    <w:p w:rsidR="00432F35" w:rsidRPr="00F3533F" w:rsidRDefault="00432F35" w:rsidP="00D13A45">
      <w:pPr>
        <w:pStyle w:val="ListParagraph"/>
        <w:spacing w:after="240"/>
        <w:jc w:val="both"/>
        <w:rPr>
          <w:lang w:val="en-GB"/>
        </w:rPr>
      </w:pPr>
      <w:r w:rsidRPr="00F3533F">
        <w:rPr>
          <w:lang w:val="en-GB"/>
        </w:rPr>
        <w:t>Negative Camp Environment and No GBV                                                         72</w:t>
      </w:r>
    </w:p>
    <w:tbl>
      <w:tblPr>
        <w:tblW w:w="10945" w:type="dxa"/>
        <w:tblCellSpacing w:w="15" w:type="dxa"/>
        <w:tblCellMar>
          <w:top w:w="15" w:type="dxa"/>
          <w:left w:w="15" w:type="dxa"/>
          <w:bottom w:w="15" w:type="dxa"/>
          <w:right w:w="15" w:type="dxa"/>
        </w:tblCellMar>
        <w:tblLook w:val="04A0"/>
      </w:tblPr>
      <w:tblGrid>
        <w:gridCol w:w="2745"/>
        <w:gridCol w:w="3086"/>
        <w:gridCol w:w="2838"/>
        <w:gridCol w:w="2276"/>
      </w:tblGrid>
      <w:tr w:rsidR="00432F35" w:rsidRPr="00F3533F" w:rsidTr="006D0224">
        <w:trPr>
          <w:tblHeader/>
          <w:tblCellSpacing w:w="15" w:type="dxa"/>
        </w:trPr>
        <w:tc>
          <w:tcPr>
            <w:tcW w:w="2700" w:type="dxa"/>
            <w:tcMar>
              <w:top w:w="15" w:type="dxa"/>
              <w:left w:w="15" w:type="dxa"/>
              <w:bottom w:w="15" w:type="dxa"/>
              <w:right w:w="15" w:type="dxa"/>
            </w:tcMar>
            <w:vAlign w:val="center"/>
            <w:hideMark/>
          </w:tcPr>
          <w:p w:rsidR="00432F35" w:rsidRPr="00F3533F" w:rsidRDefault="00281B94" w:rsidP="00D13A45">
            <w:pPr>
              <w:jc w:val="both"/>
              <w:rPr>
                <w:b/>
                <w:bCs/>
                <w:lang w:val="en-GB"/>
              </w:rPr>
            </w:pPr>
            <w:r>
              <w:rPr>
                <w:b/>
                <w:bCs/>
                <w:lang w:val="en-GB"/>
              </w:rPr>
              <w:t>Table3:</w:t>
            </w:r>
            <w:r w:rsidR="006D0224">
              <w:rPr>
                <w:b/>
                <w:bCs/>
                <w:lang w:val="en-GB"/>
              </w:rPr>
              <w:t xml:space="preserve"> </w:t>
            </w:r>
            <w:r>
              <w:rPr>
                <w:b/>
                <w:bCs/>
                <w:lang w:val="en-GB"/>
              </w:rPr>
              <w:t>GBV</w:t>
            </w:r>
            <w:r w:rsidR="006D0224">
              <w:rPr>
                <w:b/>
                <w:bCs/>
                <w:lang w:val="en-GB"/>
              </w:rPr>
              <w:t xml:space="preserve"> </w:t>
            </w:r>
            <w:r>
              <w:rPr>
                <w:b/>
                <w:bCs/>
                <w:lang w:val="en-GB"/>
              </w:rPr>
              <w:t xml:space="preserve">experiences          </w:t>
            </w:r>
          </w:p>
          <w:p w:rsidR="002354F6" w:rsidRPr="00F3533F" w:rsidRDefault="002354F6" w:rsidP="00D13A45">
            <w:pPr>
              <w:jc w:val="both"/>
              <w:rPr>
                <w:b/>
                <w:bCs/>
                <w:lang w:val="en-GB"/>
              </w:rPr>
            </w:pPr>
          </w:p>
          <w:p w:rsidR="002354F6" w:rsidRPr="00F3533F" w:rsidRDefault="002354F6" w:rsidP="00D13A45">
            <w:pPr>
              <w:jc w:val="both"/>
              <w:rPr>
                <w:b/>
                <w:bCs/>
                <w:lang w:val="en-GB"/>
              </w:rPr>
            </w:pPr>
          </w:p>
        </w:tc>
        <w:tc>
          <w:tcPr>
            <w:tcW w:w="3056" w:type="dxa"/>
            <w:tcMar>
              <w:top w:w="15" w:type="dxa"/>
              <w:left w:w="15" w:type="dxa"/>
              <w:bottom w:w="15" w:type="dxa"/>
              <w:right w:w="15" w:type="dxa"/>
            </w:tcMar>
            <w:vAlign w:val="center"/>
            <w:hideMark/>
          </w:tcPr>
          <w:p w:rsidR="00432F35" w:rsidRPr="00F3533F" w:rsidRDefault="00DB40F8" w:rsidP="00D13A45">
            <w:pPr>
              <w:jc w:val="both"/>
              <w:rPr>
                <w:b/>
                <w:bCs/>
                <w:lang w:val="en-GB"/>
              </w:rPr>
            </w:pPr>
            <w:r w:rsidRPr="00F3533F">
              <w:rPr>
                <w:b/>
                <w:bCs/>
                <w:lang w:val="en-GB"/>
              </w:rPr>
              <w:t>GBV e</w:t>
            </w:r>
            <w:r w:rsidR="00432F35" w:rsidRPr="00F3533F">
              <w:rPr>
                <w:b/>
                <w:bCs/>
                <w:lang w:val="en-GB"/>
              </w:rPr>
              <w:t>xperienced (Yes)</w:t>
            </w:r>
          </w:p>
        </w:tc>
        <w:tc>
          <w:tcPr>
            <w:tcW w:w="2808" w:type="dxa"/>
            <w:tcMar>
              <w:top w:w="15" w:type="dxa"/>
              <w:left w:w="15" w:type="dxa"/>
              <w:bottom w:w="15" w:type="dxa"/>
              <w:right w:w="15" w:type="dxa"/>
            </w:tcMar>
            <w:vAlign w:val="center"/>
            <w:hideMark/>
          </w:tcPr>
          <w:p w:rsidR="00432F35" w:rsidRPr="00F3533F" w:rsidRDefault="00DB40F8" w:rsidP="00D13A45">
            <w:pPr>
              <w:jc w:val="both"/>
              <w:rPr>
                <w:b/>
                <w:bCs/>
                <w:lang w:val="en-GB"/>
              </w:rPr>
            </w:pPr>
            <w:r w:rsidRPr="00F3533F">
              <w:rPr>
                <w:b/>
                <w:bCs/>
                <w:lang w:val="en-GB"/>
              </w:rPr>
              <w:t xml:space="preserve">   GBV e</w:t>
            </w:r>
            <w:r w:rsidR="00432F35" w:rsidRPr="00F3533F">
              <w:rPr>
                <w:b/>
                <w:bCs/>
                <w:lang w:val="en-GB"/>
              </w:rPr>
              <w:t>xperienced (No)</w:t>
            </w:r>
          </w:p>
        </w:tc>
        <w:tc>
          <w:tcPr>
            <w:tcW w:w="2231" w:type="dxa"/>
            <w:tcMar>
              <w:top w:w="15" w:type="dxa"/>
              <w:left w:w="15" w:type="dxa"/>
              <w:bottom w:w="15" w:type="dxa"/>
              <w:right w:w="15" w:type="dxa"/>
            </w:tcMar>
            <w:vAlign w:val="center"/>
            <w:hideMark/>
          </w:tcPr>
          <w:p w:rsidR="00432F35" w:rsidRPr="00F3533F" w:rsidRDefault="00432F35" w:rsidP="00D13A45">
            <w:pPr>
              <w:jc w:val="both"/>
              <w:rPr>
                <w:b/>
                <w:bCs/>
                <w:lang w:val="en-GB"/>
              </w:rPr>
            </w:pPr>
            <w:r w:rsidRPr="00F3533F">
              <w:rPr>
                <w:b/>
                <w:bCs/>
                <w:lang w:val="en-GB"/>
              </w:rPr>
              <w:t xml:space="preserve">         Total</w:t>
            </w:r>
          </w:p>
        </w:tc>
      </w:tr>
      <w:tr w:rsidR="00432F35" w:rsidRPr="00F3533F" w:rsidTr="006D0224">
        <w:trPr>
          <w:tblCellSpacing w:w="15" w:type="dxa"/>
        </w:trPr>
        <w:tc>
          <w:tcPr>
            <w:tcW w:w="2700" w:type="dxa"/>
            <w:tcMar>
              <w:top w:w="15" w:type="dxa"/>
              <w:left w:w="15" w:type="dxa"/>
              <w:bottom w:w="15" w:type="dxa"/>
              <w:right w:w="15" w:type="dxa"/>
            </w:tcMar>
            <w:vAlign w:val="center"/>
            <w:hideMark/>
          </w:tcPr>
          <w:p w:rsidR="00432F35" w:rsidRPr="00F3533F" w:rsidRDefault="007B7DEB" w:rsidP="00D13A45">
            <w:pPr>
              <w:jc w:val="both"/>
              <w:rPr>
                <w:lang w:val="en-GB"/>
              </w:rPr>
            </w:pPr>
            <w:r w:rsidRPr="00F3533F">
              <w:rPr>
                <w:b/>
                <w:bCs/>
                <w:lang w:val="en-GB"/>
              </w:rPr>
              <w:t>Positive      e</w:t>
            </w:r>
            <w:r w:rsidR="00432F35" w:rsidRPr="00F3533F">
              <w:rPr>
                <w:b/>
                <w:bCs/>
                <w:lang w:val="en-GB"/>
              </w:rPr>
              <w:t>nvironment</w:t>
            </w:r>
          </w:p>
        </w:tc>
        <w:tc>
          <w:tcPr>
            <w:tcW w:w="3056"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86</w:t>
            </w:r>
          </w:p>
        </w:tc>
        <w:tc>
          <w:tcPr>
            <w:tcW w:w="2808"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31</w:t>
            </w:r>
          </w:p>
        </w:tc>
        <w:tc>
          <w:tcPr>
            <w:tcW w:w="2231"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117</w:t>
            </w:r>
          </w:p>
        </w:tc>
      </w:tr>
      <w:tr w:rsidR="00432F35" w:rsidRPr="00F3533F" w:rsidTr="006D0224">
        <w:trPr>
          <w:tblCellSpacing w:w="15" w:type="dxa"/>
        </w:trPr>
        <w:tc>
          <w:tcPr>
            <w:tcW w:w="2700" w:type="dxa"/>
            <w:tcMar>
              <w:top w:w="15" w:type="dxa"/>
              <w:left w:w="15" w:type="dxa"/>
              <w:bottom w:w="15" w:type="dxa"/>
              <w:right w:w="15" w:type="dxa"/>
            </w:tcMar>
            <w:vAlign w:val="center"/>
            <w:hideMark/>
          </w:tcPr>
          <w:p w:rsidR="00432F35" w:rsidRPr="00F3533F" w:rsidRDefault="007B7DEB" w:rsidP="00D13A45">
            <w:pPr>
              <w:jc w:val="both"/>
              <w:rPr>
                <w:lang w:val="en-GB"/>
              </w:rPr>
            </w:pPr>
            <w:r w:rsidRPr="00F3533F">
              <w:rPr>
                <w:b/>
                <w:bCs/>
                <w:lang w:val="en-GB"/>
              </w:rPr>
              <w:t>Negative e</w:t>
            </w:r>
            <w:r w:rsidR="00432F35" w:rsidRPr="00F3533F">
              <w:rPr>
                <w:b/>
                <w:bCs/>
                <w:lang w:val="en-GB"/>
              </w:rPr>
              <w:t>nvironment</w:t>
            </w:r>
          </w:p>
        </w:tc>
        <w:tc>
          <w:tcPr>
            <w:tcW w:w="3056"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130</w:t>
            </w:r>
          </w:p>
        </w:tc>
        <w:tc>
          <w:tcPr>
            <w:tcW w:w="2808"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72</w:t>
            </w:r>
          </w:p>
        </w:tc>
        <w:tc>
          <w:tcPr>
            <w:tcW w:w="2231"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202</w:t>
            </w:r>
          </w:p>
        </w:tc>
      </w:tr>
      <w:tr w:rsidR="00432F35" w:rsidRPr="00F3533F" w:rsidTr="006D0224">
        <w:trPr>
          <w:tblCellSpacing w:w="15" w:type="dxa"/>
        </w:trPr>
        <w:tc>
          <w:tcPr>
            <w:tcW w:w="2700"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b/>
                <w:bCs/>
                <w:lang w:val="en-GB"/>
              </w:rPr>
              <w:t>Total</w:t>
            </w:r>
          </w:p>
        </w:tc>
        <w:tc>
          <w:tcPr>
            <w:tcW w:w="3056"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216</w:t>
            </w:r>
          </w:p>
        </w:tc>
        <w:tc>
          <w:tcPr>
            <w:tcW w:w="2808"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103</w:t>
            </w:r>
          </w:p>
        </w:tc>
        <w:tc>
          <w:tcPr>
            <w:tcW w:w="2231" w:type="dxa"/>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 xml:space="preserve">          399</w:t>
            </w:r>
          </w:p>
        </w:tc>
      </w:tr>
    </w:tbl>
    <w:p w:rsidR="00432F35" w:rsidRPr="00F3533F" w:rsidRDefault="00432F35" w:rsidP="00D13A45">
      <w:pPr>
        <w:spacing w:before="240" w:after="240"/>
        <w:ind w:left="720"/>
        <w:jc w:val="both"/>
        <w:rPr>
          <w:lang w:val="en-GB"/>
        </w:rPr>
      </w:pPr>
      <w:r w:rsidRPr="00F3533F">
        <w:rPr>
          <w:b/>
          <w:bCs/>
          <w:lang w:val="en-GB"/>
        </w:rPr>
        <w:t>C</w:t>
      </w:r>
      <w:r w:rsidR="00DB40F8" w:rsidRPr="00F3533F">
        <w:rPr>
          <w:b/>
          <w:bCs/>
          <w:lang w:val="en-GB"/>
        </w:rPr>
        <w:t>hi-Square c</w:t>
      </w:r>
      <w:r w:rsidRPr="00F3533F">
        <w:rPr>
          <w:b/>
          <w:bCs/>
          <w:lang w:val="en-GB"/>
        </w:rPr>
        <w:t>alculation</w:t>
      </w:r>
      <w:r w:rsidRPr="00F3533F">
        <w:rPr>
          <w:lang w:val="en-GB"/>
        </w:rPr>
        <w:t>:</w:t>
      </w:r>
    </w:p>
    <w:p w:rsidR="00432F35" w:rsidRPr="00F3533F" w:rsidRDefault="008C080F" w:rsidP="00D13A45">
      <w:pPr>
        <w:ind w:left="720"/>
        <w:jc w:val="both"/>
        <w:rPr>
          <w:lang w:val="en-GB"/>
        </w:rPr>
      </w:pPr>
      <m:oMathPara>
        <m:oMathParaPr>
          <m:jc m:val="left"/>
        </m:oMathParaPr>
        <m:oMath>
          <m:sSup>
            <m:sSupPr>
              <m:ctrlPr>
                <w:rPr>
                  <w:rFonts w:ascii="Cambria Math"/>
                  <w:lang w:val="en-GB"/>
                </w:rPr>
              </m:ctrlPr>
            </m:sSupPr>
            <m:e>
              <m:r>
                <w:rPr>
                  <w:rFonts w:ascii="Cambria Math" w:eastAsia="Cambria Math" w:hAnsi="Cambria Math"/>
                  <w:lang w:val="en-GB"/>
                </w:rPr>
                <m:t>χ</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f>
            <m:fPr>
              <m:ctrlPr>
                <w:rPr>
                  <w:rFonts w:ascii="Cambria Math"/>
                  <w:lang w:val="en-GB"/>
                </w:rPr>
              </m:ctrlPr>
            </m:fPr>
            <m:num>
              <m:r>
                <w:rPr>
                  <w:rFonts w:ascii="Cambria Math" w:eastAsia="Cambria Math"/>
                  <w:lang w:val="en-GB"/>
                </w:rPr>
                <m:t>(</m:t>
              </m:r>
              <m:r>
                <w:rPr>
                  <w:rFonts w:ascii="Cambria Math" w:eastAsia="Cambria Math" w:hAnsi="Cambria Math"/>
                  <w:lang w:val="en-GB"/>
                </w:rPr>
                <m:t>O</m:t>
              </m:r>
              <m:r>
                <w:rPr>
                  <w:rFonts w:eastAsia="Cambria Math"/>
                  <w:lang w:val="en-GB"/>
                </w:rPr>
                <m:t>-</m:t>
              </m:r>
              <m:r>
                <w:rPr>
                  <w:rFonts w:ascii="Cambria Math" w:eastAsia="Cambria Math" w:hAnsi="Cambria Math"/>
                  <w:lang w:val="en-GB"/>
                </w:rPr>
                <m:t>E</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num>
            <m:den>
              <m:r>
                <w:rPr>
                  <w:rFonts w:ascii="Cambria Math" w:eastAsia="Cambria Math" w:hAnsi="Cambria Math"/>
                  <w:lang w:val="en-GB"/>
                </w:rPr>
                <m:t>E</m:t>
              </m:r>
            </m:den>
          </m:f>
        </m:oMath>
      </m:oMathPara>
    </w:p>
    <w:p w:rsidR="00432F35" w:rsidRPr="00F3533F" w:rsidRDefault="00432F35" w:rsidP="00D13A45">
      <w:pPr>
        <w:ind w:left="720"/>
        <w:jc w:val="both"/>
        <w:rPr>
          <w:rStyle w:val="katex-mathml"/>
          <w:rFonts w:eastAsia="Calibri"/>
          <w:lang w:val="en-GB"/>
        </w:rPr>
      </w:pPr>
    </w:p>
    <w:p w:rsidR="00432F35" w:rsidRPr="00F3533F" w:rsidRDefault="00432F35" w:rsidP="00D13A45">
      <w:pPr>
        <w:pStyle w:val="NoSpacing"/>
        <w:ind w:left="720"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Where:   </w:t>
      </w:r>
      <m:oMath>
        <m:r>
          <w:rPr>
            <w:rFonts w:ascii="Times New Roman" w:eastAsia="Cambria Math" w:hAnsi="Times New Roman" w:cs="Times New Roman"/>
            <w:sz w:val="24"/>
            <w:szCs w:val="24"/>
            <w:lang w:val="en-GB"/>
          </w:rPr>
          <m:t>∑</m:t>
        </m:r>
      </m:oMath>
      <w:r w:rsidRPr="00F3533F">
        <w:rPr>
          <w:rFonts w:ascii="Times New Roman" w:hAnsi="Times New Roman" w:cs="Times New Roman"/>
          <w:sz w:val="24"/>
          <w:szCs w:val="24"/>
          <w:lang w:val="en-GB"/>
        </w:rPr>
        <w:t xml:space="preserve">  is the summation </w:t>
      </w:r>
      <w:proofErr w:type="gramStart"/>
      <w:r w:rsidRPr="00F3533F">
        <w:rPr>
          <w:rFonts w:ascii="Times New Roman" w:hAnsi="Times New Roman" w:cs="Times New Roman"/>
          <w:sz w:val="24"/>
          <w:szCs w:val="24"/>
          <w:lang w:val="en-GB"/>
        </w:rPr>
        <w:t>of.</w:t>
      </w:r>
      <w:proofErr w:type="gramEnd"/>
      <w:r w:rsidRPr="00F3533F">
        <w:rPr>
          <w:rFonts w:ascii="Times New Roman" w:hAnsi="Times New Roman" w:cs="Times New Roman"/>
          <w:sz w:val="24"/>
          <w:szCs w:val="24"/>
          <w:lang w:val="en-GB"/>
        </w:rPr>
        <w:t xml:space="preserve">                   </w:t>
      </w:r>
    </w:p>
    <w:p w:rsidR="00432F35" w:rsidRPr="00F3533F" w:rsidRDefault="002354F6" w:rsidP="00D13A45">
      <w:pPr>
        <w:pStyle w:val="NoSpacing"/>
        <w:ind w:left="720"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              </w:t>
      </w:r>
      <w:proofErr w:type="gramStart"/>
      <w:r w:rsidR="00432F35" w:rsidRPr="00F3533F">
        <w:rPr>
          <w:rFonts w:ascii="Times New Roman" w:hAnsi="Times New Roman" w:cs="Times New Roman"/>
          <w:sz w:val="24"/>
          <w:szCs w:val="24"/>
          <w:lang w:val="en-GB"/>
        </w:rPr>
        <w:t>O  is</w:t>
      </w:r>
      <w:proofErr w:type="gramEnd"/>
      <w:r w:rsidR="00432F35" w:rsidRPr="00F3533F">
        <w:rPr>
          <w:rFonts w:ascii="Times New Roman" w:hAnsi="Times New Roman" w:cs="Times New Roman"/>
          <w:sz w:val="24"/>
          <w:szCs w:val="24"/>
          <w:lang w:val="en-GB"/>
        </w:rPr>
        <w:t xml:space="preserve"> the observed frequency.</w:t>
      </w:r>
    </w:p>
    <w:p w:rsidR="00432F35" w:rsidRPr="00F3533F" w:rsidRDefault="00432F35" w:rsidP="00D13A45">
      <w:pPr>
        <w:pStyle w:val="NoSpacing"/>
        <w:jc w:val="both"/>
        <w:rPr>
          <w:rFonts w:ascii="Times New Roman" w:hAnsi="Times New Roman" w:cs="Times New Roman"/>
          <w:sz w:val="24"/>
          <w:szCs w:val="24"/>
          <w:lang w:val="en-GB"/>
        </w:rPr>
      </w:pPr>
      <w:r w:rsidRPr="00F3533F">
        <w:rPr>
          <w:rStyle w:val="mordmathnormal"/>
          <w:rFonts w:ascii="Times New Roman" w:hAnsi="Times New Roman" w:cs="Times New Roman"/>
          <w:sz w:val="24"/>
          <w:szCs w:val="24"/>
          <w:lang w:val="en-GB"/>
        </w:rPr>
        <w:t xml:space="preserve">       </w:t>
      </w:r>
      <w:r w:rsidR="002354F6" w:rsidRPr="00F3533F">
        <w:rPr>
          <w:rStyle w:val="mordmathnormal"/>
          <w:rFonts w:ascii="Times New Roman" w:hAnsi="Times New Roman" w:cs="Times New Roman"/>
          <w:sz w:val="24"/>
          <w:szCs w:val="24"/>
          <w:lang w:val="en-GB"/>
        </w:rPr>
        <w:t xml:space="preserve">                             </w:t>
      </w:r>
      <w:proofErr w:type="gramStart"/>
      <w:r w:rsidRPr="00F3533F">
        <w:rPr>
          <w:rStyle w:val="mordmathnormal"/>
          <w:rFonts w:ascii="Times New Roman" w:hAnsi="Times New Roman" w:cs="Times New Roman"/>
          <w:sz w:val="24"/>
          <w:szCs w:val="24"/>
          <w:lang w:val="en-GB"/>
        </w:rPr>
        <w:t xml:space="preserve">E </w:t>
      </w:r>
      <w:r w:rsidRPr="00F3533F">
        <w:rPr>
          <w:rFonts w:ascii="Times New Roman" w:hAnsi="Times New Roman" w:cs="Times New Roman"/>
          <w:sz w:val="24"/>
          <w:szCs w:val="24"/>
          <w:lang w:val="en-GB"/>
        </w:rPr>
        <w:t xml:space="preserve"> is</w:t>
      </w:r>
      <w:proofErr w:type="gramEnd"/>
      <w:r w:rsidRPr="00F3533F">
        <w:rPr>
          <w:rFonts w:ascii="Times New Roman" w:hAnsi="Times New Roman" w:cs="Times New Roman"/>
          <w:sz w:val="24"/>
          <w:szCs w:val="24"/>
          <w:lang w:val="en-GB"/>
        </w:rPr>
        <w:t xml:space="preserve"> the expected frequency, calculated as:</w:t>
      </w:r>
    </w:p>
    <w:p w:rsidR="00432F35" w:rsidRPr="00F3533F" w:rsidRDefault="00432F35" w:rsidP="00D13A45">
      <w:pPr>
        <w:pStyle w:val="NoSpacing"/>
        <w:jc w:val="both"/>
        <w:rPr>
          <w:rFonts w:ascii="Times New Roman" w:hAnsi="Times New Roman" w:cs="Times New Roman"/>
          <w:sz w:val="24"/>
          <w:szCs w:val="24"/>
          <w:lang w:val="en-GB"/>
        </w:rPr>
      </w:pPr>
    </w:p>
    <w:p w:rsidR="00432F35" w:rsidRPr="00F3533F" w:rsidRDefault="00432F35" w:rsidP="00D13A45">
      <w:pPr>
        <w:pStyle w:val="NoSpacing"/>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             </w:t>
      </w:r>
      <m:oMath>
        <m:r>
          <w:rPr>
            <w:rFonts w:ascii="Cambria Math" w:eastAsia="Cambria Math" w:hAnsi="Cambria Math" w:cs="Times New Roman"/>
            <w:sz w:val="24"/>
            <w:szCs w:val="24"/>
            <w:lang w:val="en-GB"/>
          </w:rPr>
          <m:t>E</m:t>
        </m:r>
        <m:r>
          <w:rPr>
            <w:rFonts w:ascii="Cambria Math" w:eastAsia="Cambria Math" w:hAnsi="Times New Roman" w:cs="Times New Roman"/>
            <w:sz w:val="24"/>
            <w:szCs w:val="24"/>
            <w:lang w:val="en-GB"/>
          </w:rPr>
          <m:t>=</m:t>
        </m:r>
        <m:f>
          <m:fPr>
            <m:ctrlPr>
              <w:rPr>
                <w:rFonts w:ascii="Cambria Math" w:hAnsi="Times New Roman" w:cs="Times New Roman"/>
                <w:sz w:val="24"/>
                <w:szCs w:val="24"/>
                <w:lang w:val="en-GB"/>
              </w:rPr>
            </m:ctrlPr>
          </m:fPr>
          <m:num>
            <m:r>
              <w:rPr>
                <w:rFonts w:ascii="Cambria Math" w:eastAsia="Cambria Math" w:hAnsi="Times New Roman" w:cs="Times New Roman"/>
                <w:sz w:val="24"/>
                <w:szCs w:val="24"/>
                <w:lang w:val="en-GB"/>
              </w:rPr>
              <m:t>(</m:t>
            </m:r>
            <m:r>
              <w:rPr>
                <w:rFonts w:ascii="Cambria Math" w:eastAsia="Cambria Math" w:hAnsi="Cambria Math" w:cs="Times New Roman"/>
                <w:sz w:val="24"/>
                <w:szCs w:val="24"/>
                <w:lang w:val="en-GB"/>
              </w:rPr>
              <m:t>row</m:t>
            </m:r>
            <m:r>
              <m:rPr>
                <m:nor/>
              </m:rPr>
              <w:rPr>
                <w:rFonts w:ascii="Times New Roman" w:eastAsia="Cambria Math" w:hAnsi="Times New Roman" w:cs="Times New Roman"/>
                <w:sz w:val="24"/>
                <w:szCs w:val="24"/>
                <w:lang w:val="en-GB"/>
              </w:rPr>
              <m:t> </m:t>
            </m:r>
            <m:r>
              <w:rPr>
                <w:rFonts w:ascii="Cambria Math" w:eastAsia="Cambria Math" w:hAnsi="Cambria Math" w:cs="Times New Roman"/>
                <w:sz w:val="24"/>
                <w:szCs w:val="24"/>
                <w:lang w:val="en-GB"/>
              </w:rPr>
              <m:t>total</m:t>
            </m:r>
            <m:r>
              <w:rPr>
                <w:rFonts w:ascii="Cambria Math" w:eastAsia="Cambria Math" w:hAnsi="Times New Roman" w:cs="Times New Roman"/>
                <w:sz w:val="24"/>
                <w:szCs w:val="24"/>
                <w:lang w:val="en-GB"/>
              </w:rPr>
              <m:t>×</m:t>
            </m:r>
            <m:r>
              <w:rPr>
                <w:rFonts w:ascii="Cambria Math" w:eastAsia="Cambria Math" w:hAnsi="Cambria Math" w:cs="Times New Roman"/>
                <w:sz w:val="24"/>
                <w:szCs w:val="24"/>
                <w:lang w:val="en-GB"/>
              </w:rPr>
              <m:t>column</m:t>
            </m:r>
            <m:r>
              <m:rPr>
                <m:nor/>
              </m:rPr>
              <w:rPr>
                <w:rFonts w:ascii="Times New Roman" w:eastAsia="Cambria Math" w:hAnsi="Times New Roman" w:cs="Times New Roman"/>
                <w:sz w:val="24"/>
                <w:szCs w:val="24"/>
                <w:lang w:val="en-GB"/>
              </w:rPr>
              <m:t> </m:t>
            </m:r>
            <m:r>
              <w:rPr>
                <w:rFonts w:ascii="Cambria Math" w:eastAsia="Cambria Math" w:hAnsi="Cambria Math" w:cs="Times New Roman"/>
                <w:sz w:val="24"/>
                <w:szCs w:val="24"/>
                <w:lang w:val="en-GB"/>
              </w:rPr>
              <m:t>total</m:t>
            </m:r>
            <m:r>
              <w:rPr>
                <w:rFonts w:ascii="Cambria Math" w:eastAsia="Cambria Math" w:hAnsi="Times New Roman" w:cs="Times New Roman"/>
                <w:sz w:val="24"/>
                <w:szCs w:val="24"/>
                <w:lang w:val="en-GB"/>
              </w:rPr>
              <m:t>)</m:t>
            </m:r>
          </m:num>
          <m:den>
            <m:r>
              <w:rPr>
                <w:rFonts w:ascii="Cambria Math" w:eastAsia="Cambria Math" w:hAnsi="Cambria Math" w:cs="Times New Roman"/>
                <w:sz w:val="24"/>
                <w:szCs w:val="24"/>
                <w:lang w:val="en-GB"/>
              </w:rPr>
              <m:t>grand</m:t>
            </m:r>
            <m:r>
              <m:rPr>
                <m:nor/>
              </m:rPr>
              <w:rPr>
                <w:rFonts w:ascii="Times New Roman" w:eastAsia="Cambria Math" w:hAnsi="Times New Roman" w:cs="Times New Roman"/>
                <w:sz w:val="24"/>
                <w:szCs w:val="24"/>
                <w:lang w:val="en-GB"/>
              </w:rPr>
              <m:t> </m:t>
            </m:r>
            <m:r>
              <w:rPr>
                <w:rFonts w:ascii="Cambria Math" w:eastAsia="Cambria Math" w:hAnsi="Cambria Math" w:cs="Times New Roman"/>
                <w:sz w:val="24"/>
                <w:szCs w:val="24"/>
                <w:lang w:val="en-GB"/>
              </w:rPr>
              <m:t>total</m:t>
            </m:r>
          </m:den>
        </m:f>
      </m:oMath>
    </w:p>
    <w:p w:rsidR="00432F35" w:rsidRPr="00F3533F" w:rsidRDefault="00432F35" w:rsidP="00D13A45">
      <w:pPr>
        <w:spacing w:before="240" w:after="240"/>
        <w:ind w:left="720"/>
        <w:jc w:val="both"/>
        <w:rPr>
          <w:lang w:val="en-GB"/>
        </w:rPr>
      </w:pPr>
      <w:r w:rsidRPr="00F3533F">
        <w:rPr>
          <w:b/>
          <w:bCs/>
          <w:lang w:val="en-GB"/>
        </w:rPr>
        <w:t>Expected Data</w:t>
      </w:r>
      <w:r w:rsidRPr="00F3533F">
        <w:rPr>
          <w:lang w:val="en-GB"/>
        </w:rPr>
        <w:t xml:space="preserve"> (calculated):</w:t>
      </w:r>
    </w:p>
    <w:p w:rsidR="00432F35" w:rsidRPr="00F3533F" w:rsidRDefault="00432F35" w:rsidP="00D13A45">
      <w:pPr>
        <w:pStyle w:val="ListParagraph"/>
        <w:ind w:left="360"/>
        <w:jc w:val="both"/>
        <w:rPr>
          <w:lang w:val="en-GB"/>
        </w:rPr>
      </w:pPr>
      <w:r w:rsidRPr="00F3533F">
        <w:rPr>
          <w:lang w:val="en-GB"/>
        </w:rPr>
        <w:t xml:space="preserve">Positive Camp Environment and Experienced GBV = </w:t>
      </w:r>
      <m:oMath>
        <m:f>
          <m:fPr>
            <m:ctrlPr>
              <w:rPr>
                <w:rFonts w:ascii="Cambria Math"/>
                <w:lang w:val="en-GB"/>
              </w:rPr>
            </m:ctrlPr>
          </m:fPr>
          <m:num>
            <m:r>
              <w:rPr>
                <w:rFonts w:ascii="Cambria Math" w:eastAsia="Cambria Math"/>
                <w:lang w:val="en-GB"/>
              </w:rPr>
              <m:t>117</m:t>
            </m:r>
            <m:r>
              <w:rPr>
                <w:rFonts w:ascii="Cambria Math" w:eastAsia="Cambria Math"/>
                <w:lang w:val="en-GB"/>
              </w:rPr>
              <m:t>×</m:t>
            </m:r>
            <m:r>
              <w:rPr>
                <w:rFonts w:ascii="Cambria Math" w:eastAsia="Cambria Math"/>
                <w:lang w:val="en-GB"/>
              </w:rPr>
              <m:t>216</m:t>
            </m:r>
          </m:num>
          <m:den>
            <m:r>
              <w:rPr>
                <w:rFonts w:ascii="Cambria Math" w:eastAsia="Cambria Math"/>
                <w:lang w:val="en-GB"/>
              </w:rPr>
              <m:t>399</m:t>
            </m:r>
          </m:den>
        </m:f>
        <m:r>
          <w:rPr>
            <w:rFonts w:ascii="Cambria Math" w:eastAsia="Cambria Math"/>
            <w:lang w:val="en-GB"/>
          </w:rPr>
          <m:t>=63.3</m:t>
        </m:r>
      </m:oMath>
      <w:r w:rsidRPr="00F3533F">
        <w:rPr>
          <w:rStyle w:val="mordmtight"/>
          <w:lang w:val="en-GB"/>
        </w:rPr>
        <w:t>399117</w:t>
      </w:r>
      <w:r w:rsidRPr="00F3533F">
        <w:rPr>
          <w:rStyle w:val="mbinmtight"/>
          <w:lang w:val="en-GB"/>
        </w:rPr>
        <w:t>×</w:t>
      </w:r>
      <w:r w:rsidRPr="00F3533F">
        <w:rPr>
          <w:rStyle w:val="mordmtight"/>
          <w:lang w:val="en-GB"/>
        </w:rPr>
        <w:t>216</w:t>
      </w:r>
      <w:r w:rsidRPr="00F3533F">
        <w:rPr>
          <w:rStyle w:val="vlist-s"/>
          <w:lang w:val="en-GB"/>
        </w:rPr>
        <w:t>​</w:t>
      </w:r>
      <w:r w:rsidRPr="00F3533F">
        <w:rPr>
          <w:rStyle w:val="mrel"/>
          <w:lang w:val="en-GB"/>
        </w:rPr>
        <w:t>=</w:t>
      </w:r>
      <w:r w:rsidRPr="00F3533F">
        <w:rPr>
          <w:rStyle w:val="mord"/>
          <w:lang w:val="en-GB"/>
        </w:rPr>
        <w:t>63.3</w:t>
      </w:r>
    </w:p>
    <w:p w:rsidR="00432F35" w:rsidRPr="00F3533F" w:rsidRDefault="00432F35" w:rsidP="00D13A45">
      <w:pPr>
        <w:pStyle w:val="ListParagraph"/>
        <w:ind w:left="360"/>
        <w:jc w:val="both"/>
        <w:rPr>
          <w:lang w:val="en-GB"/>
        </w:rPr>
      </w:pPr>
      <w:r w:rsidRPr="00F3533F">
        <w:rPr>
          <w:lang w:val="en-GB"/>
        </w:rPr>
        <w:t xml:space="preserve">Positive Camp Environment and No GBV = </w:t>
      </w:r>
      <m:oMath>
        <m:f>
          <m:fPr>
            <m:ctrlPr>
              <w:rPr>
                <w:rFonts w:ascii="Cambria Math"/>
                <w:lang w:val="en-GB"/>
              </w:rPr>
            </m:ctrlPr>
          </m:fPr>
          <m:num>
            <m:r>
              <w:rPr>
                <w:rFonts w:ascii="Cambria Math" w:eastAsia="Cambria Math"/>
                <w:lang w:val="en-GB"/>
              </w:rPr>
              <m:t>117</m:t>
            </m:r>
            <m:r>
              <w:rPr>
                <w:rFonts w:ascii="Cambria Math" w:eastAsia="Cambria Math"/>
                <w:lang w:val="en-GB"/>
              </w:rPr>
              <m:t>×</m:t>
            </m:r>
            <m:r>
              <w:rPr>
                <w:rFonts w:ascii="Cambria Math" w:eastAsia="Cambria Math"/>
                <w:lang w:val="en-GB"/>
              </w:rPr>
              <m:t>103</m:t>
            </m:r>
          </m:num>
          <m:den>
            <m:r>
              <w:rPr>
                <w:rFonts w:ascii="Cambria Math" w:eastAsia="Cambria Math"/>
                <w:lang w:val="en-GB"/>
              </w:rPr>
              <m:t>399</m:t>
            </m:r>
          </m:den>
        </m:f>
        <m:r>
          <w:rPr>
            <w:rFonts w:ascii="Cambria Math" w:eastAsia="Cambria Math"/>
            <w:lang w:val="en-GB"/>
          </w:rPr>
          <m:t>=53.7</m:t>
        </m:r>
      </m:oMath>
      <w:r w:rsidRPr="00F3533F">
        <w:rPr>
          <w:rStyle w:val="mordmtight"/>
          <w:lang w:val="en-GB"/>
        </w:rPr>
        <w:t>399117</w:t>
      </w:r>
      <w:r w:rsidRPr="00F3533F">
        <w:rPr>
          <w:rStyle w:val="mbinmtight"/>
          <w:lang w:val="en-GB"/>
        </w:rPr>
        <w:t>×</w:t>
      </w:r>
      <w:r w:rsidRPr="00F3533F">
        <w:rPr>
          <w:rStyle w:val="mordmtight"/>
          <w:lang w:val="en-GB"/>
        </w:rPr>
        <w:t>103</w:t>
      </w:r>
      <w:r w:rsidRPr="00F3533F">
        <w:rPr>
          <w:rStyle w:val="vlist-s"/>
          <w:lang w:val="en-GB"/>
        </w:rPr>
        <w:t>​</w:t>
      </w:r>
      <w:r w:rsidRPr="00F3533F">
        <w:rPr>
          <w:rStyle w:val="mrel"/>
          <w:lang w:val="en-GB"/>
        </w:rPr>
        <w:t>=</w:t>
      </w:r>
      <w:r w:rsidRPr="00F3533F">
        <w:rPr>
          <w:rStyle w:val="mord"/>
          <w:lang w:val="en-GB"/>
        </w:rPr>
        <w:t>53.7</w:t>
      </w:r>
    </w:p>
    <w:p w:rsidR="00432F35" w:rsidRPr="00F3533F" w:rsidRDefault="00432F35" w:rsidP="00D13A45">
      <w:pPr>
        <w:pStyle w:val="ListParagraph"/>
        <w:ind w:left="360"/>
        <w:jc w:val="both"/>
        <w:rPr>
          <w:lang w:val="en-GB"/>
        </w:rPr>
      </w:pPr>
      <w:r w:rsidRPr="00F3533F">
        <w:rPr>
          <w:lang w:val="en-GB"/>
        </w:rPr>
        <w:t xml:space="preserve">Negative Camp Environment and Experienced GBV = </w:t>
      </w:r>
      <m:oMath>
        <m:f>
          <m:fPr>
            <m:ctrlPr>
              <w:rPr>
                <w:rFonts w:ascii="Cambria Math"/>
                <w:lang w:val="en-GB"/>
              </w:rPr>
            </m:ctrlPr>
          </m:fPr>
          <m:num>
            <m:r>
              <w:rPr>
                <w:rFonts w:ascii="Cambria Math" w:eastAsia="Cambria Math"/>
                <w:lang w:val="en-GB"/>
              </w:rPr>
              <m:t>282</m:t>
            </m:r>
            <m:r>
              <w:rPr>
                <w:rFonts w:ascii="Cambria Math" w:eastAsia="Cambria Math"/>
                <w:lang w:val="en-GB"/>
              </w:rPr>
              <m:t>×</m:t>
            </m:r>
            <m:r>
              <w:rPr>
                <w:rFonts w:ascii="Cambria Math" w:eastAsia="Cambria Math"/>
                <w:lang w:val="en-GB"/>
              </w:rPr>
              <m:t>216</m:t>
            </m:r>
          </m:num>
          <m:den>
            <m:r>
              <w:rPr>
                <w:rFonts w:ascii="Cambria Math" w:eastAsia="Cambria Math"/>
                <w:lang w:val="en-GB"/>
              </w:rPr>
              <m:t>399</m:t>
            </m:r>
          </m:den>
        </m:f>
        <m:r>
          <w:rPr>
            <w:rFonts w:ascii="Cambria Math" w:eastAsia="Cambria Math"/>
            <w:lang w:val="en-GB"/>
          </w:rPr>
          <m:t>=152.7</m:t>
        </m:r>
      </m:oMath>
      <w:r w:rsidRPr="00F3533F">
        <w:rPr>
          <w:rStyle w:val="mordmtight"/>
          <w:lang w:val="en-GB"/>
        </w:rPr>
        <w:t>399282</w:t>
      </w:r>
      <w:r w:rsidRPr="00F3533F">
        <w:rPr>
          <w:rStyle w:val="mbinmtight"/>
          <w:lang w:val="en-GB"/>
        </w:rPr>
        <w:t>×</w:t>
      </w:r>
      <w:r w:rsidRPr="00F3533F">
        <w:rPr>
          <w:rStyle w:val="mordmtight"/>
          <w:lang w:val="en-GB"/>
        </w:rPr>
        <w:t>216</w:t>
      </w:r>
      <w:r w:rsidRPr="00F3533F">
        <w:rPr>
          <w:rStyle w:val="vlist-s"/>
          <w:lang w:val="en-GB"/>
        </w:rPr>
        <w:t>​</w:t>
      </w:r>
      <w:r w:rsidRPr="00F3533F">
        <w:rPr>
          <w:rStyle w:val="mrel"/>
          <w:lang w:val="en-GB"/>
        </w:rPr>
        <w:t>=</w:t>
      </w:r>
      <w:r w:rsidRPr="00F3533F">
        <w:rPr>
          <w:rStyle w:val="mord"/>
          <w:lang w:val="en-GB"/>
        </w:rPr>
        <w:t>152.7</w:t>
      </w:r>
    </w:p>
    <w:p w:rsidR="00432F35" w:rsidRPr="00F3533F" w:rsidRDefault="00432F35" w:rsidP="00D13A45">
      <w:pPr>
        <w:pStyle w:val="ListParagraph"/>
        <w:ind w:left="360"/>
        <w:jc w:val="both"/>
        <w:rPr>
          <w:lang w:val="en-GB"/>
        </w:rPr>
      </w:pPr>
      <w:r w:rsidRPr="00F3533F">
        <w:rPr>
          <w:lang w:val="en-GB"/>
        </w:rPr>
        <w:t xml:space="preserve">Negative Camp Environment and No GBV = </w:t>
      </w:r>
      <m:oMath>
        <m:f>
          <m:fPr>
            <m:ctrlPr>
              <w:rPr>
                <w:rFonts w:ascii="Cambria Math"/>
                <w:lang w:val="en-GB"/>
              </w:rPr>
            </m:ctrlPr>
          </m:fPr>
          <m:num>
            <m:r>
              <w:rPr>
                <w:rFonts w:ascii="Cambria Math" w:eastAsia="Cambria Math"/>
                <w:lang w:val="en-GB"/>
              </w:rPr>
              <m:t>282</m:t>
            </m:r>
            <m:r>
              <w:rPr>
                <w:rFonts w:ascii="Cambria Math" w:eastAsia="Cambria Math"/>
                <w:lang w:val="en-GB"/>
              </w:rPr>
              <m:t>×</m:t>
            </m:r>
            <m:r>
              <w:rPr>
                <w:rFonts w:ascii="Cambria Math" w:eastAsia="Cambria Math"/>
                <w:lang w:val="en-GB"/>
              </w:rPr>
              <m:t>103</m:t>
            </m:r>
          </m:num>
          <m:den>
            <m:r>
              <w:rPr>
                <w:rFonts w:ascii="Cambria Math" w:eastAsia="Cambria Math"/>
                <w:lang w:val="en-GB"/>
              </w:rPr>
              <m:t>399</m:t>
            </m:r>
          </m:den>
        </m:f>
        <m:r>
          <w:rPr>
            <w:rFonts w:ascii="Cambria Math" w:eastAsia="Cambria Math"/>
            <w:lang w:val="en-GB"/>
          </w:rPr>
          <m:t>=98.3</m:t>
        </m:r>
      </m:oMath>
      <w:r w:rsidRPr="00F3533F">
        <w:rPr>
          <w:rStyle w:val="mordmtight"/>
          <w:lang w:val="en-GB"/>
        </w:rPr>
        <w:t>399282</w:t>
      </w:r>
      <w:r w:rsidRPr="00F3533F">
        <w:rPr>
          <w:rStyle w:val="mbinmtight"/>
          <w:lang w:val="en-GB"/>
        </w:rPr>
        <w:t>×</w:t>
      </w:r>
      <w:r w:rsidRPr="00F3533F">
        <w:rPr>
          <w:rStyle w:val="mordmtight"/>
          <w:lang w:val="en-GB"/>
        </w:rPr>
        <w:t>103</w:t>
      </w:r>
      <w:r w:rsidRPr="00F3533F">
        <w:rPr>
          <w:rStyle w:val="vlist-s"/>
          <w:lang w:val="en-GB"/>
        </w:rPr>
        <w:t>​</w:t>
      </w:r>
      <w:r w:rsidRPr="00F3533F">
        <w:rPr>
          <w:rStyle w:val="mrel"/>
          <w:lang w:val="en-GB"/>
        </w:rPr>
        <w:t>=</w:t>
      </w:r>
      <w:r w:rsidRPr="00F3533F">
        <w:rPr>
          <w:rStyle w:val="mord"/>
          <w:lang w:val="en-GB"/>
        </w:rPr>
        <w:t>98.3</w:t>
      </w:r>
    </w:p>
    <w:p w:rsidR="00432F35" w:rsidRPr="00F3533F" w:rsidRDefault="00FD143F" w:rsidP="00D13A45">
      <w:pPr>
        <w:spacing w:before="240" w:after="240"/>
        <w:jc w:val="both"/>
        <w:rPr>
          <w:lang w:val="en-GB"/>
        </w:rPr>
      </w:pPr>
      <w:r>
        <w:rPr>
          <w:bCs/>
          <w:lang w:val="en-GB"/>
        </w:rPr>
        <w:t xml:space="preserve">      </w:t>
      </w:r>
      <w:r w:rsidR="00432F35" w:rsidRPr="00F3533F">
        <w:rPr>
          <w:bCs/>
          <w:lang w:val="en-GB"/>
        </w:rPr>
        <w:t>Chi-Square Statistic</w:t>
      </w:r>
      <w:r w:rsidR="00432F35" w:rsidRPr="00F3533F">
        <w:rPr>
          <w:lang w:val="en-GB"/>
        </w:rPr>
        <w:t>:</w:t>
      </w:r>
    </w:p>
    <w:p w:rsidR="00432F35" w:rsidRPr="00F3533F" w:rsidRDefault="008C080F" w:rsidP="00D13A45">
      <w:pPr>
        <w:ind w:left="720" w:hanging="540"/>
        <w:jc w:val="both"/>
        <w:rPr>
          <w:lang w:val="en-GB"/>
        </w:rPr>
      </w:pPr>
      <m:oMathPara>
        <m:oMath>
          <m:sSup>
            <m:sSupPr>
              <m:ctrlPr>
                <w:rPr>
                  <w:rFonts w:ascii="Cambria Math"/>
                  <w:lang w:val="en-GB"/>
                </w:rPr>
              </m:ctrlPr>
            </m:sSupPr>
            <m:e>
              <m:r>
                <w:rPr>
                  <w:rFonts w:ascii="Cambria Math" w:eastAsia="Cambria Math" w:hAnsi="Cambria Math"/>
                  <w:lang w:val="en-GB"/>
                </w:rPr>
                <m:t>χ</m:t>
              </m:r>
            </m:e>
            <m:sup>
              <m:r>
                <w:rPr>
                  <w:rFonts w:ascii="Cambria Math" w:eastAsia="Cambria Math"/>
                  <w:lang w:val="en-GB"/>
                </w:rPr>
                <m:t>2</m:t>
              </m:r>
            </m:sup>
          </m:sSup>
          <m:r>
            <w:rPr>
              <w:rFonts w:ascii="Cambria Math" w:eastAsia="Cambria Math"/>
              <w:lang w:val="en-GB"/>
            </w:rPr>
            <m:t>=</m:t>
          </m:r>
          <m:f>
            <m:fPr>
              <m:ctrlPr>
                <w:rPr>
                  <w:rFonts w:ascii="Cambria Math"/>
                  <w:lang w:val="en-GB"/>
                </w:rPr>
              </m:ctrlPr>
            </m:fPr>
            <m:num>
              <m:r>
                <w:rPr>
                  <w:rFonts w:ascii="Cambria Math" w:eastAsia="Cambria Math"/>
                  <w:lang w:val="en-GB"/>
                </w:rPr>
                <m:t>(86</m:t>
              </m:r>
              <m:r>
                <w:rPr>
                  <w:rFonts w:ascii="Cambria Math" w:eastAsia="Cambria Math"/>
                  <w:lang w:val="en-GB"/>
                </w:rPr>
                <m:t>-</m:t>
              </m:r>
              <m:r>
                <w:rPr>
                  <w:rFonts w:ascii="Cambria Math" w:eastAsia="Cambria Math"/>
                  <w:lang w:val="en-GB"/>
                </w:rPr>
                <m:t>63.3</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num>
            <m:den>
              <m:r>
                <w:rPr>
                  <w:rFonts w:ascii="Cambria Math" w:eastAsia="Cambria Math"/>
                  <w:lang w:val="en-GB"/>
                </w:rPr>
                <m:t>63.3</m:t>
              </m:r>
            </m:den>
          </m:f>
          <m:r>
            <w:rPr>
              <w:rFonts w:ascii="Cambria Math" w:eastAsia="Cambria Math"/>
              <w:lang w:val="en-GB"/>
            </w:rPr>
            <m:t>+</m:t>
          </m:r>
          <m:f>
            <m:fPr>
              <m:ctrlPr>
                <w:rPr>
                  <w:rFonts w:ascii="Cambria Math"/>
                  <w:lang w:val="en-GB"/>
                </w:rPr>
              </m:ctrlPr>
            </m:fPr>
            <m:num>
              <m:r>
                <w:rPr>
                  <w:rFonts w:ascii="Cambria Math" w:eastAsia="Cambria Math"/>
                  <w:lang w:val="en-GB"/>
                </w:rPr>
                <m:t>(31</m:t>
              </m:r>
              <m:r>
                <w:rPr>
                  <w:rFonts w:ascii="Cambria Math" w:eastAsia="Cambria Math"/>
                  <w:lang w:val="en-GB"/>
                </w:rPr>
                <m:t>-</m:t>
              </m:r>
              <m:r>
                <w:rPr>
                  <w:rFonts w:ascii="Cambria Math" w:eastAsia="Cambria Math"/>
                  <w:lang w:val="en-GB"/>
                </w:rPr>
                <m:t>53.7</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num>
            <m:den>
              <m:r>
                <w:rPr>
                  <w:rFonts w:ascii="Cambria Math" w:eastAsia="Cambria Math"/>
                  <w:lang w:val="en-GB"/>
                </w:rPr>
                <m:t>53.7</m:t>
              </m:r>
            </m:den>
          </m:f>
          <m:r>
            <w:rPr>
              <w:rFonts w:ascii="Cambria Math" w:eastAsia="Cambria Math"/>
              <w:lang w:val="en-GB"/>
            </w:rPr>
            <m:t>+</m:t>
          </m:r>
          <m:f>
            <m:fPr>
              <m:ctrlPr>
                <w:rPr>
                  <w:rFonts w:ascii="Cambria Math"/>
                  <w:lang w:val="en-GB"/>
                </w:rPr>
              </m:ctrlPr>
            </m:fPr>
            <m:num>
              <m:r>
                <w:rPr>
                  <w:rFonts w:ascii="Cambria Math" w:eastAsia="Cambria Math"/>
                  <w:lang w:val="en-GB"/>
                </w:rPr>
                <m:t>(130</m:t>
              </m:r>
              <m:r>
                <w:rPr>
                  <w:rFonts w:ascii="Cambria Math" w:eastAsia="Cambria Math"/>
                  <w:lang w:val="en-GB"/>
                </w:rPr>
                <m:t>-</m:t>
              </m:r>
              <m:r>
                <w:rPr>
                  <w:rFonts w:ascii="Cambria Math" w:eastAsia="Cambria Math"/>
                  <w:lang w:val="en-GB"/>
                </w:rPr>
                <m:t>152.7</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num>
            <m:den>
              <m:r>
                <w:rPr>
                  <w:rFonts w:ascii="Cambria Math" w:eastAsia="Cambria Math"/>
                  <w:lang w:val="en-GB"/>
                </w:rPr>
                <m:t>152.7</m:t>
              </m:r>
            </m:den>
          </m:f>
          <m:r>
            <w:rPr>
              <w:rFonts w:ascii="Cambria Math" w:eastAsia="Cambria Math"/>
              <w:lang w:val="en-GB"/>
            </w:rPr>
            <m:t>+</m:t>
          </m:r>
          <m:f>
            <m:fPr>
              <m:ctrlPr>
                <w:rPr>
                  <w:rFonts w:ascii="Cambria Math"/>
                  <w:lang w:val="en-GB"/>
                </w:rPr>
              </m:ctrlPr>
            </m:fPr>
            <m:num>
              <m:r>
                <w:rPr>
                  <w:rFonts w:ascii="Cambria Math" w:eastAsia="Cambria Math"/>
                  <w:lang w:val="en-GB"/>
                </w:rPr>
                <m:t>(72</m:t>
              </m:r>
              <m:r>
                <w:rPr>
                  <w:rFonts w:ascii="Cambria Math" w:eastAsia="Cambria Math"/>
                  <w:lang w:val="en-GB"/>
                </w:rPr>
                <m:t>-</m:t>
              </m:r>
              <m:r>
                <w:rPr>
                  <w:rFonts w:ascii="Cambria Math" w:eastAsia="Cambria Math"/>
                  <w:lang w:val="en-GB"/>
                </w:rPr>
                <m:t>98.3</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num>
            <m:den>
              <m:r>
                <w:rPr>
                  <w:rFonts w:ascii="Cambria Math" w:eastAsia="Cambria Math"/>
                  <w:lang w:val="en-GB"/>
                </w:rPr>
                <m:t>98.3</m:t>
              </m:r>
            </m:den>
          </m:f>
        </m:oMath>
      </m:oMathPara>
    </w:p>
    <w:p w:rsidR="00432F35" w:rsidRPr="00F3533F" w:rsidRDefault="008C080F" w:rsidP="00D13A45">
      <w:pPr>
        <w:ind w:left="720" w:hanging="540"/>
        <w:jc w:val="both"/>
        <w:rPr>
          <w:rStyle w:val="katex-mathml"/>
          <w:rFonts w:eastAsia="Calibri"/>
          <w:lang w:val="en-GB"/>
        </w:rPr>
      </w:pPr>
      <m:oMath>
        <m:sSup>
          <m:sSupPr>
            <m:ctrlPr>
              <w:rPr>
                <w:rFonts w:ascii="Cambria Math"/>
                <w:lang w:val="en-GB"/>
              </w:rPr>
            </m:ctrlPr>
          </m:sSupPr>
          <m:e>
            <m:r>
              <w:rPr>
                <w:rFonts w:ascii="Cambria Math" w:eastAsia="Cambria Math" w:hAnsi="Cambria Math"/>
                <w:lang w:val="en-GB"/>
              </w:rPr>
              <m:t xml:space="preserve">                          </m:t>
            </m:r>
            <m:r>
              <w:rPr>
                <w:rFonts w:ascii="Cambria Math" w:eastAsia="Cambria Math" w:hAnsi="Cambria Math"/>
                <w:lang w:val="en-GB"/>
              </w:rPr>
              <m:t>χ</m:t>
            </m:r>
          </m:e>
          <m:sup>
            <m:r>
              <w:rPr>
                <w:rFonts w:ascii="Cambria Math" w:eastAsia="Cambria Math"/>
                <w:lang w:val="en-GB"/>
              </w:rPr>
              <m:t>2</m:t>
            </m:r>
          </m:sup>
        </m:sSup>
        <m:r>
          <w:rPr>
            <w:rFonts w:ascii="Cambria Math" w:eastAsia="Cambria Math"/>
            <w:lang w:val="en-GB"/>
          </w:rPr>
          <m:t>=7.75+9.87+3.68+6.91=28.21</m:t>
        </m:r>
      </m:oMath>
      <w:r w:rsidR="002354F6" w:rsidRPr="00F3533F">
        <w:rPr>
          <w:rFonts w:eastAsia="Calibri"/>
          <w:lang w:val="en-GB"/>
        </w:rPr>
        <w:t xml:space="preserve"> </w:t>
      </w:r>
    </w:p>
    <w:p w:rsidR="00432F35" w:rsidRPr="00F3533F" w:rsidRDefault="00432F35" w:rsidP="004C37E7">
      <w:pPr>
        <w:spacing w:before="240" w:after="240" w:line="480" w:lineRule="auto"/>
        <w:jc w:val="both"/>
        <w:rPr>
          <w:lang w:val="en-GB"/>
        </w:rPr>
      </w:pPr>
      <w:r w:rsidRPr="00F3533F">
        <w:rPr>
          <w:lang w:val="en-GB"/>
        </w:rPr>
        <w:lastRenderedPageBreak/>
        <w:t xml:space="preserve">The chi-square value for this test is </w:t>
      </w:r>
      <w:r w:rsidRPr="00F3533F">
        <w:rPr>
          <w:rStyle w:val="Strong"/>
          <w:b w:val="0"/>
          <w:lang w:val="en-GB"/>
        </w:rPr>
        <w:t>28.21</w:t>
      </w:r>
      <w:r w:rsidRPr="00F3533F">
        <w:rPr>
          <w:b/>
          <w:lang w:val="en-GB"/>
        </w:rPr>
        <w:t>,</w:t>
      </w:r>
      <w:r w:rsidRPr="00F3533F">
        <w:rPr>
          <w:lang w:val="en-GB"/>
        </w:rPr>
        <w:t xml:space="preserve"> which, given the appropriate degrees of freedom, yields a </w:t>
      </w:r>
      <w:r w:rsidRPr="00F3533F">
        <w:rPr>
          <w:rStyle w:val="Strong"/>
          <w:b w:val="0"/>
          <w:lang w:val="en-GB"/>
        </w:rPr>
        <w:t>p-value that is statistically significant</w:t>
      </w:r>
      <w:r w:rsidRPr="00F3533F">
        <w:rPr>
          <w:lang w:val="en-GB"/>
        </w:rPr>
        <w:t xml:space="preserve"> (p &lt; 0.05). This indicates a strong association between camp environment conditions and the experiences of gender-based violence within the IDP camps.</w:t>
      </w:r>
    </w:p>
    <w:p w:rsidR="00432F35" w:rsidRPr="00F3533F" w:rsidRDefault="00CD7F51" w:rsidP="004C37E7">
      <w:pPr>
        <w:pStyle w:val="NoSpacing"/>
        <w:spacing w:line="480" w:lineRule="auto"/>
        <w:rPr>
          <w:rFonts w:ascii="Times New Roman" w:hAnsi="Times New Roman" w:cs="Times New Roman"/>
          <w:b/>
          <w:sz w:val="24"/>
          <w:szCs w:val="24"/>
          <w:lang w:val="en-GB"/>
        </w:rPr>
      </w:pPr>
      <w:r w:rsidRPr="00F3533F">
        <w:rPr>
          <w:rFonts w:ascii="Times New Roman" w:hAnsi="Times New Roman" w:cs="Times New Roman"/>
          <w:b/>
          <w:sz w:val="24"/>
          <w:szCs w:val="24"/>
          <w:lang w:val="en-GB"/>
        </w:rPr>
        <w:t>Pearson’s c</w:t>
      </w:r>
      <w:r w:rsidR="00432F35" w:rsidRPr="00F3533F">
        <w:rPr>
          <w:rFonts w:ascii="Times New Roman" w:hAnsi="Times New Roman" w:cs="Times New Roman"/>
          <w:b/>
          <w:sz w:val="24"/>
          <w:szCs w:val="24"/>
          <w:lang w:val="en-GB"/>
        </w:rPr>
        <w:t>o</w:t>
      </w:r>
      <w:r w:rsidRPr="00F3533F">
        <w:rPr>
          <w:rFonts w:ascii="Times New Roman" w:hAnsi="Times New Roman" w:cs="Times New Roman"/>
          <w:b/>
          <w:sz w:val="24"/>
          <w:szCs w:val="24"/>
          <w:lang w:val="en-GB"/>
        </w:rPr>
        <w:t xml:space="preserve">rrelation: educational access </w:t>
      </w:r>
      <w:proofErr w:type="spellStart"/>
      <w:r w:rsidRPr="00F3533F">
        <w:rPr>
          <w:rFonts w:ascii="Times New Roman" w:hAnsi="Times New Roman" w:cs="Times New Roman"/>
          <w:b/>
          <w:sz w:val="24"/>
          <w:szCs w:val="24"/>
          <w:lang w:val="en-GB"/>
        </w:rPr>
        <w:t>vs</w:t>
      </w:r>
      <w:proofErr w:type="spellEnd"/>
      <w:r w:rsidRPr="00F3533F">
        <w:rPr>
          <w:rFonts w:ascii="Times New Roman" w:hAnsi="Times New Roman" w:cs="Times New Roman"/>
          <w:b/>
          <w:sz w:val="24"/>
          <w:szCs w:val="24"/>
          <w:lang w:val="en-GB"/>
        </w:rPr>
        <w:t xml:space="preserve"> GBV e</w:t>
      </w:r>
      <w:r w:rsidR="00432F35" w:rsidRPr="00F3533F">
        <w:rPr>
          <w:rFonts w:ascii="Times New Roman" w:hAnsi="Times New Roman" w:cs="Times New Roman"/>
          <w:b/>
          <w:sz w:val="24"/>
          <w:szCs w:val="24"/>
          <w:lang w:val="en-GB"/>
        </w:rPr>
        <w:t>xperience</w:t>
      </w:r>
    </w:p>
    <w:p w:rsidR="00432F35" w:rsidRPr="00F3533F" w:rsidRDefault="00432F35" w:rsidP="004C37E7">
      <w:pPr>
        <w:pStyle w:val="NoSpacing"/>
        <w:spacing w:line="480" w:lineRule="auto"/>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For the correlation between educational access and experiences of GBV, we calculated the </w:t>
      </w:r>
      <w:r w:rsidRPr="00F3533F">
        <w:rPr>
          <w:rFonts w:ascii="Times New Roman" w:hAnsi="Times New Roman" w:cs="Times New Roman"/>
          <w:bCs/>
          <w:sz w:val="24"/>
          <w:szCs w:val="24"/>
          <w:lang w:val="en-GB"/>
        </w:rPr>
        <w:t>Pearson correlation coefficient</w:t>
      </w:r>
      <w:r w:rsidRPr="00F3533F">
        <w:rPr>
          <w:rFonts w:ascii="Times New Roman" w:hAnsi="Times New Roman" w:cs="Times New Roman"/>
          <w:sz w:val="24"/>
          <w:szCs w:val="24"/>
          <w:lang w:val="en-GB"/>
        </w:rPr>
        <w:t xml:space="preserve">. The formula for Pearson’s </w:t>
      </w:r>
      <m:oMath>
        <m:r>
          <w:rPr>
            <w:rFonts w:ascii="Cambria Math" w:eastAsia="Cambria Math" w:hAnsi="Cambria Math" w:cs="Times New Roman"/>
            <w:sz w:val="24"/>
            <w:szCs w:val="24"/>
            <w:lang w:val="en-GB"/>
          </w:rPr>
          <m:t>r</m:t>
        </m:r>
      </m:oMath>
      <w:r w:rsidRPr="00F3533F">
        <w:rPr>
          <w:rFonts w:ascii="Times New Roman" w:hAnsi="Times New Roman" w:cs="Times New Roman"/>
          <w:sz w:val="24"/>
          <w:szCs w:val="24"/>
          <w:lang w:val="en-GB"/>
        </w:rPr>
        <w:t xml:space="preserve"> is:</w:t>
      </w:r>
    </w:p>
    <w:p w:rsidR="00432F35" w:rsidRPr="00F3533F" w:rsidRDefault="00432F35" w:rsidP="00D13A45">
      <w:pPr>
        <w:jc w:val="both"/>
        <w:rPr>
          <w:rStyle w:val="katex-mathml"/>
          <w:rFonts w:eastAsia="Calibri"/>
          <w:lang w:val="en-GB"/>
        </w:rPr>
      </w:pPr>
      <m:oMathPara>
        <m:oMathParaPr>
          <m:jc m:val="left"/>
        </m:oMathParaPr>
        <m:oMath>
          <m:r>
            <w:rPr>
              <w:rFonts w:ascii="Cambria Math" w:eastAsia="Cambria Math" w:hAnsi="Cambria Math"/>
              <w:lang w:val="en-GB"/>
            </w:rPr>
            <m:t>r</m:t>
          </m:r>
          <m:r>
            <w:rPr>
              <w:rFonts w:ascii="Cambria Math" w:eastAsia="Cambria Math"/>
              <w:lang w:val="en-GB"/>
            </w:rPr>
            <m:t>=</m:t>
          </m:r>
          <m:f>
            <m:fPr>
              <m:ctrlPr>
                <w:rPr>
                  <w:rFonts w:ascii="Cambria Math"/>
                  <w:lang w:val="en-GB"/>
                </w:rPr>
              </m:ctrlPr>
            </m:fPr>
            <m:num>
              <m:r>
                <w:rPr>
                  <w:rFonts w:ascii="Cambria Math"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r>
                <w:rPr>
                  <w:rFonts w:ascii="Cambria Math" w:eastAsia="Cambria Math"/>
                  <w:lang w:val="en-GB"/>
                </w:rPr>
                <m:t>)</m:t>
              </m:r>
            </m:num>
            <m:den>
              <m:rad>
                <m:radPr>
                  <m:degHide m:val="on"/>
                  <m:ctrlPr>
                    <w:rPr>
                      <w:rFonts w:ascii="Cambria Math"/>
                      <w:lang w:val="en-GB"/>
                    </w:rPr>
                  </m:ctrlPr>
                </m:radPr>
                <m:deg/>
                <m:e>
                  <m:r>
                    <w:rPr>
                      <w:rFonts w:ascii="Cambria Math"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e>
              </m:rad>
            </m:den>
          </m:f>
        </m:oMath>
      </m:oMathPara>
    </w:p>
    <w:p w:rsidR="00432F35" w:rsidRPr="00F3533F" w:rsidRDefault="00432F35" w:rsidP="00D13A45">
      <w:pPr>
        <w:spacing w:before="240" w:after="240"/>
        <w:jc w:val="both"/>
        <w:rPr>
          <w:lang w:val="en-GB"/>
        </w:rPr>
      </w:pPr>
      <w:r w:rsidRPr="00F3533F">
        <w:rPr>
          <w:lang w:val="en-GB"/>
        </w:rPr>
        <w:t>Where:</w:t>
      </w:r>
    </w:p>
    <w:p w:rsidR="00432F35" w:rsidRPr="00F3533F" w:rsidRDefault="008C080F" w:rsidP="00D13A45">
      <w:pPr>
        <w:spacing w:before="240"/>
        <w:ind w:left="720"/>
        <w:jc w:val="both"/>
        <w:rPr>
          <w:lang w:val="en-GB"/>
        </w:rPr>
      </w:pPr>
      <m:oMath>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oMath>
      <w:r w:rsidR="00432F35" w:rsidRPr="00F3533F">
        <w:rPr>
          <w:rStyle w:val="mordmathnormal"/>
          <w:lang w:val="en-GB"/>
        </w:rPr>
        <w:t xml:space="preserve"> </w:t>
      </w:r>
      <w:proofErr w:type="gramStart"/>
      <w:r w:rsidR="00432F35" w:rsidRPr="00F3533F">
        <w:rPr>
          <w:lang w:val="en-GB"/>
        </w:rPr>
        <w:t>are</w:t>
      </w:r>
      <w:proofErr w:type="gramEnd"/>
      <w:r w:rsidR="00432F35" w:rsidRPr="00F3533F">
        <w:rPr>
          <w:lang w:val="en-GB"/>
        </w:rPr>
        <w:t xml:space="preserve"> the values of Educational Access (coded as 1 for Yes, 0 for No).</w:t>
      </w:r>
    </w:p>
    <w:p w:rsidR="00432F35" w:rsidRPr="00F3533F" w:rsidRDefault="008C080F" w:rsidP="00D13A45">
      <w:pPr>
        <w:spacing w:after="240"/>
        <w:ind w:left="720"/>
        <w:jc w:val="both"/>
        <w:rPr>
          <w:lang w:val="en-GB"/>
        </w:rPr>
      </w:pPr>
      <m:oMath>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oMath>
      <w:r w:rsidR="00432F35" w:rsidRPr="00F3533F">
        <w:rPr>
          <w:lang w:val="en-GB"/>
        </w:rPr>
        <w:t xml:space="preserve"> </w:t>
      </w:r>
      <w:proofErr w:type="gramStart"/>
      <w:r w:rsidR="00432F35" w:rsidRPr="00F3533F">
        <w:rPr>
          <w:lang w:val="en-GB"/>
        </w:rPr>
        <w:t>are</w:t>
      </w:r>
      <w:proofErr w:type="gramEnd"/>
      <w:r w:rsidR="00432F35" w:rsidRPr="00F3533F">
        <w:rPr>
          <w:lang w:val="en-GB"/>
        </w:rPr>
        <w:t xml:space="preserve"> the values of GBV Experience (coded as 1 for Yes, 0 for No). </w:t>
      </w:r>
    </w:p>
    <w:p w:rsidR="00432F35" w:rsidRPr="00F3533F" w:rsidRDefault="00432F35" w:rsidP="00D13A45">
      <w:pPr>
        <w:spacing w:after="240"/>
        <w:ind w:left="720"/>
        <w:jc w:val="both"/>
        <w:rPr>
          <w:lang w:val="en-GB"/>
        </w:rPr>
      </w:pPr>
      <w:r w:rsidRPr="00F3533F">
        <w:rPr>
          <w:lang w:val="en-GB"/>
        </w:rPr>
        <w:t xml:space="preserve">                                </w:t>
      </w:r>
      <w:proofErr w:type="gramStart"/>
      <w:r w:rsidRPr="00F3533F">
        <w:rPr>
          <w:lang w:val="en-GB"/>
        </w:rPr>
        <w:t>and</w:t>
      </w:r>
      <w:proofErr w:type="gramEnd"/>
    </w:p>
    <w:p w:rsidR="00432F35" w:rsidRPr="00F3533F" w:rsidRDefault="008C080F" w:rsidP="00D13A45">
      <w:pPr>
        <w:spacing w:before="240"/>
        <w:ind w:left="720"/>
        <w:jc w:val="both"/>
        <w:rPr>
          <w:lang w:val="en-GB"/>
        </w:rPr>
      </w:pPr>
      <m:oMath>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oMath>
      <w:r w:rsidR="00432F35" w:rsidRPr="00F3533F">
        <w:rPr>
          <w:rStyle w:val="mordmathnormal"/>
          <w:lang w:val="en-GB"/>
        </w:rPr>
        <w:t xml:space="preserve"> </w:t>
      </w:r>
      <w:proofErr w:type="gramStart"/>
      <w:r w:rsidR="00432F35" w:rsidRPr="00F3533F">
        <w:rPr>
          <w:lang w:val="en-GB"/>
        </w:rPr>
        <w:t>and</w:t>
      </w:r>
      <w:proofErr w:type="gramEnd"/>
      <w:r w:rsidR="00432F35" w:rsidRPr="00F3533F">
        <w:rPr>
          <w:lang w:val="en-GB"/>
        </w:rPr>
        <w:t xml:space="preserve"> </w:t>
      </w:r>
      <m:oMath>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oMath>
      <w:r w:rsidR="00432F35" w:rsidRPr="00F3533F">
        <w:rPr>
          <w:lang w:val="en-GB"/>
        </w:rPr>
        <w:t xml:space="preserve"> are individual values of variables </w:t>
      </w:r>
      <m:oMath>
        <m:r>
          <w:rPr>
            <w:rFonts w:ascii="Cambria Math" w:eastAsia="Cambria Math" w:hAnsi="Cambria Math"/>
            <w:lang w:val="en-GB"/>
          </w:rPr>
          <m:t>X</m:t>
        </m:r>
      </m:oMath>
      <w:r w:rsidR="00432F35" w:rsidRPr="00F3533F">
        <w:rPr>
          <w:lang w:val="en-GB"/>
        </w:rPr>
        <w:t xml:space="preserve"> and </w:t>
      </w:r>
      <m:oMath>
        <m:r>
          <w:rPr>
            <w:rFonts w:ascii="Cambria Math" w:eastAsia="Cambria Math" w:hAnsi="Cambria Math"/>
            <w:lang w:val="en-GB"/>
          </w:rPr>
          <m:t>Y</m:t>
        </m:r>
      </m:oMath>
      <w:r w:rsidR="00432F35" w:rsidRPr="00F3533F">
        <w:rPr>
          <w:lang w:val="en-GB"/>
        </w:rPr>
        <w:t>,</w:t>
      </w:r>
    </w:p>
    <w:p w:rsidR="00432F35" w:rsidRPr="00F3533F" w:rsidRDefault="008C080F" w:rsidP="00D13A45">
      <w:pPr>
        <w:spacing w:after="240"/>
        <w:ind w:left="720"/>
        <w:jc w:val="both"/>
        <w:rPr>
          <w:lang w:val="en-GB"/>
        </w:rPr>
      </w:pPr>
      <m:oMath>
        <m:acc>
          <m:accPr>
            <m:chr m:val="ˉ"/>
            <m:ctrlPr>
              <w:rPr>
                <w:rFonts w:ascii="Cambria Math"/>
                <w:lang w:val="en-GB"/>
              </w:rPr>
            </m:ctrlPr>
          </m:accPr>
          <m:e>
            <m:r>
              <w:rPr>
                <w:rFonts w:ascii="Cambria Math" w:eastAsia="Cambria Math" w:hAnsi="Cambria Math"/>
                <w:lang w:val="en-GB"/>
              </w:rPr>
              <m:t>X</m:t>
            </m:r>
          </m:e>
        </m:acc>
      </m:oMath>
      <w:r w:rsidR="00432F35" w:rsidRPr="00F3533F">
        <w:rPr>
          <w:lang w:val="en-GB"/>
        </w:rPr>
        <w:t xml:space="preserve"> </w:t>
      </w:r>
      <w:proofErr w:type="gramStart"/>
      <w:r w:rsidR="00432F35" w:rsidRPr="00F3533F">
        <w:rPr>
          <w:lang w:val="en-GB"/>
        </w:rPr>
        <w:t>and</w:t>
      </w:r>
      <w:proofErr w:type="gramEnd"/>
      <w:r w:rsidR="00432F35" w:rsidRPr="00F3533F">
        <w:rPr>
          <w:lang w:val="en-GB"/>
        </w:rPr>
        <w:t xml:space="preserve"> </w:t>
      </w:r>
      <m:oMath>
        <m:acc>
          <m:accPr>
            <m:chr m:val="ˉ"/>
            <m:ctrlPr>
              <w:rPr>
                <w:rFonts w:ascii="Cambria Math"/>
                <w:lang w:val="en-GB"/>
              </w:rPr>
            </m:ctrlPr>
          </m:accPr>
          <m:e>
            <m:r>
              <w:rPr>
                <w:rFonts w:ascii="Cambria Math" w:eastAsia="Cambria Math" w:hAnsi="Cambria Math"/>
                <w:lang w:val="en-GB"/>
              </w:rPr>
              <m:t>Y</m:t>
            </m:r>
          </m:e>
        </m:acc>
      </m:oMath>
      <w:r w:rsidR="00432F35" w:rsidRPr="00F3533F">
        <w:rPr>
          <w:lang w:val="en-GB"/>
        </w:rPr>
        <w:t xml:space="preserve"> are the means of </w:t>
      </w:r>
      <m:oMath>
        <m:r>
          <w:rPr>
            <w:rFonts w:ascii="Cambria Math" w:eastAsia="Cambria Math" w:hAnsi="Cambria Math"/>
            <w:lang w:val="en-GB"/>
          </w:rPr>
          <m:t>X</m:t>
        </m:r>
      </m:oMath>
      <w:r w:rsidR="00432F35" w:rsidRPr="00F3533F">
        <w:rPr>
          <w:lang w:val="en-GB"/>
        </w:rPr>
        <w:t xml:space="preserve"> and </w:t>
      </w:r>
      <m:oMath>
        <m:r>
          <w:rPr>
            <w:rFonts w:ascii="Cambria Math" w:eastAsia="Cambria Math" w:hAnsi="Cambria Math"/>
            <w:lang w:val="en-GB"/>
          </w:rPr>
          <m:t>Y</m:t>
        </m:r>
      </m:oMath>
      <w:r w:rsidR="00432F35" w:rsidRPr="00F3533F">
        <w:rPr>
          <w:lang w:val="en-GB"/>
        </w:rPr>
        <w:t>.</w:t>
      </w:r>
    </w:p>
    <w:p w:rsidR="00432F35" w:rsidRPr="00F3533F" w:rsidRDefault="002354F6" w:rsidP="00D13A45">
      <w:pPr>
        <w:pStyle w:val="Heading4"/>
        <w:keepNext w:val="0"/>
        <w:keepLines w:val="0"/>
        <w:spacing w:before="319" w:after="319"/>
        <w:jc w:val="both"/>
        <w:rPr>
          <w:rFonts w:ascii="Times New Roman" w:hAnsi="Times New Roman" w:cs="Times New Roman"/>
          <w:b w:val="0"/>
          <w:lang w:val="en-GB"/>
        </w:rPr>
      </w:pPr>
      <w:r w:rsidRPr="00F3533F">
        <w:rPr>
          <w:rFonts w:ascii="Times New Roman" w:eastAsia="Times New Roman" w:hAnsi="Times New Roman" w:cs="Times New Roman"/>
          <w:b w:val="0"/>
          <w:iCs w:val="0"/>
          <w:color w:val="auto"/>
          <w:lang w:val="en-GB"/>
        </w:rPr>
        <w:t>Given v</w:t>
      </w:r>
      <w:r w:rsidR="00432F35" w:rsidRPr="00F3533F">
        <w:rPr>
          <w:rFonts w:ascii="Times New Roman" w:eastAsia="Times New Roman" w:hAnsi="Times New Roman" w:cs="Times New Roman"/>
          <w:b w:val="0"/>
          <w:iCs w:val="0"/>
          <w:color w:val="auto"/>
          <w:lang w:val="en-GB"/>
        </w:rPr>
        <w:t>alues,</w:t>
      </w:r>
    </w:p>
    <w:p w:rsidR="00432F35" w:rsidRPr="00F3533F" w:rsidRDefault="009B3F52" w:rsidP="00D13A45">
      <w:pPr>
        <w:spacing w:before="240"/>
        <w:ind w:left="720"/>
        <w:jc w:val="both"/>
        <w:rPr>
          <w:lang w:val="en-GB"/>
        </w:rPr>
      </w:pPr>
      <w:r w:rsidRPr="00F3533F">
        <w:rPr>
          <w:bCs/>
          <w:lang w:val="en-GB"/>
        </w:rPr>
        <w:t>Mean of educational a</w:t>
      </w:r>
      <w:r w:rsidR="00432F35" w:rsidRPr="00F3533F">
        <w:rPr>
          <w:bCs/>
          <w:lang w:val="en-GB"/>
        </w:rPr>
        <w:t>ccess</w:t>
      </w:r>
      <w:r w:rsidR="00432F35" w:rsidRPr="00F3533F">
        <w:rPr>
          <w:lang w:val="en-GB"/>
        </w:rPr>
        <w:t xml:space="preserve"> (</w:t>
      </w:r>
      <m:oMath>
        <m:acc>
          <m:accPr>
            <m:chr m:val="ˉ"/>
            <m:ctrlPr>
              <w:rPr>
                <w:rFonts w:ascii="Cambria Math"/>
                <w:lang w:val="en-GB"/>
              </w:rPr>
            </m:ctrlPr>
          </m:accPr>
          <m:e>
            <m:r>
              <w:rPr>
                <w:rFonts w:ascii="Cambria Math" w:eastAsia="Cambria Math" w:hAnsi="Cambria Math"/>
                <w:lang w:val="en-GB"/>
              </w:rPr>
              <m:t>X</m:t>
            </m:r>
          </m:e>
        </m:acc>
      </m:oMath>
      <w:r w:rsidR="00432F35" w:rsidRPr="00F3533F">
        <w:rPr>
          <w:lang w:val="en-GB"/>
        </w:rPr>
        <w:t>) = 0.3308</w:t>
      </w:r>
    </w:p>
    <w:p w:rsidR="00432F35" w:rsidRPr="00F3533F" w:rsidRDefault="009B3F52" w:rsidP="00D13A45">
      <w:pPr>
        <w:spacing w:after="240"/>
        <w:ind w:left="720"/>
        <w:jc w:val="both"/>
        <w:rPr>
          <w:lang w:val="en-GB"/>
        </w:rPr>
      </w:pPr>
      <w:r w:rsidRPr="00F3533F">
        <w:rPr>
          <w:bCs/>
          <w:lang w:val="en-GB"/>
        </w:rPr>
        <w:t>Mean of GBV e</w:t>
      </w:r>
      <w:r w:rsidR="00432F35" w:rsidRPr="00F3533F">
        <w:rPr>
          <w:bCs/>
          <w:lang w:val="en-GB"/>
        </w:rPr>
        <w:t>xperienced</w:t>
      </w:r>
      <w:r w:rsidR="00432F35" w:rsidRPr="00F3533F">
        <w:rPr>
          <w:lang w:val="en-GB"/>
        </w:rPr>
        <w:t xml:space="preserve"> (</w:t>
      </w:r>
      <m:oMath>
        <m:acc>
          <m:accPr>
            <m:chr m:val="ˉ"/>
            <m:ctrlPr>
              <w:rPr>
                <w:rFonts w:ascii="Cambria Math"/>
                <w:lang w:val="en-GB"/>
              </w:rPr>
            </m:ctrlPr>
          </m:accPr>
          <m:e>
            <m:r>
              <w:rPr>
                <w:rFonts w:ascii="Cambria Math" w:eastAsia="Cambria Math" w:hAnsi="Cambria Math"/>
                <w:lang w:val="en-GB"/>
              </w:rPr>
              <m:t>Y</m:t>
            </m:r>
          </m:e>
        </m:acc>
      </m:oMath>
      <w:r w:rsidR="00432F35" w:rsidRPr="00F3533F">
        <w:rPr>
          <w:lang w:val="en-GB"/>
        </w:rPr>
        <w:t>) = 0.5363</w:t>
      </w:r>
    </w:p>
    <w:p w:rsidR="00432F35" w:rsidRPr="00F3533F" w:rsidRDefault="009B3F52" w:rsidP="00D13A45">
      <w:pPr>
        <w:spacing w:before="240" w:after="240"/>
        <w:jc w:val="both"/>
        <w:rPr>
          <w:lang w:val="en-GB"/>
        </w:rPr>
      </w:pPr>
      <w:r w:rsidRPr="00F3533F">
        <w:rPr>
          <w:lang w:val="en-GB"/>
        </w:rPr>
        <w:t>We</w:t>
      </w:r>
      <w:r w:rsidR="00432F35" w:rsidRPr="00F3533F">
        <w:rPr>
          <w:lang w:val="en-GB"/>
        </w:rPr>
        <w:t xml:space="preserve"> assume</w:t>
      </w:r>
      <w:r w:rsidRPr="00F3533F">
        <w:rPr>
          <w:lang w:val="en-GB"/>
        </w:rPr>
        <w:t>d</w:t>
      </w:r>
      <w:r w:rsidR="00432F35" w:rsidRPr="00F3533F">
        <w:rPr>
          <w:lang w:val="en-GB"/>
        </w:rPr>
        <w:t xml:space="preserve"> sample data values for </w:t>
      </w:r>
      <m:oMath>
        <m:r>
          <w:rPr>
            <w:rFonts w:ascii="Cambria Math" w:eastAsia="Cambria Math" w:hAnsi="Cambria Math"/>
            <w:lang w:val="en-GB"/>
          </w:rPr>
          <m:t>X</m:t>
        </m:r>
      </m:oMath>
      <w:r w:rsidR="00432F35" w:rsidRPr="00F3533F">
        <w:rPr>
          <w:lang w:val="en-GB"/>
        </w:rPr>
        <w:t xml:space="preserve"> and </w:t>
      </w:r>
      <m:oMath>
        <m:r>
          <w:rPr>
            <w:rFonts w:ascii="Cambria Math" w:eastAsia="Cambria Math" w:hAnsi="Cambria Math"/>
            <w:lang w:val="en-GB"/>
          </w:rPr>
          <m:t>Y</m:t>
        </m:r>
      </m:oMath>
      <w:r w:rsidRPr="00F3533F">
        <w:rPr>
          <w:lang w:val="en-GB"/>
        </w:rPr>
        <w:t xml:space="preserve"> as follows:</w:t>
      </w:r>
    </w:p>
    <w:p w:rsidR="00432F35" w:rsidRPr="00F3533F" w:rsidRDefault="00432F35" w:rsidP="00D13A45">
      <w:pPr>
        <w:spacing w:before="240"/>
        <w:ind w:left="720"/>
        <w:jc w:val="both"/>
        <w:rPr>
          <w:lang w:val="en-GB"/>
        </w:rPr>
      </w:pPr>
      <m:oMath>
        <m:r>
          <w:rPr>
            <w:rFonts w:ascii="Cambria Math" w:eastAsia="Cambria Math" w:hAnsi="Cambria Math"/>
            <w:lang w:val="en-GB"/>
          </w:rPr>
          <m:t>X</m:t>
        </m:r>
      </m:oMath>
      <w:r w:rsidRPr="00F3533F">
        <w:rPr>
          <w:b/>
          <w:bCs/>
          <w:lang w:val="en-GB"/>
        </w:rPr>
        <w:t xml:space="preserve"> (</w:t>
      </w:r>
      <w:r w:rsidRPr="00F3533F">
        <w:rPr>
          <w:bCs/>
          <w:lang w:val="en-GB"/>
        </w:rPr>
        <w:t>Educational Access)</w:t>
      </w:r>
      <w:r w:rsidRPr="00F3533F">
        <w:rPr>
          <w:lang w:val="en-GB"/>
        </w:rPr>
        <w:t xml:space="preserve">: </w:t>
      </w:r>
      <w:r w:rsidRPr="00F3533F">
        <w:rPr>
          <w:rFonts w:eastAsia="Courier New"/>
          <w:lang w:val="en-GB"/>
        </w:rPr>
        <w:t>[1, 0, 1, 1, 0, 1, 0, 1, 0, 1]</w:t>
      </w:r>
    </w:p>
    <w:p w:rsidR="00432F35" w:rsidRPr="00F3533F" w:rsidRDefault="002354F6" w:rsidP="002354F6">
      <w:pPr>
        <w:spacing w:after="240"/>
        <w:ind w:left="720"/>
        <w:jc w:val="both"/>
        <w:rPr>
          <w:lang w:val="en-GB"/>
        </w:rPr>
      </w:pPr>
      <m:oMath>
        <m:r>
          <w:rPr>
            <w:rFonts w:ascii="Cambria Math" w:eastAsia="Cambria Math" w:hAnsi="Cambria Math"/>
            <w:lang w:val="en-GB"/>
          </w:rPr>
          <m:t>Y</m:t>
        </m:r>
      </m:oMath>
      <w:r w:rsidR="00432F35" w:rsidRPr="00F3533F">
        <w:rPr>
          <w:bCs/>
          <w:lang w:val="en-GB"/>
        </w:rPr>
        <w:t>(GBV Experience)</w:t>
      </w:r>
      <w:r w:rsidR="00432F35" w:rsidRPr="00F3533F">
        <w:rPr>
          <w:lang w:val="en-GB"/>
        </w:rPr>
        <w:t xml:space="preserve">: </w:t>
      </w:r>
      <w:r w:rsidRPr="00F3533F">
        <w:rPr>
          <w:lang w:val="en-GB"/>
        </w:rPr>
        <w:t xml:space="preserve">     </w:t>
      </w:r>
      <w:r w:rsidR="00432F35" w:rsidRPr="00F3533F">
        <w:rPr>
          <w:rFonts w:eastAsia="Courier New"/>
          <w:lang w:val="en-GB"/>
        </w:rPr>
        <w:t>[1, 0, 1, 1, 0, 1, 0, 0, 1, 1]</w:t>
      </w:r>
    </w:p>
    <w:p w:rsidR="00432F35" w:rsidRPr="00F3533F" w:rsidRDefault="009B3F52" w:rsidP="00D13A45">
      <w:pPr>
        <w:pStyle w:val="Heading3"/>
        <w:keepNext w:val="0"/>
        <w:keepLines w:val="0"/>
        <w:spacing w:before="281" w:after="281"/>
        <w:jc w:val="both"/>
        <w:rPr>
          <w:rFonts w:ascii="Times New Roman" w:hAnsi="Times New Roman" w:cs="Times New Roman"/>
          <w:b w:val="0"/>
          <w:color w:val="000000" w:themeColor="text1"/>
          <w:sz w:val="24"/>
          <w:szCs w:val="24"/>
          <w:lang w:val="en-GB"/>
        </w:rPr>
      </w:pPr>
      <w:r w:rsidRPr="00F3533F">
        <w:rPr>
          <w:rFonts w:ascii="Times New Roman" w:eastAsia="Times New Roman" w:hAnsi="Times New Roman" w:cs="Times New Roman"/>
          <w:b w:val="0"/>
          <w:color w:val="000000" w:themeColor="text1"/>
          <w:sz w:val="24"/>
          <w:szCs w:val="24"/>
          <w:lang w:val="en-GB"/>
        </w:rPr>
        <w:t>We</w:t>
      </w:r>
      <w:r w:rsidR="00432F35" w:rsidRPr="00F3533F">
        <w:rPr>
          <w:rFonts w:ascii="Times New Roman" w:eastAsia="Times New Roman" w:hAnsi="Times New Roman" w:cs="Times New Roman"/>
          <w:b w:val="0"/>
          <w:color w:val="000000" w:themeColor="text1"/>
          <w:sz w:val="24"/>
          <w:szCs w:val="24"/>
          <w:lang w:val="en-GB"/>
        </w:rPr>
        <w:t xml:space="preserve"> </w:t>
      </w:r>
      <w:proofErr w:type="gramStart"/>
      <w:r w:rsidR="00432F35" w:rsidRPr="00F3533F">
        <w:rPr>
          <w:rFonts w:ascii="Times New Roman" w:eastAsia="Times New Roman" w:hAnsi="Times New Roman" w:cs="Times New Roman"/>
          <w:b w:val="0"/>
          <w:color w:val="000000" w:themeColor="text1"/>
          <w:sz w:val="24"/>
          <w:szCs w:val="24"/>
          <w:lang w:val="en-GB"/>
        </w:rPr>
        <w:t>Calculate</w:t>
      </w:r>
      <w:r w:rsidRPr="00F3533F">
        <w:rPr>
          <w:rFonts w:ascii="Times New Roman" w:eastAsia="Times New Roman" w:hAnsi="Times New Roman" w:cs="Times New Roman"/>
          <w:b w:val="0"/>
          <w:color w:val="000000" w:themeColor="text1"/>
          <w:sz w:val="24"/>
          <w:szCs w:val="24"/>
          <w:lang w:val="en-GB"/>
        </w:rPr>
        <w:t>d</w:t>
      </w:r>
      <w:proofErr w:type="gramEnd"/>
      <w:r w:rsidR="00432F35" w:rsidRPr="00F3533F">
        <w:rPr>
          <w:rFonts w:ascii="Times New Roman" w:eastAsia="Times New Roman" w:hAnsi="Times New Roman" w:cs="Times New Roman"/>
          <w:b w:val="0"/>
          <w:color w:val="000000" w:themeColor="text1"/>
          <w:sz w:val="24"/>
          <w:szCs w:val="24"/>
          <w:lang w:val="en-GB"/>
        </w:rPr>
        <w:t xml:space="preserve"> </w:t>
      </w:r>
      <m:oMath>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Cambria Math" w:hAnsi="Times New Roman" w:cs="Times New Roman"/>
            <w:color w:val="000000" w:themeColor="text1"/>
            <w:sz w:val="24"/>
            <w:szCs w:val="24"/>
            <w:lang w:val="en-GB"/>
          </w:rPr>
          <m:t>∑</m:t>
        </m:r>
        <m:r>
          <m:rPr>
            <m:sty m:val="bi"/>
          </m:rPr>
          <w:rPr>
            <w:rFonts w:ascii="Cambria Math" w:eastAsia="Cambria Math" w:hAnsi="Times New Roman" w:cs="Times New Roman"/>
            <w:color w:val="000000" w:themeColor="text1"/>
            <w:sz w:val="24"/>
            <w:szCs w:val="24"/>
            <w:lang w:val="en-GB"/>
          </w:rPr>
          <m:t>(</m:t>
        </m:r>
        <m:sSub>
          <m:sSubPr>
            <m:ctrlPr>
              <w:rPr>
                <w:rFonts w:ascii="Cambria Math" w:hAnsi="Times New Roman" w:cs="Times New Roman"/>
                <w:b w:val="0"/>
                <w:color w:val="000000" w:themeColor="text1"/>
                <w:sz w:val="24"/>
                <w:szCs w:val="24"/>
                <w:lang w:val="en-GB"/>
              </w:rPr>
            </m:ctrlPr>
          </m:sSubPr>
          <m:e>
            <m:r>
              <m:rPr>
                <m:sty m:val="bi"/>
              </m:rPr>
              <w:rPr>
                <w:rFonts w:ascii="Cambria Math" w:eastAsia="Cambria Math" w:hAnsi="Cambria Math" w:cs="Times New Roman"/>
                <w:color w:val="000000" w:themeColor="text1"/>
                <w:sz w:val="24"/>
                <w:szCs w:val="24"/>
                <w:lang w:val="en-GB"/>
              </w:rPr>
              <m:t>X</m:t>
            </m:r>
          </m:e>
          <m:sub>
            <m:r>
              <m:rPr>
                <m:sty m:val="bi"/>
              </m:rPr>
              <w:rPr>
                <w:rFonts w:ascii="Cambria Math" w:eastAsia="Cambria Math" w:hAnsi="Cambria Math" w:cs="Times New Roman"/>
                <w:color w:val="000000" w:themeColor="text1"/>
                <w:sz w:val="24"/>
                <w:szCs w:val="24"/>
                <w:lang w:val="en-GB"/>
              </w:rPr>
              <m:t>i</m:t>
            </m:r>
          </m:sub>
        </m:sSub>
        <m:r>
          <m:rPr>
            <m:sty m:val="bi"/>
          </m:rPr>
          <w:rPr>
            <w:rFonts w:ascii="Times New Roman" w:eastAsia="Cambria Math" w:hAnsi="Times New Roman" w:cs="Times New Roman"/>
            <w:color w:val="000000" w:themeColor="text1"/>
            <w:sz w:val="24"/>
            <w:szCs w:val="24"/>
            <w:lang w:val="en-GB"/>
          </w:rPr>
          <m:t>-</m:t>
        </m:r>
        <m:acc>
          <m:accPr>
            <m:chr m:val="ˉ"/>
            <m:ctrlPr>
              <w:rPr>
                <w:rFonts w:ascii="Cambria Math" w:hAnsi="Times New Roman" w:cs="Times New Roman"/>
                <w:b w:val="0"/>
                <w:color w:val="000000" w:themeColor="text1"/>
                <w:sz w:val="24"/>
                <w:szCs w:val="24"/>
                <w:lang w:val="en-GB"/>
              </w:rPr>
            </m:ctrlPr>
          </m:accPr>
          <m:e>
            <m:r>
              <m:rPr>
                <m:sty m:val="bi"/>
              </m:rPr>
              <w:rPr>
                <w:rFonts w:ascii="Cambria Math" w:eastAsia="Cambria Math" w:hAnsi="Cambria Math" w:cs="Times New Roman"/>
                <w:color w:val="000000" w:themeColor="text1"/>
                <w:sz w:val="24"/>
                <w:szCs w:val="24"/>
                <w:lang w:val="en-GB"/>
              </w:rPr>
              <m:t>X</m:t>
            </m:r>
          </m:e>
        </m:acc>
        <m:r>
          <m:rPr>
            <m:sty m:val="bi"/>
          </m:rPr>
          <w:rPr>
            <w:rFonts w:ascii="Cambria Math" w:eastAsia="Cambria Math" w:hAnsi="Times New Roman" w:cs="Times New Roman"/>
            <w:color w:val="000000" w:themeColor="text1"/>
            <w:sz w:val="24"/>
            <w:szCs w:val="24"/>
            <w:lang w:val="en-GB"/>
          </w:rPr>
          <m:t>)(</m:t>
        </m:r>
        <m:sSub>
          <m:sSubPr>
            <m:ctrlPr>
              <w:rPr>
                <w:rFonts w:ascii="Cambria Math" w:hAnsi="Times New Roman" w:cs="Times New Roman"/>
                <w:b w:val="0"/>
                <w:color w:val="000000" w:themeColor="text1"/>
                <w:sz w:val="24"/>
                <w:szCs w:val="24"/>
                <w:lang w:val="en-GB"/>
              </w:rPr>
            </m:ctrlPr>
          </m:sSubPr>
          <m:e>
            <m:r>
              <m:rPr>
                <m:sty m:val="bi"/>
              </m:rPr>
              <w:rPr>
                <w:rFonts w:ascii="Cambria Math" w:eastAsia="Cambria Math" w:hAnsi="Cambria Math" w:cs="Times New Roman"/>
                <w:color w:val="000000" w:themeColor="text1"/>
                <w:sz w:val="24"/>
                <w:szCs w:val="24"/>
                <w:lang w:val="en-GB"/>
              </w:rPr>
              <m:t>Y</m:t>
            </m:r>
          </m:e>
          <m:sub>
            <m:r>
              <m:rPr>
                <m:sty m:val="bi"/>
              </m:rPr>
              <w:rPr>
                <w:rFonts w:ascii="Cambria Math" w:eastAsia="Cambria Math" w:hAnsi="Cambria Math" w:cs="Times New Roman"/>
                <w:color w:val="000000" w:themeColor="text1"/>
                <w:sz w:val="24"/>
                <w:szCs w:val="24"/>
                <w:lang w:val="en-GB"/>
              </w:rPr>
              <m:t>i</m:t>
            </m:r>
          </m:sub>
        </m:sSub>
        <m:r>
          <m:rPr>
            <m:sty m:val="bi"/>
          </m:rPr>
          <w:rPr>
            <w:rFonts w:ascii="Times New Roman" w:eastAsia="Cambria Math" w:hAnsi="Times New Roman" w:cs="Times New Roman"/>
            <w:color w:val="000000" w:themeColor="text1"/>
            <w:sz w:val="24"/>
            <w:szCs w:val="24"/>
            <w:lang w:val="en-GB"/>
          </w:rPr>
          <m:t>-</m:t>
        </m:r>
        <m:acc>
          <m:accPr>
            <m:chr m:val="ˉ"/>
            <m:ctrlPr>
              <w:rPr>
                <w:rFonts w:ascii="Cambria Math" w:hAnsi="Times New Roman" w:cs="Times New Roman"/>
                <w:b w:val="0"/>
                <w:color w:val="000000" w:themeColor="text1"/>
                <w:sz w:val="24"/>
                <w:szCs w:val="24"/>
                <w:lang w:val="en-GB"/>
              </w:rPr>
            </m:ctrlPr>
          </m:accPr>
          <m:e>
            <m:r>
              <m:rPr>
                <m:sty m:val="bi"/>
              </m:rPr>
              <w:rPr>
                <w:rFonts w:ascii="Cambria Math" w:eastAsia="Cambria Math" w:hAnsi="Cambria Math" w:cs="Times New Roman"/>
                <w:color w:val="000000" w:themeColor="text1"/>
                <w:sz w:val="24"/>
                <w:szCs w:val="24"/>
                <w:lang w:val="en-GB"/>
              </w:rPr>
              <m:t>Y</m:t>
            </m:r>
          </m:e>
        </m:acc>
        <m:r>
          <m:rPr>
            <m:sty m:val="bi"/>
          </m:rPr>
          <w:rPr>
            <w:rFonts w:ascii="Cambria Math" w:eastAsia="Cambria Math" w:hAnsi="Times New Roman" w:cs="Times New Roman"/>
            <w:color w:val="000000" w:themeColor="text1"/>
            <w:sz w:val="24"/>
            <w:szCs w:val="24"/>
            <w:lang w:val="en-GB"/>
          </w:rPr>
          <m:t>)</m:t>
        </m:r>
      </m:oMath>
      <w:r w:rsidRPr="00F3533F">
        <w:rPr>
          <w:rFonts w:ascii="Times New Roman" w:eastAsia="Times New Roman" w:hAnsi="Times New Roman" w:cs="Times New Roman"/>
          <w:b w:val="0"/>
          <w:color w:val="000000" w:themeColor="text1"/>
          <w:sz w:val="24"/>
          <w:szCs w:val="24"/>
          <w:lang w:val="en-GB"/>
        </w:rPr>
        <w:t xml:space="preserve"> as follows:</w:t>
      </w:r>
    </w:p>
    <w:p w:rsidR="00432F35" w:rsidRDefault="00432F35" w:rsidP="00D13A45">
      <w:pPr>
        <w:spacing w:before="240" w:after="240"/>
        <w:jc w:val="both"/>
        <w:rPr>
          <w:lang w:val="en-GB"/>
        </w:rPr>
      </w:pPr>
      <w:r w:rsidRPr="00F3533F">
        <w:rPr>
          <w:lang w:val="en-GB"/>
        </w:rPr>
        <w:t xml:space="preserve">For each </w:t>
      </w:r>
      <w:proofErr w:type="gramStart"/>
      <w:r w:rsidRPr="00F3533F">
        <w:rPr>
          <w:lang w:val="en-GB"/>
        </w:rPr>
        <w:t xml:space="preserve">pair </w:t>
      </w:r>
      <m:oMath>
        <w:proofErr w:type="gramEnd"/>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ascii="Cambria Math" w:eastAsia="Cambria Math"/>
            <w:lang w:val="en-GB"/>
          </w:rPr>
          <m:t>)</m:t>
        </m:r>
      </m:oMath>
      <w:r w:rsidRPr="00F3533F">
        <w:rPr>
          <w:lang w:val="en-GB"/>
        </w:rPr>
        <w:t>, we compute</w:t>
      </w:r>
      <w:r w:rsidR="009B3F52" w:rsidRPr="00F3533F">
        <w:rPr>
          <w:lang w:val="en-GB"/>
        </w:rPr>
        <w:t>d</w:t>
      </w:r>
      <w:r w:rsidRPr="00F3533F">
        <w:rPr>
          <w:lang w:val="en-GB"/>
        </w:rPr>
        <w:t xml:space="preserve"> </w:t>
      </w:r>
      <m:oMath>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r>
          <w:rPr>
            <w:rFonts w:ascii="Cambria Math" w:eastAsia="Cambria Math"/>
            <w:lang w:val="en-GB"/>
          </w:rPr>
          <m:t>)</m:t>
        </m:r>
      </m:oMath>
      <w:r w:rsidRPr="00F3533F">
        <w:rPr>
          <w:rStyle w:val="mopen"/>
          <w:lang w:val="en-GB"/>
        </w:rPr>
        <w:t xml:space="preserve"> </w:t>
      </w:r>
      <w:r w:rsidRPr="00F3533F">
        <w:rPr>
          <w:lang w:val="en-GB"/>
        </w:rPr>
        <w:t>and sum</w:t>
      </w:r>
      <w:r w:rsidR="009B3F52" w:rsidRPr="00F3533F">
        <w:rPr>
          <w:lang w:val="en-GB"/>
        </w:rPr>
        <w:t>med</w:t>
      </w:r>
      <w:r w:rsidRPr="00F3533F">
        <w:rPr>
          <w:lang w:val="en-GB"/>
        </w:rPr>
        <w:t xml:space="preserve"> them up:</w:t>
      </w:r>
    </w:p>
    <w:p w:rsidR="004C37E7" w:rsidRDefault="004C37E7" w:rsidP="00D13A45">
      <w:pPr>
        <w:spacing w:before="240" w:after="240"/>
        <w:jc w:val="both"/>
        <w:rPr>
          <w:lang w:val="en-GB"/>
        </w:rPr>
      </w:pPr>
    </w:p>
    <w:p w:rsidR="004C37E7" w:rsidRDefault="004C37E7" w:rsidP="00D13A45">
      <w:pPr>
        <w:spacing w:before="240" w:after="240"/>
        <w:jc w:val="both"/>
        <w:rPr>
          <w:lang w:val="en-GB"/>
        </w:rPr>
      </w:pPr>
    </w:p>
    <w:p w:rsidR="004C37E7" w:rsidRPr="00F3533F" w:rsidRDefault="004C37E7" w:rsidP="00D13A45">
      <w:pPr>
        <w:spacing w:before="240" w:after="240"/>
        <w:jc w:val="both"/>
        <w:rPr>
          <w:lang w:val="en-GB"/>
        </w:rPr>
      </w:pPr>
    </w:p>
    <w:tbl>
      <w:tblPr>
        <w:tblW w:w="10197" w:type="dxa"/>
        <w:tblCellSpacing w:w="15" w:type="dxa"/>
        <w:tblCellMar>
          <w:top w:w="15" w:type="dxa"/>
          <w:left w:w="15" w:type="dxa"/>
          <w:bottom w:w="15" w:type="dxa"/>
          <w:right w:w="15" w:type="dxa"/>
        </w:tblCellMar>
        <w:tblLook w:val="04A0"/>
      </w:tblPr>
      <w:tblGrid>
        <w:gridCol w:w="295"/>
        <w:gridCol w:w="241"/>
        <w:gridCol w:w="3199"/>
        <w:gridCol w:w="3150"/>
        <w:gridCol w:w="3312"/>
      </w:tblGrid>
      <w:tr w:rsidR="00432F35" w:rsidRPr="00F3533F" w:rsidTr="00432F35">
        <w:trPr>
          <w:tblHeader/>
          <w:tblCellSpacing w:w="15" w:type="dxa"/>
        </w:trPr>
        <w:tc>
          <w:tcPr>
            <w:tcW w:w="0" w:type="auto"/>
            <w:tcMar>
              <w:top w:w="15" w:type="dxa"/>
              <w:left w:w="15" w:type="dxa"/>
              <w:bottom w:w="15" w:type="dxa"/>
              <w:right w:w="15" w:type="dxa"/>
            </w:tcMar>
            <w:vAlign w:val="center"/>
            <w:hideMark/>
          </w:tcPr>
          <w:p w:rsidR="00432F35" w:rsidRPr="00F3533F" w:rsidRDefault="008C080F" w:rsidP="00D13A45">
            <w:pPr>
              <w:jc w:val="both"/>
              <w:rPr>
                <w:b/>
                <w:bCs/>
                <w:lang w:val="en-GB"/>
              </w:rPr>
            </w:pPr>
            <m:oMathPara>
              <m:oMath>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oMath>
            </m:oMathPara>
          </w:p>
        </w:tc>
        <w:tc>
          <w:tcPr>
            <w:tcW w:w="0" w:type="auto"/>
            <w:tcMar>
              <w:top w:w="15" w:type="dxa"/>
              <w:left w:w="15" w:type="dxa"/>
              <w:bottom w:w="15" w:type="dxa"/>
              <w:right w:w="15" w:type="dxa"/>
            </w:tcMar>
            <w:vAlign w:val="center"/>
            <w:hideMark/>
          </w:tcPr>
          <w:p w:rsidR="00432F35" w:rsidRPr="00F3533F" w:rsidRDefault="008C080F" w:rsidP="00D13A45">
            <w:pPr>
              <w:jc w:val="both"/>
              <w:rPr>
                <w:b/>
                <w:bCs/>
                <w:lang w:val="en-GB"/>
              </w:rPr>
            </w:pPr>
            <m:oMathPara>
              <m:oMath>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oMath>
            </m:oMathPara>
          </w:p>
        </w:tc>
        <w:tc>
          <w:tcPr>
            <w:tcW w:w="3169" w:type="dxa"/>
            <w:tcMar>
              <w:top w:w="15" w:type="dxa"/>
              <w:left w:w="15" w:type="dxa"/>
              <w:bottom w:w="15" w:type="dxa"/>
              <w:right w:w="15" w:type="dxa"/>
            </w:tcMar>
            <w:vAlign w:val="center"/>
            <w:hideMark/>
          </w:tcPr>
          <w:p w:rsidR="00432F35" w:rsidRPr="00F3533F" w:rsidRDefault="008C080F" w:rsidP="00D13A45">
            <w:pPr>
              <w:jc w:val="both"/>
              <w:rPr>
                <w:b/>
                <w:bCs/>
                <w:lang w:val="en-GB"/>
              </w:rPr>
            </w:pPr>
            <m:oMathPara>
              <m:oMath>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oMath>
            </m:oMathPara>
          </w:p>
        </w:tc>
        <w:tc>
          <w:tcPr>
            <w:tcW w:w="3120" w:type="dxa"/>
            <w:tcMar>
              <w:top w:w="15" w:type="dxa"/>
              <w:left w:w="15" w:type="dxa"/>
              <w:bottom w:w="15" w:type="dxa"/>
              <w:right w:w="15" w:type="dxa"/>
            </w:tcMar>
            <w:vAlign w:val="center"/>
            <w:hideMark/>
          </w:tcPr>
          <w:p w:rsidR="00432F35" w:rsidRPr="00F3533F" w:rsidRDefault="008C080F" w:rsidP="00D13A45">
            <w:pPr>
              <w:jc w:val="both"/>
              <w:rPr>
                <w:b/>
                <w:bCs/>
                <w:lang w:val="en-GB"/>
              </w:rPr>
            </w:pPr>
            <m:oMathPara>
              <m:oMath>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oMath>
            </m:oMathPara>
          </w:p>
        </w:tc>
        <w:tc>
          <w:tcPr>
            <w:tcW w:w="0" w:type="auto"/>
            <w:tcMar>
              <w:top w:w="15" w:type="dxa"/>
              <w:left w:w="15" w:type="dxa"/>
              <w:bottom w:w="15" w:type="dxa"/>
              <w:right w:w="15" w:type="dxa"/>
            </w:tcMar>
            <w:vAlign w:val="center"/>
            <w:hideMark/>
          </w:tcPr>
          <w:p w:rsidR="00432F35" w:rsidRPr="00F3533F" w:rsidRDefault="00432F35" w:rsidP="00D13A45">
            <w:pPr>
              <w:jc w:val="both"/>
              <w:rPr>
                <w:b/>
                <w:bCs/>
                <w:lang w:val="en-GB"/>
              </w:rPr>
            </w:pPr>
            <m:oMathPara>
              <m:oMath>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r>
                  <w:rPr>
                    <w:rFonts w:ascii="Cambria Math" w:eastAsia="Cambria Math"/>
                    <w:lang w:val="en-GB"/>
                  </w:rPr>
                  <m:t>)</m:t>
                </m:r>
              </m:oMath>
            </m:oMathPara>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1</m:t>
              </m:r>
              <m:r>
                <w:rPr>
                  <w:rFonts w:ascii="Cambria Math" w:eastAsia="Cambria Math"/>
                  <w:lang w:val="en-GB"/>
                </w:rPr>
                <m:t>-</m:t>
              </m:r>
              <m:r>
                <w:rPr>
                  <w:rFonts w:ascii="Cambria Math" w:eastAsia="Cambria Math"/>
                  <w:lang w:val="en-GB"/>
                </w:rPr>
                <m:t>0.3308=0.6692</m:t>
              </m:r>
            </m:oMath>
            <w:r w:rsidRPr="00F3533F">
              <w:rPr>
                <w:rStyle w:val="mord"/>
                <w:lang w:val="en-GB"/>
              </w:rPr>
              <w:t>1</w:t>
            </w:r>
            <w:r w:rsidRPr="00F3533F">
              <w:rPr>
                <w:rStyle w:val="mbin"/>
                <w:lang w:val="en-GB"/>
              </w:rPr>
              <w:t>−</w:t>
            </w:r>
            <w:r w:rsidRPr="00F3533F">
              <w:rPr>
                <w:rStyle w:val="mord"/>
                <w:lang w:val="en-GB"/>
              </w:rPr>
              <w:t>0.3308</w:t>
            </w:r>
            <w:r w:rsidRPr="00F3533F">
              <w:rPr>
                <w:rStyle w:val="mrel"/>
                <w:lang w:val="en-GB"/>
              </w:rPr>
              <w:t>=</w:t>
            </w:r>
            <w:r w:rsidRPr="00F3533F">
              <w:rPr>
                <w:rStyle w:val="mord"/>
                <w:lang w:val="en-GB"/>
              </w:rPr>
              <w:t>0.6692</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1</m:t>
              </m:r>
              <m:r>
                <w:rPr>
                  <w:rFonts w:ascii="Cambria Math" w:eastAsia="Cambria Math"/>
                  <w:lang w:val="en-GB"/>
                </w:rPr>
                <m:t>-</m:t>
              </m:r>
              <m:r>
                <w:rPr>
                  <w:rFonts w:ascii="Cambria Math" w:eastAsia="Cambria Math"/>
                  <w:lang w:val="en-GB"/>
                </w:rPr>
                <m:t>0.5363=0.4637</m:t>
              </m:r>
            </m:oMath>
            <w:r w:rsidRPr="00F3533F">
              <w:rPr>
                <w:rStyle w:val="mord"/>
                <w:lang w:val="en-GB"/>
              </w:rPr>
              <w:t>1</w:t>
            </w:r>
            <w:r w:rsidRPr="00F3533F">
              <w:rPr>
                <w:rStyle w:val="mbin"/>
                <w:lang w:val="en-GB"/>
              </w:rPr>
              <w:t>−</w:t>
            </w:r>
            <w:r w:rsidRPr="00F3533F">
              <w:rPr>
                <w:rStyle w:val="mord"/>
                <w:lang w:val="en-GB"/>
              </w:rPr>
              <w:t>0.5363</w:t>
            </w:r>
            <w:r w:rsidRPr="00F3533F">
              <w:rPr>
                <w:rStyle w:val="mrel"/>
                <w:lang w:val="en-GB"/>
              </w:rPr>
              <w:t>=</w:t>
            </w:r>
            <w:r w:rsidRPr="00F3533F">
              <w:rPr>
                <w:rStyle w:val="mord"/>
                <w:lang w:val="en-GB"/>
              </w:rPr>
              <w:t>0.4637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0.6692</m:t>
              </m:r>
              <m:r>
                <w:rPr>
                  <w:rFonts w:ascii="Cambria Math" w:eastAsia="Cambria Math"/>
                  <w:lang w:val="en-GB"/>
                </w:rPr>
                <m:t>×</m:t>
              </m:r>
              <m:r>
                <w:rPr>
                  <w:rFonts w:ascii="Cambria Math" w:eastAsia="Cambria Math"/>
                  <w:lang w:val="en-GB"/>
                </w:rPr>
                <m:t>0.4637=0.3105</m:t>
              </m:r>
            </m:oMath>
            <w:r w:rsidRPr="00F3533F">
              <w:rPr>
                <w:rStyle w:val="mord"/>
                <w:lang w:val="en-GB"/>
              </w:rPr>
              <w:t>0.6692</w:t>
            </w:r>
            <w:r w:rsidRPr="00F3533F">
              <w:rPr>
                <w:rStyle w:val="mbin"/>
                <w:lang w:val="en-GB"/>
              </w:rPr>
              <w:t>×</w:t>
            </w:r>
            <w:r w:rsidRPr="00F3533F">
              <w:rPr>
                <w:rStyle w:val="mord"/>
                <w:lang w:val="en-GB"/>
              </w:rPr>
              <w:t>0.4637</w:t>
            </w:r>
            <w:r w:rsidRPr="00F3533F">
              <w:rPr>
                <w:rStyle w:val="mrel"/>
                <w:lang w:val="en-GB"/>
              </w:rPr>
              <w:t>=</w:t>
            </w:r>
            <w:r w:rsidRPr="00F3533F">
              <w:rPr>
                <w:rStyle w:val="mord"/>
                <w:lang w:val="en-GB"/>
              </w:rPr>
              <w:t>0.3105</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m:t>
              </m:r>
              <m:r>
                <w:rPr>
                  <w:rFonts w:ascii="Cambria Math" w:eastAsia="Cambria Math"/>
                  <w:lang w:val="en-GB"/>
                </w:rPr>
                <m:t>-</m:t>
              </m:r>
              <m:r>
                <w:rPr>
                  <w:rFonts w:ascii="Cambria Math" w:eastAsia="Cambria Math"/>
                  <w:lang w:val="en-GB"/>
                </w:rPr>
                <m:t>0.3308=</m:t>
              </m:r>
              <m:r>
                <w:rPr>
                  <w:rFonts w:ascii="Cambria Math" w:eastAsia="Cambria Math"/>
                  <w:lang w:val="en-GB"/>
                </w:rPr>
                <m:t>-</m:t>
              </m:r>
              <m:r>
                <w:rPr>
                  <w:rFonts w:ascii="Cambria Math" w:eastAsia="Cambria Math"/>
                  <w:lang w:val="en-GB"/>
                </w:rPr>
                <m:t>0.3308</m:t>
              </m:r>
            </m:oMath>
            <w:r w:rsidRPr="00F3533F">
              <w:rPr>
                <w:rStyle w:val="mord"/>
                <w:lang w:val="en-GB"/>
              </w:rPr>
              <w:t>0</w:t>
            </w:r>
            <w:r w:rsidRPr="00F3533F">
              <w:rPr>
                <w:rStyle w:val="mbin"/>
                <w:lang w:val="en-GB"/>
              </w:rPr>
              <w:t>−</w:t>
            </w:r>
            <w:r w:rsidRPr="00F3533F">
              <w:rPr>
                <w:rStyle w:val="mord"/>
                <w:lang w:val="en-GB"/>
              </w:rPr>
              <w:t>0.3308</w:t>
            </w:r>
            <w:r w:rsidRPr="00F3533F">
              <w:rPr>
                <w:rStyle w:val="mrel"/>
                <w:lang w:val="en-GB"/>
              </w:rPr>
              <w:t>=</w:t>
            </w:r>
            <w:r w:rsidRPr="00F3533F">
              <w:rPr>
                <w:rStyle w:val="mord"/>
                <w:lang w:val="en-GB"/>
              </w:rPr>
              <w:t>−0.3308</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m:t>
              </m:r>
              <m:r>
                <w:rPr>
                  <w:rFonts w:ascii="Cambria Math" w:eastAsia="Cambria Math"/>
                  <w:lang w:val="en-GB"/>
                </w:rPr>
                <m:t>-</m:t>
              </m:r>
              <m:r>
                <w:rPr>
                  <w:rFonts w:ascii="Cambria Math" w:eastAsia="Cambria Math"/>
                  <w:lang w:val="en-GB"/>
                </w:rPr>
                <m:t>0.5363=</m:t>
              </m:r>
              <m:r>
                <w:rPr>
                  <w:rFonts w:ascii="Cambria Math" w:eastAsia="Cambria Math"/>
                  <w:lang w:val="en-GB"/>
                </w:rPr>
                <m:t>-</m:t>
              </m:r>
              <m:r>
                <w:rPr>
                  <w:rFonts w:ascii="Cambria Math" w:eastAsia="Cambria Math"/>
                  <w:lang w:val="en-GB"/>
                </w:rPr>
                <m:t>0.5363</m:t>
              </m:r>
            </m:oMath>
            <w:r w:rsidRPr="00F3533F">
              <w:rPr>
                <w:rStyle w:val="mord"/>
                <w:lang w:val="en-GB"/>
              </w:rPr>
              <w:t>0</w:t>
            </w:r>
            <w:r w:rsidRPr="00F3533F">
              <w:rPr>
                <w:rStyle w:val="mbin"/>
                <w:lang w:val="en-GB"/>
              </w:rPr>
              <w:t>−</w:t>
            </w:r>
            <w:r w:rsidRPr="00F3533F">
              <w:rPr>
                <w:rStyle w:val="mord"/>
                <w:lang w:val="en-GB"/>
              </w:rPr>
              <w:t>0.5363</w:t>
            </w:r>
            <w:r w:rsidRPr="00F3533F">
              <w:rPr>
                <w:rStyle w:val="mrel"/>
                <w:lang w:val="en-GB"/>
              </w:rPr>
              <w:t>=</w:t>
            </w:r>
            <w:r w:rsidRPr="00F3533F">
              <w:rPr>
                <w:rStyle w:val="mord"/>
                <w:lang w:val="en-GB"/>
              </w:rPr>
              <w:t>−0.5363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0.3308</m:t>
              </m:r>
              <m:r>
                <w:rPr>
                  <w:rFonts w:ascii="Cambria Math" w:eastAsia="Cambria Math"/>
                  <w:lang w:val="en-GB"/>
                </w:rPr>
                <m:t>×-</m:t>
              </m:r>
              <m:r>
                <w:rPr>
                  <w:rFonts w:ascii="Cambria Math" w:eastAsia="Cambria Math"/>
                  <w:lang w:val="en-GB"/>
                </w:rPr>
                <m:t>0.5363=0.1773</m:t>
              </m:r>
            </m:oMath>
            <w:r w:rsidRPr="00F3533F">
              <w:rPr>
                <w:rStyle w:val="mord"/>
                <w:lang w:val="en-GB"/>
              </w:rPr>
              <w:t>−0.3308</w:t>
            </w:r>
            <w:r w:rsidRPr="00F3533F">
              <w:rPr>
                <w:rStyle w:val="mbin"/>
                <w:lang w:val="en-GB"/>
              </w:rPr>
              <w:t>×</w:t>
            </w:r>
            <w:r w:rsidRPr="00F3533F">
              <w:rPr>
                <w:rStyle w:val="mord"/>
                <w:lang w:val="en-GB"/>
              </w:rPr>
              <w:t>−0.5363</w:t>
            </w:r>
            <w:r w:rsidRPr="00F3533F">
              <w:rPr>
                <w:rStyle w:val="mrel"/>
                <w:lang w:val="en-GB"/>
              </w:rPr>
              <w:t>=</w:t>
            </w:r>
            <w:r w:rsidRPr="00F3533F">
              <w:rPr>
                <w:rStyle w:val="mord"/>
                <w:lang w:val="en-GB"/>
              </w:rPr>
              <w:t>0.1773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0.6692</m:t>
              </m:r>
            </m:oMath>
            <w:r w:rsidRPr="00F3533F">
              <w:rPr>
                <w:rStyle w:val="mord"/>
                <w:lang w:val="en-GB"/>
              </w:rPr>
              <w:t>0.6692</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0.4637</m:t>
              </m:r>
            </m:oMath>
            <w:r w:rsidRPr="00F3533F">
              <w:rPr>
                <w:rStyle w:val="mord"/>
                <w:lang w:val="en-GB"/>
              </w:rPr>
              <w:t>0.4637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0.3105</m:t>
              </m:r>
            </m:oMath>
            <w:r w:rsidRPr="00F3533F">
              <w:rPr>
                <w:rStyle w:val="mord"/>
                <w:lang w:val="en-GB"/>
              </w:rPr>
              <w:t>0.3105</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0.6692</m:t>
              </m:r>
            </m:oMath>
            <w:r w:rsidRPr="00F3533F">
              <w:rPr>
                <w:rStyle w:val="mord"/>
                <w:lang w:val="en-GB"/>
              </w:rPr>
              <w:t>0.6692</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0.4637</m:t>
              </m:r>
            </m:oMath>
            <w:r w:rsidRPr="00F3533F">
              <w:rPr>
                <w:rStyle w:val="mord"/>
                <w:lang w:val="en-GB"/>
              </w:rPr>
              <w:t>0.4637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0.3105</m:t>
              </m:r>
            </m:oMath>
            <w:r w:rsidRPr="00F3533F">
              <w:rPr>
                <w:rStyle w:val="mord"/>
                <w:lang w:val="en-GB"/>
              </w:rPr>
              <w:t>0.3105</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0.3308</m:t>
              </m:r>
            </m:oMath>
            <w:r w:rsidRPr="00F3533F">
              <w:rPr>
                <w:rStyle w:val="mord"/>
                <w:lang w:val="en-GB"/>
              </w:rPr>
              <w:t>−0.3308</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0.5363</m:t>
              </m:r>
            </m:oMath>
            <w:r w:rsidRPr="00F3533F">
              <w:rPr>
                <w:rStyle w:val="mord"/>
                <w:lang w:val="en-GB"/>
              </w:rPr>
              <w:t>−0.5363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0.1773</m:t>
              </m:r>
            </m:oMath>
            <w:r w:rsidRPr="00F3533F">
              <w:rPr>
                <w:rStyle w:val="mord"/>
                <w:lang w:val="en-GB"/>
              </w:rPr>
              <w:t>0.1773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0.6692</m:t>
              </m:r>
            </m:oMath>
            <w:r w:rsidRPr="00F3533F">
              <w:rPr>
                <w:rStyle w:val="mord"/>
                <w:lang w:val="en-GB"/>
              </w:rPr>
              <w:t>0.6692</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0.4637</m:t>
              </m:r>
            </m:oMath>
            <w:r w:rsidRPr="00F3533F">
              <w:rPr>
                <w:rStyle w:val="mord"/>
                <w:lang w:val="en-GB"/>
              </w:rPr>
              <w:t>0.4637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0.3105</m:t>
              </m:r>
            </m:oMath>
            <w:r w:rsidRPr="00F3533F">
              <w:rPr>
                <w:rStyle w:val="mord"/>
                <w:lang w:val="en-GB"/>
              </w:rPr>
              <w:t>0.3105</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0.3308</m:t>
              </m:r>
            </m:oMath>
            <w:r w:rsidRPr="00F3533F">
              <w:rPr>
                <w:rStyle w:val="mord"/>
                <w:lang w:val="en-GB"/>
              </w:rPr>
              <w:t>−0.3308</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0.5363</m:t>
              </m:r>
            </m:oMath>
            <w:r w:rsidRPr="00F3533F">
              <w:rPr>
                <w:rStyle w:val="mord"/>
                <w:lang w:val="en-GB"/>
              </w:rPr>
              <w:t>−0.5363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0.1773</m:t>
              </m:r>
            </m:oMath>
            <w:r w:rsidRPr="00F3533F">
              <w:rPr>
                <w:rStyle w:val="mord"/>
                <w:lang w:val="en-GB"/>
              </w:rPr>
              <w:t>0.1773</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0.6692</m:t>
              </m:r>
            </m:oMath>
            <w:r w:rsidRPr="00F3533F">
              <w:rPr>
                <w:rStyle w:val="mord"/>
                <w:lang w:val="en-GB"/>
              </w:rPr>
              <w:t>0.6692</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0.5363</m:t>
              </m:r>
            </m:oMath>
            <w:r w:rsidRPr="00F3533F">
              <w:rPr>
                <w:rStyle w:val="mord"/>
                <w:lang w:val="en-GB"/>
              </w:rPr>
              <w:t>−0.5363</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0.3587</m:t>
              </m:r>
            </m:oMath>
            <w:r w:rsidRPr="00F3533F">
              <w:rPr>
                <w:rStyle w:val="mord"/>
                <w:lang w:val="en-GB"/>
              </w:rPr>
              <w:t>−0.3587</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0</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0.3308</m:t>
              </m:r>
            </m:oMath>
            <w:r w:rsidRPr="00F3533F">
              <w:rPr>
                <w:rStyle w:val="mord"/>
                <w:lang w:val="en-GB"/>
              </w:rPr>
              <w:t>−0.3308</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0.4637</m:t>
              </m:r>
            </m:oMath>
            <w:r w:rsidRPr="00F3533F">
              <w:rPr>
                <w:rStyle w:val="mord"/>
                <w:lang w:val="en-GB"/>
              </w:rPr>
              <w:t>0.4637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eastAsia="Cambria Math"/>
                  <w:lang w:val="en-GB"/>
                </w:rPr>
                <m:t>-</m:t>
              </m:r>
              <m:r>
                <w:rPr>
                  <w:rFonts w:ascii="Cambria Math" w:eastAsia="Cambria Math"/>
                  <w:lang w:val="en-GB"/>
                </w:rPr>
                <m:t>0.1535</m:t>
              </m:r>
            </m:oMath>
            <w:r w:rsidRPr="00F3533F">
              <w:rPr>
                <w:rStyle w:val="mord"/>
                <w:lang w:val="en-GB"/>
              </w:rPr>
              <w:t>−0.1535</w:t>
            </w:r>
          </w:p>
        </w:tc>
      </w:tr>
      <w:tr w:rsidR="00432F35" w:rsidRPr="00F3533F" w:rsidTr="00432F35">
        <w:trPr>
          <w:tblCellSpacing w:w="15" w:type="dxa"/>
        </w:trPr>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w:r w:rsidRPr="00F3533F">
              <w:rPr>
                <w:lang w:val="en-GB"/>
              </w:rPr>
              <w:t>1</w:t>
            </w:r>
          </w:p>
        </w:tc>
        <w:tc>
          <w:tcPr>
            <w:tcW w:w="3169"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0.6692</m:t>
              </m:r>
            </m:oMath>
            <w:r w:rsidRPr="00F3533F">
              <w:rPr>
                <w:rStyle w:val="mord"/>
                <w:lang w:val="en-GB"/>
              </w:rPr>
              <w:t>0.6692</w:t>
            </w:r>
          </w:p>
        </w:tc>
        <w:tc>
          <w:tcPr>
            <w:tcW w:w="3120" w:type="dxa"/>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0.4637</m:t>
              </m:r>
            </m:oMath>
            <w:r w:rsidRPr="00F3533F">
              <w:rPr>
                <w:rStyle w:val="mord"/>
                <w:lang w:val="en-GB"/>
              </w:rPr>
              <w:t>0.4637</w:t>
            </w:r>
          </w:p>
        </w:tc>
        <w:tc>
          <w:tcPr>
            <w:tcW w:w="0" w:type="auto"/>
            <w:tcMar>
              <w:top w:w="15" w:type="dxa"/>
              <w:left w:w="15" w:type="dxa"/>
              <w:bottom w:w="15" w:type="dxa"/>
              <w:right w:w="15" w:type="dxa"/>
            </w:tcMar>
            <w:vAlign w:val="center"/>
            <w:hideMark/>
          </w:tcPr>
          <w:p w:rsidR="00432F35" w:rsidRPr="00F3533F" w:rsidRDefault="00432F35" w:rsidP="00D13A45">
            <w:pPr>
              <w:jc w:val="both"/>
              <w:rPr>
                <w:lang w:val="en-GB"/>
              </w:rPr>
            </w:pPr>
            <m:oMath>
              <m:r>
                <w:rPr>
                  <w:rFonts w:ascii="Cambria Math" w:eastAsia="Cambria Math"/>
                  <w:lang w:val="en-GB"/>
                </w:rPr>
                <m:t>0.3105</m:t>
              </m:r>
            </m:oMath>
            <w:r w:rsidRPr="00F3533F">
              <w:rPr>
                <w:rStyle w:val="mord"/>
                <w:lang w:val="en-GB"/>
              </w:rPr>
              <w:t>0.3105</w:t>
            </w:r>
          </w:p>
        </w:tc>
      </w:tr>
    </w:tbl>
    <w:p w:rsidR="00432F35" w:rsidRPr="00F3533F" w:rsidRDefault="009B3F52" w:rsidP="00D13A45">
      <w:pPr>
        <w:pStyle w:val="Heading4"/>
        <w:keepNext w:val="0"/>
        <w:keepLines w:val="0"/>
        <w:spacing w:before="319" w:after="319"/>
        <w:jc w:val="both"/>
        <w:rPr>
          <w:rFonts w:ascii="Times New Roman" w:hAnsi="Times New Roman" w:cs="Times New Roman"/>
          <w:b w:val="0"/>
          <w:lang w:val="en-GB"/>
        </w:rPr>
      </w:pPr>
      <w:r w:rsidRPr="00F3533F">
        <w:rPr>
          <w:rFonts w:ascii="Times New Roman" w:eastAsia="Times New Roman" w:hAnsi="Times New Roman" w:cs="Times New Roman"/>
          <w:b w:val="0"/>
          <w:iCs w:val="0"/>
          <w:color w:val="auto"/>
          <w:lang w:val="en-GB"/>
        </w:rPr>
        <w:t xml:space="preserve">Summing them up, we have: </w:t>
      </w:r>
    </w:p>
    <w:p w:rsidR="00432F35" w:rsidRPr="00F3533F" w:rsidRDefault="00432F35" w:rsidP="00D13A45">
      <w:pPr>
        <w:spacing w:before="240" w:after="240"/>
        <w:jc w:val="both"/>
        <w:rPr>
          <w:lang w:val="en-GB"/>
        </w:rPr>
      </w:pPr>
      <m:oMathPara>
        <m:oMathParaPr>
          <m:jc m:val="left"/>
        </m:oMathParaPr>
        <m:oMath>
          <m:r>
            <w:rPr>
              <w:rFonts w:ascii="Cambria Math"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r>
            <w:rPr>
              <w:rFonts w:ascii="Cambria Math" w:eastAsia="Cambria Math"/>
              <w:lang w:val="en-GB"/>
            </w:rPr>
            <m:t>)=0.3105+0.1773+0.3105+0.3105+0.1773+0.3105+0.1773</m:t>
          </m:r>
          <m:r>
            <w:rPr>
              <w:rFonts w:ascii="Cambria Math" w:eastAsia="Cambria Math"/>
              <w:lang w:val="en-GB"/>
            </w:rPr>
            <m:t>-</m:t>
          </m:r>
          <m:r>
            <w:rPr>
              <w:rFonts w:ascii="Cambria Math" w:eastAsia="Cambria Math"/>
              <w:lang w:val="en-GB"/>
            </w:rPr>
            <m:t>0.3587</m:t>
          </m:r>
          <m:r>
            <w:rPr>
              <w:rFonts w:ascii="Cambria Math" w:eastAsia="Cambria Math"/>
              <w:lang w:val="en-GB"/>
            </w:rPr>
            <m:t>-</m:t>
          </m:r>
          <m:r>
            <w:rPr>
              <w:rFonts w:ascii="Cambria Math" w:eastAsia="Cambria Math"/>
              <w:lang w:val="en-GB"/>
            </w:rPr>
            <m:t>0.1535+0.3105=1.5722</m:t>
          </m:r>
        </m:oMath>
      </m:oMathPara>
    </w:p>
    <w:p w:rsidR="00432F35" w:rsidRPr="00F3533F" w:rsidRDefault="009B3F52" w:rsidP="00D13A45">
      <w:pPr>
        <w:pStyle w:val="Heading3"/>
        <w:keepNext w:val="0"/>
        <w:keepLines w:val="0"/>
        <w:spacing w:before="281" w:after="281"/>
        <w:jc w:val="both"/>
        <w:rPr>
          <w:rFonts w:ascii="Times New Roman" w:hAnsi="Times New Roman" w:cs="Times New Roman"/>
          <w:b w:val="0"/>
          <w:sz w:val="24"/>
          <w:szCs w:val="24"/>
          <w:lang w:val="en-GB"/>
        </w:rPr>
      </w:pPr>
      <w:r w:rsidRPr="00F3533F">
        <w:rPr>
          <w:rFonts w:ascii="Times New Roman" w:eastAsia="Times New Roman" w:hAnsi="Times New Roman" w:cs="Times New Roman"/>
          <w:b w:val="0"/>
          <w:color w:val="auto"/>
          <w:sz w:val="24"/>
          <w:szCs w:val="24"/>
          <w:lang w:val="en-GB"/>
        </w:rPr>
        <w:t xml:space="preserve">We also </w:t>
      </w:r>
      <w:proofErr w:type="gramStart"/>
      <w:r w:rsidRPr="00F3533F">
        <w:rPr>
          <w:rFonts w:ascii="Times New Roman" w:eastAsia="Times New Roman" w:hAnsi="Times New Roman" w:cs="Times New Roman"/>
          <w:b w:val="0"/>
          <w:color w:val="000000" w:themeColor="text1"/>
          <w:sz w:val="24"/>
          <w:szCs w:val="24"/>
          <w:lang w:val="en-GB"/>
        </w:rPr>
        <w:t>c</w:t>
      </w:r>
      <w:r w:rsidR="00432F35" w:rsidRPr="00F3533F">
        <w:rPr>
          <w:rFonts w:ascii="Times New Roman" w:eastAsia="Times New Roman" w:hAnsi="Times New Roman" w:cs="Times New Roman"/>
          <w:b w:val="0"/>
          <w:color w:val="000000" w:themeColor="text1"/>
          <w:sz w:val="24"/>
          <w:szCs w:val="24"/>
          <w:lang w:val="en-GB"/>
        </w:rPr>
        <w:t>alculate</w:t>
      </w:r>
      <w:r w:rsidRPr="00F3533F">
        <w:rPr>
          <w:rFonts w:ascii="Times New Roman" w:eastAsia="Times New Roman" w:hAnsi="Times New Roman" w:cs="Times New Roman"/>
          <w:b w:val="0"/>
          <w:color w:val="000000" w:themeColor="text1"/>
          <w:sz w:val="24"/>
          <w:szCs w:val="24"/>
          <w:lang w:val="en-GB"/>
        </w:rPr>
        <w:t xml:space="preserve">d </w:t>
      </w:r>
      <w:r w:rsidR="00432F35" w:rsidRPr="00F3533F">
        <w:rPr>
          <w:rFonts w:ascii="Times New Roman" w:eastAsia="Times New Roman" w:hAnsi="Times New Roman" w:cs="Times New Roman"/>
          <w:b w:val="0"/>
          <w:color w:val="000000" w:themeColor="text1"/>
          <w:sz w:val="24"/>
          <w:szCs w:val="24"/>
          <w:lang w:val="en-GB"/>
        </w:rPr>
        <w:t xml:space="preserve"> </w:t>
      </w:r>
      <m:oMath>
        <w:proofErr w:type="gramEnd"/>
        <m:r>
          <m:rPr>
            <m:sty m:val="bi"/>
          </m:rPr>
          <w:rPr>
            <w:rFonts w:ascii="Cambria Math" w:eastAsia="Cambria Math" w:hAnsi="Times New Roman" w:cs="Times New Roman"/>
            <w:color w:val="000000" w:themeColor="text1"/>
            <w:sz w:val="24"/>
            <w:szCs w:val="24"/>
            <w:lang w:val="en-GB"/>
          </w:rPr>
          <m:t>∑</m:t>
        </m:r>
        <m:r>
          <m:rPr>
            <m:sty m:val="bi"/>
          </m:rPr>
          <w:rPr>
            <w:rFonts w:ascii="Cambria Math" w:eastAsia="Cambria Math" w:hAnsi="Times New Roman" w:cs="Times New Roman"/>
            <w:color w:val="000000" w:themeColor="text1"/>
            <w:sz w:val="24"/>
            <w:szCs w:val="24"/>
            <w:lang w:val="en-GB"/>
          </w:rPr>
          <m:t>(</m:t>
        </m:r>
        <m:sSub>
          <m:sSubPr>
            <m:ctrlPr>
              <w:rPr>
                <w:rFonts w:ascii="Cambria Math" w:hAnsi="Times New Roman" w:cs="Times New Roman"/>
                <w:b w:val="0"/>
                <w:color w:val="000000" w:themeColor="text1"/>
                <w:sz w:val="24"/>
                <w:szCs w:val="24"/>
                <w:lang w:val="en-GB"/>
              </w:rPr>
            </m:ctrlPr>
          </m:sSubPr>
          <m:e>
            <m:r>
              <m:rPr>
                <m:sty m:val="bi"/>
              </m:rPr>
              <w:rPr>
                <w:rFonts w:ascii="Cambria Math" w:eastAsia="Cambria Math" w:hAnsi="Cambria Math" w:cs="Times New Roman"/>
                <w:color w:val="000000" w:themeColor="text1"/>
                <w:sz w:val="24"/>
                <w:szCs w:val="24"/>
                <w:lang w:val="en-GB"/>
              </w:rPr>
              <m:t>X</m:t>
            </m:r>
          </m:e>
          <m:sub>
            <m:r>
              <m:rPr>
                <m:sty m:val="bi"/>
              </m:rPr>
              <w:rPr>
                <w:rFonts w:ascii="Cambria Math" w:eastAsia="Cambria Math" w:hAnsi="Cambria Math" w:cs="Times New Roman"/>
                <w:color w:val="000000" w:themeColor="text1"/>
                <w:sz w:val="24"/>
                <w:szCs w:val="24"/>
                <w:lang w:val="en-GB"/>
              </w:rPr>
              <m:t>i</m:t>
            </m:r>
          </m:sub>
        </m:sSub>
        <m:r>
          <m:rPr>
            <m:sty m:val="bi"/>
          </m:rPr>
          <w:rPr>
            <w:rFonts w:ascii="Times New Roman" w:eastAsia="Cambria Math" w:hAnsi="Times New Roman" w:cs="Times New Roman"/>
            <w:color w:val="000000" w:themeColor="text1"/>
            <w:sz w:val="24"/>
            <w:szCs w:val="24"/>
            <w:lang w:val="en-GB"/>
          </w:rPr>
          <m:t>-</m:t>
        </m:r>
        <m:acc>
          <m:accPr>
            <m:chr m:val="ˉ"/>
            <m:ctrlPr>
              <w:rPr>
                <w:rFonts w:ascii="Cambria Math" w:hAnsi="Times New Roman" w:cs="Times New Roman"/>
                <w:b w:val="0"/>
                <w:color w:val="000000" w:themeColor="text1"/>
                <w:sz w:val="24"/>
                <w:szCs w:val="24"/>
                <w:lang w:val="en-GB"/>
              </w:rPr>
            </m:ctrlPr>
          </m:accPr>
          <m:e>
            <m:r>
              <m:rPr>
                <m:sty m:val="bi"/>
              </m:rPr>
              <w:rPr>
                <w:rFonts w:ascii="Cambria Math" w:eastAsia="Cambria Math" w:hAnsi="Cambria Math" w:cs="Times New Roman"/>
                <w:color w:val="000000" w:themeColor="text1"/>
                <w:sz w:val="24"/>
                <w:szCs w:val="24"/>
                <w:lang w:val="en-GB"/>
              </w:rPr>
              <m:t>X</m:t>
            </m:r>
          </m:e>
        </m:acc>
        <m:sSup>
          <m:sSupPr>
            <m:ctrlPr>
              <w:rPr>
                <w:rFonts w:ascii="Cambria Math" w:hAnsi="Times New Roman" w:cs="Times New Roman"/>
                <w:b w:val="0"/>
                <w:color w:val="000000" w:themeColor="text1"/>
                <w:sz w:val="24"/>
                <w:szCs w:val="24"/>
                <w:lang w:val="en-GB"/>
              </w:rPr>
            </m:ctrlPr>
          </m:sSupPr>
          <m:e>
            <m:r>
              <m:rPr>
                <m:sty m:val="bi"/>
              </m:rPr>
              <w:rPr>
                <w:rFonts w:ascii="Cambria Math" w:eastAsia="Cambria Math" w:hAnsi="Times New Roman" w:cs="Times New Roman"/>
                <w:color w:val="000000" w:themeColor="text1"/>
                <w:sz w:val="24"/>
                <w:szCs w:val="24"/>
                <w:lang w:val="en-GB"/>
              </w:rPr>
              <m:t>)</m:t>
            </m:r>
          </m:e>
          <m:sup>
            <m:r>
              <m:rPr>
                <m:sty m:val="bi"/>
              </m:rPr>
              <w:rPr>
                <w:rFonts w:ascii="Cambria Math" w:eastAsia="Cambria Math" w:hAnsi="Times New Roman" w:cs="Times New Roman"/>
                <w:color w:val="000000" w:themeColor="text1"/>
                <w:sz w:val="24"/>
                <w:szCs w:val="24"/>
                <w:lang w:val="en-GB"/>
              </w:rPr>
              <m:t>2</m:t>
            </m:r>
          </m:sup>
        </m:sSup>
      </m:oMath>
      <w:r w:rsidR="00432F35" w:rsidRPr="00F3533F">
        <w:rPr>
          <w:rFonts w:ascii="Times New Roman" w:eastAsia="Times New Roman" w:hAnsi="Times New Roman" w:cs="Times New Roman"/>
          <w:b w:val="0"/>
          <w:color w:val="000000" w:themeColor="text1"/>
          <w:sz w:val="24"/>
          <w:szCs w:val="24"/>
          <w:lang w:val="en-GB"/>
        </w:rPr>
        <w:t xml:space="preserve">and </w:t>
      </w:r>
      <m:oMath>
        <m:r>
          <m:rPr>
            <m:sty m:val="bi"/>
          </m:rPr>
          <w:rPr>
            <w:rFonts w:ascii="Cambria Math" w:eastAsia="Cambria Math" w:hAnsi="Times New Roman" w:cs="Times New Roman"/>
            <w:color w:val="000000" w:themeColor="text1"/>
            <w:sz w:val="24"/>
            <w:szCs w:val="24"/>
            <w:lang w:val="en-GB"/>
          </w:rPr>
          <m:t>∑</m:t>
        </m:r>
        <m:r>
          <m:rPr>
            <m:sty m:val="bi"/>
          </m:rPr>
          <w:rPr>
            <w:rFonts w:ascii="Cambria Math" w:eastAsia="Cambria Math" w:hAnsi="Times New Roman" w:cs="Times New Roman"/>
            <w:color w:val="000000" w:themeColor="text1"/>
            <w:sz w:val="24"/>
            <w:szCs w:val="24"/>
            <w:lang w:val="en-GB"/>
          </w:rPr>
          <m:t>(</m:t>
        </m:r>
        <m:sSub>
          <m:sSubPr>
            <m:ctrlPr>
              <w:rPr>
                <w:rFonts w:ascii="Cambria Math" w:hAnsi="Times New Roman" w:cs="Times New Roman"/>
                <w:b w:val="0"/>
                <w:color w:val="000000" w:themeColor="text1"/>
                <w:sz w:val="24"/>
                <w:szCs w:val="24"/>
                <w:lang w:val="en-GB"/>
              </w:rPr>
            </m:ctrlPr>
          </m:sSubPr>
          <m:e>
            <m:r>
              <m:rPr>
                <m:sty m:val="bi"/>
              </m:rPr>
              <w:rPr>
                <w:rFonts w:ascii="Cambria Math" w:eastAsia="Cambria Math" w:hAnsi="Cambria Math" w:cs="Times New Roman"/>
                <w:color w:val="000000" w:themeColor="text1"/>
                <w:sz w:val="24"/>
                <w:szCs w:val="24"/>
                <w:lang w:val="en-GB"/>
              </w:rPr>
              <m:t>Y</m:t>
            </m:r>
          </m:e>
          <m:sub>
            <m:r>
              <m:rPr>
                <m:sty m:val="bi"/>
              </m:rPr>
              <w:rPr>
                <w:rFonts w:ascii="Cambria Math" w:eastAsia="Cambria Math" w:hAnsi="Cambria Math" w:cs="Times New Roman"/>
                <w:color w:val="000000" w:themeColor="text1"/>
                <w:sz w:val="24"/>
                <w:szCs w:val="24"/>
                <w:lang w:val="en-GB"/>
              </w:rPr>
              <m:t>i</m:t>
            </m:r>
          </m:sub>
        </m:sSub>
        <m:r>
          <m:rPr>
            <m:sty m:val="bi"/>
          </m:rPr>
          <w:rPr>
            <w:rFonts w:ascii="Times New Roman" w:eastAsia="Cambria Math" w:hAnsi="Times New Roman" w:cs="Times New Roman"/>
            <w:color w:val="000000" w:themeColor="text1"/>
            <w:sz w:val="24"/>
            <w:szCs w:val="24"/>
            <w:lang w:val="en-GB"/>
          </w:rPr>
          <m:t>-</m:t>
        </m:r>
        <m:acc>
          <m:accPr>
            <m:chr m:val="ˉ"/>
            <m:ctrlPr>
              <w:rPr>
                <w:rFonts w:ascii="Cambria Math" w:hAnsi="Times New Roman" w:cs="Times New Roman"/>
                <w:b w:val="0"/>
                <w:color w:val="000000" w:themeColor="text1"/>
                <w:sz w:val="24"/>
                <w:szCs w:val="24"/>
                <w:lang w:val="en-GB"/>
              </w:rPr>
            </m:ctrlPr>
          </m:accPr>
          <m:e>
            <m:r>
              <m:rPr>
                <m:sty m:val="bi"/>
              </m:rPr>
              <w:rPr>
                <w:rFonts w:ascii="Cambria Math" w:eastAsia="Cambria Math" w:hAnsi="Cambria Math" w:cs="Times New Roman"/>
                <w:color w:val="000000" w:themeColor="text1"/>
                <w:sz w:val="24"/>
                <w:szCs w:val="24"/>
                <w:lang w:val="en-GB"/>
              </w:rPr>
              <m:t>Y</m:t>
            </m:r>
          </m:e>
        </m:acc>
        <m:sSup>
          <m:sSupPr>
            <m:ctrlPr>
              <w:rPr>
                <w:rFonts w:ascii="Cambria Math" w:hAnsi="Times New Roman" w:cs="Times New Roman"/>
                <w:b w:val="0"/>
                <w:color w:val="000000" w:themeColor="text1"/>
                <w:sz w:val="24"/>
                <w:szCs w:val="24"/>
                <w:lang w:val="en-GB"/>
              </w:rPr>
            </m:ctrlPr>
          </m:sSupPr>
          <m:e>
            <m:r>
              <m:rPr>
                <m:sty m:val="bi"/>
              </m:rPr>
              <w:rPr>
                <w:rFonts w:ascii="Cambria Math" w:eastAsia="Cambria Math" w:hAnsi="Times New Roman" w:cs="Times New Roman"/>
                <w:color w:val="000000" w:themeColor="text1"/>
                <w:sz w:val="24"/>
                <w:szCs w:val="24"/>
                <w:lang w:val="en-GB"/>
              </w:rPr>
              <m:t>)</m:t>
            </m:r>
          </m:e>
          <m:sup>
            <m:r>
              <m:rPr>
                <m:sty m:val="bi"/>
              </m:rPr>
              <w:rPr>
                <w:rFonts w:ascii="Cambria Math" w:eastAsia="Cambria Math" w:hAnsi="Times New Roman" w:cs="Times New Roman"/>
                <w:color w:val="000000" w:themeColor="text1"/>
                <w:sz w:val="24"/>
                <w:szCs w:val="24"/>
                <w:lang w:val="en-GB"/>
              </w:rPr>
              <m:t>2</m:t>
            </m:r>
          </m:sup>
        </m:sSup>
      </m:oMath>
      <w:r w:rsidRPr="00F3533F">
        <w:rPr>
          <w:rFonts w:ascii="Times New Roman" w:eastAsia="Times New Roman" w:hAnsi="Times New Roman" w:cs="Times New Roman"/>
          <w:b w:val="0"/>
          <w:color w:val="000000" w:themeColor="text1"/>
          <w:sz w:val="24"/>
          <w:szCs w:val="24"/>
          <w:lang w:val="en-GB"/>
        </w:rPr>
        <w:t xml:space="preserve"> thus:</w:t>
      </w:r>
    </w:p>
    <w:p w:rsidR="00432F35" w:rsidRPr="00F3533F" w:rsidRDefault="00432F35" w:rsidP="00D13A45">
      <w:pPr>
        <w:pStyle w:val="Heading4"/>
        <w:keepNext w:val="0"/>
        <w:keepLines w:val="0"/>
        <w:spacing w:before="319" w:after="319"/>
        <w:jc w:val="both"/>
        <w:rPr>
          <w:rFonts w:ascii="Times New Roman" w:hAnsi="Times New Roman" w:cs="Times New Roman"/>
          <w:lang w:val="en-GB"/>
        </w:rPr>
      </w:pPr>
      <w:proofErr w:type="gramStart"/>
      <w:r w:rsidRPr="00F3533F">
        <w:rPr>
          <w:rFonts w:ascii="Times New Roman" w:eastAsia="Times New Roman" w:hAnsi="Times New Roman" w:cs="Times New Roman"/>
          <w:b w:val="0"/>
          <w:iCs w:val="0"/>
          <w:color w:val="000000" w:themeColor="text1"/>
          <w:lang w:val="en-GB"/>
        </w:rPr>
        <w:t xml:space="preserve">For </w:t>
      </w:r>
      <m:oMath>
        <w:proofErr w:type="gramEnd"/>
        <m:r>
          <w:rPr>
            <w:rFonts w:ascii="Cambria Math" w:eastAsia="Cambria Math" w:hAnsi="Cambria Math" w:cs="Times New Roman"/>
            <w:color w:val="000000" w:themeColor="text1"/>
            <w:lang w:val="en-GB"/>
          </w:rPr>
          <m:t>X</m:t>
        </m:r>
      </m:oMath>
      <w:r w:rsidRPr="00F3533F">
        <w:rPr>
          <w:rFonts w:ascii="Times New Roman" w:eastAsia="Times New Roman" w:hAnsi="Times New Roman" w:cs="Times New Roman"/>
          <w:iCs w:val="0"/>
          <w:color w:val="auto"/>
          <w:lang w:val="en-GB"/>
        </w:rPr>
        <w:t>:</w:t>
      </w:r>
    </w:p>
    <w:p w:rsidR="00432F35" w:rsidRPr="00F3533F" w:rsidRDefault="00432F35" w:rsidP="00D13A45">
      <w:pPr>
        <w:spacing w:before="240" w:after="240"/>
        <w:jc w:val="both"/>
        <w:rPr>
          <w:lang w:val="en-GB"/>
        </w:rPr>
      </w:pPr>
      <m:oMath>
        <m:r>
          <w:rPr>
            <w:rFonts w:ascii="Cambria Math"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=(0.6692</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r>
          <w:rPr>
            <w:rFonts w:ascii="Cambria Math" w:eastAsia="Cambria Math"/>
            <w:lang w:val="en-GB"/>
          </w:rPr>
          <m:t>0.3308</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+(0.6692</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+(0.6692</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r>
          <w:rPr>
            <w:rFonts w:ascii="Cambria Math" w:eastAsia="Cambria Math"/>
            <w:lang w:val="en-GB"/>
          </w:rPr>
          <m:t>0.3308</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+(0.6692</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r>
          <w:rPr>
            <w:rFonts w:ascii="Cambria Math" w:eastAsia="Cambria Math"/>
            <w:lang w:val="en-GB"/>
          </w:rPr>
          <m:t>0.3308</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+(0.6692</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r>
          <w:rPr>
            <w:rFonts w:ascii="Cambria Math" w:eastAsia="Cambria Math"/>
            <w:lang w:val="en-GB"/>
          </w:rPr>
          <m:t>0.3308</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+(0.6692</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oMath>
      <w:r w:rsidRPr="00F3533F">
        <w:rPr>
          <w:rStyle w:val="mopop-symbollarge-op"/>
          <w:lang w:val="en-GB"/>
        </w:rPr>
        <w:t xml:space="preserve"> </w:t>
      </w:r>
      <m:oMath>
        <m:r>
          <w:rPr>
            <w:rFonts w:eastAsia="Cambria Math"/>
            <w:lang w:val="en-GB"/>
          </w:rPr>
          <m:t>-</m:t>
        </m:r>
      </m:oMath>
      <w:r w:rsidRPr="00F3533F">
        <w:rPr>
          <w:rStyle w:val="mord"/>
          <w:lang w:val="en-GB"/>
        </w:rPr>
        <w:t>0.4478</w:t>
      </w:r>
      <w:r w:rsidRPr="00F3533F">
        <w:rPr>
          <w:rStyle w:val="mbin"/>
          <w:lang w:val="en-GB"/>
        </w:rPr>
        <w:t>+</w:t>
      </w:r>
      <w:r w:rsidRPr="00F3533F">
        <w:rPr>
          <w:rStyle w:val="mord"/>
          <w:lang w:val="en-GB"/>
        </w:rPr>
        <w:t>0.1094</w:t>
      </w:r>
      <w:r w:rsidRPr="00F3533F">
        <w:rPr>
          <w:rStyle w:val="mbin"/>
          <w:lang w:val="en-GB"/>
        </w:rPr>
        <w:t>+</w:t>
      </w:r>
      <w:r w:rsidRPr="00F3533F">
        <w:rPr>
          <w:rStyle w:val="mord"/>
          <w:lang w:val="en-GB"/>
        </w:rPr>
        <w:t>0.4478</w:t>
      </w:r>
      <w:r w:rsidRPr="00F3533F">
        <w:rPr>
          <w:rStyle w:val="mbin"/>
          <w:lang w:val="en-GB"/>
        </w:rPr>
        <w:t>+</w:t>
      </w:r>
      <w:r w:rsidRPr="00F3533F">
        <w:rPr>
          <w:rStyle w:val="mord"/>
          <w:lang w:val="en-GB"/>
        </w:rPr>
        <w:t>0.4478</w:t>
      </w:r>
      <w:r w:rsidRPr="00F3533F">
        <w:rPr>
          <w:rStyle w:val="mbin"/>
          <w:lang w:val="en-GB"/>
        </w:rPr>
        <w:t>+</w:t>
      </w:r>
      <w:r w:rsidRPr="00F3533F">
        <w:rPr>
          <w:rStyle w:val="mord"/>
          <w:lang w:val="en-GB"/>
        </w:rPr>
        <w:t>0.1094</w:t>
      </w:r>
      <w:r w:rsidRPr="00F3533F">
        <w:rPr>
          <w:rStyle w:val="mbin"/>
          <w:lang w:val="en-GB"/>
        </w:rPr>
        <w:t>+</w:t>
      </w:r>
      <w:r w:rsidRPr="00F3533F">
        <w:rPr>
          <w:rStyle w:val="mord"/>
          <w:lang w:val="en-GB"/>
        </w:rPr>
        <w:t>0.4478</w:t>
      </w:r>
      <w:r w:rsidRPr="00F3533F">
        <w:rPr>
          <w:rStyle w:val="mbin"/>
          <w:lang w:val="en-GB"/>
        </w:rPr>
        <w:t>+</w:t>
      </w:r>
      <w:r w:rsidRPr="00F3533F">
        <w:rPr>
          <w:rStyle w:val="mord"/>
          <w:lang w:val="en-GB"/>
        </w:rPr>
        <w:t>0.1094</w:t>
      </w:r>
      <w:r w:rsidRPr="00F3533F">
        <w:rPr>
          <w:rStyle w:val="mbin"/>
          <w:lang w:val="en-GB"/>
        </w:rPr>
        <w:t>+</w:t>
      </w:r>
      <w:r w:rsidRPr="00F3533F">
        <w:rPr>
          <w:rStyle w:val="mord"/>
          <w:lang w:val="en-GB"/>
        </w:rPr>
        <w:t>0.4478</w:t>
      </w:r>
      <w:r w:rsidRPr="00F3533F">
        <w:rPr>
          <w:rStyle w:val="mbin"/>
          <w:lang w:val="en-GB"/>
        </w:rPr>
        <w:t>+</w:t>
      </w:r>
      <w:r w:rsidRPr="00F3533F">
        <w:rPr>
          <w:rStyle w:val="mord"/>
          <w:lang w:val="en-GB"/>
        </w:rPr>
        <w:t>0.1094</w:t>
      </w:r>
      <w:r w:rsidRPr="00F3533F">
        <w:rPr>
          <w:rStyle w:val="mbin"/>
          <w:lang w:val="en-GB"/>
        </w:rPr>
        <w:t>+</w:t>
      </w:r>
      <w:r w:rsidRPr="00F3533F">
        <w:rPr>
          <w:rStyle w:val="mord"/>
          <w:lang w:val="en-GB"/>
        </w:rPr>
        <w:t>0.4478</w:t>
      </w:r>
      <w:r w:rsidRPr="00F3533F">
        <w:rPr>
          <w:rStyle w:val="mrel"/>
          <w:lang w:val="en-GB"/>
        </w:rPr>
        <w:t>=</w:t>
      </w:r>
      <w:r w:rsidRPr="00F3533F">
        <w:rPr>
          <w:rStyle w:val="mord"/>
          <w:lang w:val="en-GB"/>
        </w:rPr>
        <w:t>3.1344</w:t>
      </w:r>
    </w:p>
    <w:p w:rsidR="00432F35" w:rsidRPr="00F3533F" w:rsidRDefault="00432F35" w:rsidP="00D13A45">
      <w:pPr>
        <w:pStyle w:val="Heading4"/>
        <w:keepNext w:val="0"/>
        <w:keepLines w:val="0"/>
        <w:spacing w:before="319" w:after="319"/>
        <w:jc w:val="both"/>
        <w:rPr>
          <w:rFonts w:ascii="Times New Roman" w:hAnsi="Times New Roman" w:cs="Times New Roman"/>
          <w:lang w:val="en-GB"/>
        </w:rPr>
      </w:pPr>
      <w:proofErr w:type="gramStart"/>
      <w:r w:rsidRPr="00F3533F">
        <w:rPr>
          <w:rFonts w:ascii="Times New Roman" w:eastAsia="Times New Roman" w:hAnsi="Times New Roman" w:cs="Times New Roman"/>
          <w:b w:val="0"/>
          <w:iCs w:val="0"/>
          <w:color w:val="000000" w:themeColor="text1"/>
          <w:lang w:val="en-GB"/>
        </w:rPr>
        <w:t xml:space="preserve">For </w:t>
      </w:r>
      <m:oMath>
        <w:proofErr w:type="gramEnd"/>
        <m:r>
          <w:rPr>
            <w:rFonts w:ascii="Cambria Math" w:eastAsia="Cambria Math" w:hAnsi="Cambria Math" w:cs="Times New Roman"/>
            <w:color w:val="000000" w:themeColor="text1"/>
            <w:lang w:val="en-GB"/>
          </w:rPr>
          <m:t>Y</m:t>
        </m:r>
      </m:oMath>
      <w:r w:rsidRPr="00F3533F">
        <w:rPr>
          <w:rFonts w:ascii="Times New Roman" w:eastAsia="Times New Roman" w:hAnsi="Times New Roman" w:cs="Times New Roman"/>
          <w:iCs w:val="0"/>
          <w:color w:val="auto"/>
          <w:lang w:val="en-GB"/>
        </w:rPr>
        <w:t>:</w:t>
      </w:r>
    </w:p>
    <w:p w:rsidR="00432F35" w:rsidRPr="00F3533F" w:rsidRDefault="00432F35" w:rsidP="00D13A45">
      <w:pPr>
        <w:spacing w:before="240" w:after="240"/>
        <w:jc w:val="both"/>
        <w:rPr>
          <w:rStyle w:val="mord"/>
          <w:lang w:val="en-GB"/>
        </w:rPr>
      </w:pPr>
      <m:oMath>
        <m:r>
          <w:rPr>
            <w:rFonts w:ascii="Cambria Math"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=(0.4637</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r>
          <w:rPr>
            <w:rFonts w:ascii="Cambria Math" w:eastAsia="Cambria Math"/>
            <w:lang w:val="en-GB"/>
          </w:rPr>
          <m:t>0.5363</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+(0.4637</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+(0.4637</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r>
          <w:rPr>
            <w:rFonts w:ascii="Cambria Math" w:eastAsia="Cambria Math"/>
            <w:lang w:val="en-GB"/>
          </w:rPr>
          <m:t>0.5363</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+(0.4637</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r>
          <w:rPr>
            <w:rFonts w:ascii="Cambria Math" w:eastAsia="Cambria Math"/>
            <w:lang w:val="en-GB"/>
          </w:rPr>
          <m:t>0.5363</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m:t>
        </m:r>
        <m:r>
          <w:rPr>
            <w:rFonts w:ascii="Cambria Math" w:eastAsia="Cambria Math"/>
            <w:lang w:val="en-GB"/>
          </w:rPr>
          <m:t>-</m:t>
        </m:r>
        <m:r>
          <w:rPr>
            <w:rFonts w:ascii="Cambria Math" w:eastAsia="Cambria Math"/>
            <w:lang w:val="en-GB"/>
          </w:rPr>
          <m:t>0.5363</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ascii="Cambria Math" w:eastAsia="Cambria Math"/>
            <w:lang w:val="en-GB"/>
          </w:rPr>
          <m:t>+(0.4637</m:t>
        </m:r>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eastAsia="Cambria Math"/>
            <w:lang w:val="en-GB"/>
          </w:rPr>
          <m:t>-</m:t>
        </m:r>
        <m:r>
          <w:rPr>
            <w:rFonts w:ascii="Cambria Math" w:eastAsia="Cambria Math"/>
            <w:lang w:val="en-GB"/>
          </w:rPr>
          <m:t xml:space="preserve"> </m:t>
        </m:r>
      </m:oMath>
      <w:r w:rsidRPr="00F3533F">
        <w:rPr>
          <w:rStyle w:val="mord"/>
          <w:lang w:val="en-GB"/>
        </w:rPr>
        <w:t>0.2150</w:t>
      </w:r>
      <w:r w:rsidRPr="00F3533F">
        <w:rPr>
          <w:rStyle w:val="mbin"/>
          <w:lang w:val="en-GB"/>
        </w:rPr>
        <w:t>+</w:t>
      </w:r>
      <w:r w:rsidRPr="00F3533F">
        <w:rPr>
          <w:rStyle w:val="mord"/>
          <w:lang w:val="en-GB"/>
        </w:rPr>
        <w:t>0.2876</w:t>
      </w:r>
      <w:r w:rsidRPr="00F3533F">
        <w:rPr>
          <w:rStyle w:val="mbin"/>
          <w:lang w:val="en-GB"/>
        </w:rPr>
        <w:t>+</w:t>
      </w:r>
      <w:r w:rsidRPr="00F3533F">
        <w:rPr>
          <w:rStyle w:val="mord"/>
          <w:lang w:val="en-GB"/>
        </w:rPr>
        <w:t>0.2150</w:t>
      </w:r>
      <w:r w:rsidRPr="00F3533F">
        <w:rPr>
          <w:rStyle w:val="mbin"/>
          <w:lang w:val="en-GB"/>
        </w:rPr>
        <w:t>+</w:t>
      </w:r>
      <w:r w:rsidRPr="00F3533F">
        <w:rPr>
          <w:rStyle w:val="mord"/>
          <w:lang w:val="en-GB"/>
        </w:rPr>
        <w:t>0.2150</w:t>
      </w:r>
      <w:r w:rsidRPr="00F3533F">
        <w:rPr>
          <w:rStyle w:val="mbin"/>
          <w:lang w:val="en-GB"/>
        </w:rPr>
        <w:t>+</w:t>
      </w:r>
      <w:r w:rsidRPr="00F3533F">
        <w:rPr>
          <w:rStyle w:val="mord"/>
          <w:lang w:val="en-GB"/>
        </w:rPr>
        <w:t>0.2876</w:t>
      </w:r>
      <w:r w:rsidRPr="00F3533F">
        <w:rPr>
          <w:rStyle w:val="mbin"/>
          <w:lang w:val="en-GB"/>
        </w:rPr>
        <w:t>+</w:t>
      </w:r>
      <w:r w:rsidRPr="00F3533F">
        <w:rPr>
          <w:rStyle w:val="mord"/>
          <w:lang w:val="en-GB"/>
        </w:rPr>
        <w:t>0.2150</w:t>
      </w:r>
      <w:r w:rsidRPr="00F3533F">
        <w:rPr>
          <w:rStyle w:val="mbin"/>
          <w:lang w:val="en-GB"/>
        </w:rPr>
        <w:t>+</w:t>
      </w:r>
      <w:r w:rsidRPr="00F3533F">
        <w:rPr>
          <w:rStyle w:val="mord"/>
          <w:lang w:val="en-GB"/>
        </w:rPr>
        <w:t>0.2876</w:t>
      </w:r>
      <w:r w:rsidRPr="00F3533F">
        <w:rPr>
          <w:rStyle w:val="mbin"/>
          <w:lang w:val="en-GB"/>
        </w:rPr>
        <w:t>+</w:t>
      </w:r>
      <w:r w:rsidRPr="00F3533F">
        <w:rPr>
          <w:rStyle w:val="mord"/>
          <w:lang w:val="en-GB"/>
        </w:rPr>
        <w:t>0.2876</w:t>
      </w:r>
      <w:r w:rsidRPr="00F3533F">
        <w:rPr>
          <w:rStyle w:val="mbin"/>
          <w:lang w:val="en-GB"/>
        </w:rPr>
        <w:t>+</w:t>
      </w:r>
      <w:r w:rsidRPr="00F3533F">
        <w:rPr>
          <w:rStyle w:val="mord"/>
          <w:lang w:val="en-GB"/>
        </w:rPr>
        <w:t>0.2150</w:t>
      </w:r>
      <w:r w:rsidRPr="00F3533F">
        <w:rPr>
          <w:rStyle w:val="mbin"/>
          <w:lang w:val="en-GB"/>
        </w:rPr>
        <w:t>+</w:t>
      </w:r>
      <w:r w:rsidRPr="00F3533F">
        <w:rPr>
          <w:rStyle w:val="mord"/>
          <w:lang w:val="en-GB"/>
        </w:rPr>
        <w:t>0.2150</w:t>
      </w:r>
      <w:r w:rsidRPr="00F3533F">
        <w:rPr>
          <w:rStyle w:val="mrel"/>
          <w:lang w:val="en-GB"/>
        </w:rPr>
        <w:t>=</w:t>
      </w:r>
      <w:r w:rsidRPr="00F3533F">
        <w:rPr>
          <w:rStyle w:val="mord"/>
          <w:lang w:val="en-GB"/>
        </w:rPr>
        <w:t>2.5454</w:t>
      </w:r>
    </w:p>
    <w:p w:rsidR="009B3F52" w:rsidRPr="00F3533F" w:rsidRDefault="009B3F52" w:rsidP="00D13A45">
      <w:pPr>
        <w:spacing w:before="240" w:after="240"/>
        <w:jc w:val="both"/>
        <w:rPr>
          <w:lang w:val="en-GB"/>
        </w:rPr>
      </w:pPr>
      <w:r w:rsidRPr="00F3533F">
        <w:rPr>
          <w:rStyle w:val="mord"/>
          <w:lang w:val="en-GB"/>
        </w:rPr>
        <w:t>Substituting calculated values in the formula, we have:</w:t>
      </w:r>
    </w:p>
    <w:p w:rsidR="00432F35" w:rsidRPr="00F3533F" w:rsidRDefault="00432F35" w:rsidP="00D13A45">
      <w:pPr>
        <w:spacing w:before="240" w:after="240"/>
        <w:jc w:val="both"/>
        <w:rPr>
          <w:lang w:val="en-GB"/>
        </w:rPr>
      </w:pPr>
      <m:oMathPara>
        <m:oMathParaPr>
          <m:jc m:val="left"/>
        </m:oMathParaPr>
        <m:oMath>
          <m:r>
            <w:rPr>
              <w:rFonts w:ascii="Cambria Math" w:eastAsia="Cambria Math" w:hAnsi="Cambria Math"/>
              <w:lang w:val="en-GB"/>
            </w:rPr>
            <m:t>r</m:t>
          </m:r>
          <m:r>
            <w:rPr>
              <w:rFonts w:ascii="Cambria Math" w:eastAsia="Cambria Math"/>
              <w:lang w:val="en-GB"/>
            </w:rPr>
            <m:t>=</m:t>
          </m:r>
          <m:f>
            <m:fPr>
              <m:ctrlPr>
                <w:rPr>
                  <w:rFonts w:ascii="Cambria Math"/>
                  <w:lang w:val="en-GB"/>
                </w:rPr>
              </m:ctrlPr>
            </m:fPr>
            <m:num>
              <m:r>
                <w:rPr>
                  <w:rFonts w:ascii="Cambria Math"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r>
                <w:rPr>
                  <w:rFonts w:ascii="Cambria Math" w:eastAsia="Cambria Math"/>
                  <w:lang w:val="en-GB"/>
                </w:rPr>
                <m:t>)</m:t>
              </m:r>
            </m:num>
            <m:den>
              <m:rad>
                <m:radPr>
                  <m:degHide m:val="on"/>
                  <m:ctrlPr>
                    <w:rPr>
                      <w:rFonts w:ascii="Cambria Math"/>
                      <w:lang w:val="en-GB"/>
                    </w:rPr>
                  </m:ctrlPr>
                </m:radPr>
                <m:deg/>
                <m:e>
                  <m:r>
                    <w:rPr>
                      <w:rFonts w:ascii="Cambria Math"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X</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X</m:t>
                      </m:r>
                    </m:e>
                  </m:acc>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r>
                    <w:rPr>
                      <w:rFonts w:eastAsia="Cambria Math" w:hAnsi="Cambria Math"/>
                      <w:lang w:val="en-GB"/>
                    </w:rPr>
                    <m:t>⋅</m:t>
                  </m:r>
                  <m:r>
                    <w:rPr>
                      <w:rFonts w:eastAsia="Cambria Math"/>
                      <w:lang w:val="en-GB"/>
                    </w:rPr>
                    <m:t>∑</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Y</m:t>
                      </m:r>
                    </m:e>
                    <m:sub>
                      <m:r>
                        <w:rPr>
                          <w:rFonts w:ascii="Cambria Math" w:eastAsia="Cambria Math" w:hAnsi="Cambria Math"/>
                          <w:lang w:val="en-GB"/>
                        </w:rPr>
                        <m:t>i</m:t>
                      </m:r>
                    </m:sub>
                  </m:sSub>
                  <m:r>
                    <w:rPr>
                      <w:rFonts w:eastAsia="Cambria Math"/>
                      <w:lang w:val="en-GB"/>
                    </w:rPr>
                    <m:t>-</m:t>
                  </m:r>
                  <m:acc>
                    <m:accPr>
                      <m:chr m:val="ˉ"/>
                      <m:ctrlPr>
                        <w:rPr>
                          <w:rFonts w:ascii="Cambria Math"/>
                          <w:lang w:val="en-GB"/>
                        </w:rPr>
                      </m:ctrlPr>
                    </m:accPr>
                    <m:e>
                      <m:r>
                        <w:rPr>
                          <w:rFonts w:ascii="Cambria Math" w:eastAsia="Cambria Math" w:hAnsi="Cambria Math"/>
                          <w:lang w:val="en-GB"/>
                        </w:rPr>
                        <m:t>Y</m:t>
                      </m:r>
                    </m:e>
                  </m:acc>
                  <m:sSup>
                    <m:sSupPr>
                      <m:ctrlPr>
                        <w:rPr>
                          <w:rFonts w:ascii="Cambria Math"/>
                          <w:lang w:val="en-GB"/>
                        </w:rPr>
                      </m:ctrlPr>
                    </m:sSupPr>
                    <m:e>
                      <m:r>
                        <w:rPr>
                          <w:rFonts w:ascii="Cambria Math" w:eastAsia="Cambria Math"/>
                          <w:lang w:val="en-GB"/>
                        </w:rPr>
                        <m:t>)</m:t>
                      </m:r>
                    </m:e>
                    <m:sup>
                      <m:r>
                        <w:rPr>
                          <w:rFonts w:ascii="Cambria Math" w:eastAsia="Cambria Math"/>
                          <w:lang w:val="en-GB"/>
                        </w:rPr>
                        <m:t>2</m:t>
                      </m:r>
                    </m:sup>
                  </m:sSup>
                </m:e>
              </m:rad>
            </m:den>
          </m:f>
        </m:oMath>
      </m:oMathPara>
    </w:p>
    <w:p w:rsidR="00432F35" w:rsidRPr="00F3533F" w:rsidRDefault="00432F35" w:rsidP="00D13A45">
      <w:pPr>
        <w:spacing w:before="240" w:after="240"/>
        <w:jc w:val="both"/>
        <w:rPr>
          <w:lang w:val="en-GB"/>
        </w:rPr>
      </w:pPr>
      <w:r w:rsidRPr="00F3533F">
        <w:rPr>
          <w:lang w:val="en-GB"/>
        </w:rPr>
        <w:t>Substitute the values:</w:t>
      </w:r>
    </w:p>
    <w:p w:rsidR="00432F35" w:rsidRPr="00F3533F" w:rsidRDefault="00432F35" w:rsidP="00D13A45">
      <w:pPr>
        <w:spacing w:before="240" w:after="240"/>
        <w:jc w:val="both"/>
        <w:rPr>
          <w:lang w:val="en-GB"/>
        </w:rPr>
      </w:pPr>
      <m:oMathPara>
        <m:oMathParaPr>
          <m:jc m:val="left"/>
        </m:oMathParaPr>
        <m:oMath>
          <m:r>
            <w:rPr>
              <w:rFonts w:ascii="Cambria Math" w:eastAsia="Cambria Math" w:hAnsi="Cambria Math"/>
              <w:lang w:val="en-GB"/>
            </w:rPr>
            <m:t>r</m:t>
          </m:r>
          <m:r>
            <w:rPr>
              <w:rFonts w:ascii="Cambria Math" w:eastAsia="Cambria Math"/>
              <w:lang w:val="en-GB"/>
            </w:rPr>
            <m:t>=</m:t>
          </m:r>
          <m:f>
            <m:fPr>
              <m:ctrlPr>
                <w:rPr>
                  <w:rFonts w:ascii="Cambria Math"/>
                  <w:lang w:val="en-GB"/>
                </w:rPr>
              </m:ctrlPr>
            </m:fPr>
            <m:num>
              <m:r>
                <w:rPr>
                  <w:rFonts w:ascii="Cambria Math" w:eastAsia="Cambria Math"/>
                  <w:lang w:val="en-GB"/>
                </w:rPr>
                <m:t>1.5722</m:t>
              </m:r>
            </m:num>
            <m:den>
              <m:rad>
                <m:radPr>
                  <m:degHide m:val="on"/>
                  <m:ctrlPr>
                    <w:rPr>
                      <w:rFonts w:ascii="Cambria Math"/>
                      <w:lang w:val="en-GB"/>
                    </w:rPr>
                  </m:ctrlPr>
                </m:radPr>
                <m:deg/>
                <m:e>
                  <m:r>
                    <w:rPr>
                      <w:rFonts w:ascii="Cambria Math" w:eastAsia="Cambria Math"/>
                      <w:lang w:val="en-GB"/>
                    </w:rPr>
                    <m:t>3.1344</m:t>
                  </m:r>
                  <m:r>
                    <w:rPr>
                      <w:rFonts w:ascii="Cambria Math" w:eastAsia="Cambria Math"/>
                      <w:lang w:val="en-GB"/>
                    </w:rPr>
                    <m:t>×</m:t>
                  </m:r>
                  <m:r>
                    <w:rPr>
                      <w:rFonts w:ascii="Cambria Math" w:eastAsia="Cambria Math"/>
                      <w:lang w:val="en-GB"/>
                    </w:rPr>
                    <m:t>2.5454</m:t>
                  </m:r>
                </m:e>
              </m:rad>
            </m:den>
          </m:f>
        </m:oMath>
      </m:oMathPara>
    </w:p>
    <w:p w:rsidR="00432F35" w:rsidRPr="00F3533F" w:rsidRDefault="00432F35" w:rsidP="00D13A45">
      <w:pPr>
        <w:spacing w:before="240" w:after="240"/>
        <w:jc w:val="both"/>
        <w:rPr>
          <w:lang w:val="en-GB"/>
        </w:rPr>
      </w:pPr>
      <w:r w:rsidRPr="00F3533F">
        <w:rPr>
          <w:lang w:val="en-GB"/>
        </w:rPr>
        <w:lastRenderedPageBreak/>
        <w:t>Calculate the denominator:</w:t>
      </w:r>
    </w:p>
    <w:p w:rsidR="00432F35" w:rsidRPr="00F3533F" w:rsidRDefault="008C080F" w:rsidP="00D13A45">
      <w:pPr>
        <w:spacing w:before="240" w:after="240"/>
        <w:jc w:val="both"/>
        <w:rPr>
          <w:lang w:val="en-GB"/>
        </w:rPr>
      </w:pPr>
      <m:oMath>
        <m:rad>
          <m:radPr>
            <m:degHide m:val="on"/>
            <m:ctrlPr>
              <w:rPr>
                <w:rFonts w:ascii="Cambria Math"/>
                <w:lang w:val="en-GB"/>
              </w:rPr>
            </m:ctrlPr>
          </m:radPr>
          <m:deg/>
          <m:e>
            <m:r>
              <w:rPr>
                <w:rFonts w:ascii="Cambria Math" w:eastAsia="Cambria Math"/>
                <w:lang w:val="en-GB"/>
              </w:rPr>
              <m:t>3.1344</m:t>
            </m:r>
            <m:r>
              <w:rPr>
                <w:rFonts w:ascii="Cambria Math" w:eastAsia="Cambria Math"/>
                <w:lang w:val="en-GB"/>
              </w:rPr>
              <m:t>×</m:t>
            </m:r>
            <m:r>
              <w:rPr>
                <w:rFonts w:ascii="Cambria Math" w:eastAsia="Cambria Math"/>
                <w:lang w:val="en-GB"/>
              </w:rPr>
              <m:t>2.5454</m:t>
            </m:r>
          </m:e>
        </m:rad>
        <m:r>
          <w:rPr>
            <w:rFonts w:ascii="Cambria Math" w:eastAsia="Cambria Math"/>
            <w:lang w:val="en-GB"/>
          </w:rPr>
          <m:t>=</m:t>
        </m:r>
        <m:rad>
          <m:radPr>
            <m:degHide m:val="on"/>
            <m:ctrlPr>
              <w:rPr>
                <w:rFonts w:ascii="Cambria Math"/>
                <w:lang w:val="en-GB"/>
              </w:rPr>
            </m:ctrlPr>
          </m:radPr>
          <m:deg/>
          <m:e>
            <m:r>
              <w:rPr>
                <w:rFonts w:ascii="Cambria Math" w:eastAsia="Cambria Math"/>
                <w:lang w:val="en-GB"/>
              </w:rPr>
              <m:t>7.9809</m:t>
            </m:r>
          </m:e>
        </m:rad>
        <m:r>
          <w:rPr>
            <w:rFonts w:ascii="Cambria Math" w:eastAsia="Cambria Math"/>
            <w:lang w:val="en-GB"/>
          </w:rPr>
          <m:t>=2.8269</m:t>
        </m:r>
      </m:oMath>
      <w:r w:rsidR="00432F35" w:rsidRPr="00F3533F">
        <w:rPr>
          <w:rStyle w:val="mord"/>
          <w:lang w:val="en-GB"/>
        </w:rPr>
        <w:t>3</w:t>
      </w:r>
      <w:r w:rsidR="00432F35" w:rsidRPr="00F3533F">
        <w:rPr>
          <w:rStyle w:val="hide-tail"/>
          <w:noProof/>
          <w:lang w:val="en-GB"/>
        </w:rPr>
        <w:drawing>
          <wp:inline distT="0" distB="0" distL="0" distR="0">
            <wp:extent cx="5972810" cy="1617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5" cstate="print">
                      <a:extLs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svg="http://schemas.microsoft.com/office/drawing/2016/SVG/main" r:embed="rId7"/>
                        </a:ext>
                      </a:extLst>
                    </a:blip>
                    <a:stretch>
                      <a:fillRect/>
                    </a:stretch>
                  </pic:blipFill>
                  <pic:spPr>
                    <a:xfrm>
                      <a:off x="0" y="0"/>
                      <a:ext cx="5972810" cy="16176"/>
                    </a:xfrm>
                    <a:prstGeom prst="rect">
                      <a:avLst/>
                    </a:prstGeom>
                  </pic:spPr>
                </pic:pic>
              </a:graphicData>
            </a:graphic>
          </wp:inline>
        </w:drawing>
      </w:r>
      <w:r w:rsidR="00432F35" w:rsidRPr="00F3533F">
        <w:rPr>
          <w:rStyle w:val="vlist-s"/>
          <w:lang w:val="en-GB"/>
        </w:rPr>
        <w:t>​</w:t>
      </w:r>
      <w:r w:rsidR="00432F35" w:rsidRPr="00F3533F">
        <w:rPr>
          <w:rStyle w:val="mrel"/>
          <w:lang w:val="en-GB"/>
        </w:rPr>
        <w:t>=</w:t>
      </w:r>
      <w:r w:rsidR="00432F35" w:rsidRPr="00F3533F">
        <w:rPr>
          <w:rStyle w:val="mord"/>
          <w:lang w:val="en-GB"/>
        </w:rPr>
        <w:t>2.8269</w:t>
      </w:r>
    </w:p>
    <w:p w:rsidR="00432F35" w:rsidRPr="00F3533F" w:rsidRDefault="00432F35" w:rsidP="00D13A45">
      <w:pPr>
        <w:spacing w:before="240" w:after="240"/>
        <w:jc w:val="both"/>
        <w:rPr>
          <w:lang w:val="en-GB"/>
        </w:rPr>
      </w:pPr>
      <w:r w:rsidRPr="00F3533F">
        <w:rPr>
          <w:lang w:val="en-GB"/>
        </w:rPr>
        <w:t>Then:</w:t>
      </w:r>
    </w:p>
    <w:p w:rsidR="00432F35" w:rsidRPr="00F3533F" w:rsidRDefault="00432F35" w:rsidP="00D13A45">
      <w:pPr>
        <w:spacing w:before="240" w:after="240"/>
        <w:jc w:val="both"/>
        <w:rPr>
          <w:lang w:val="en-GB"/>
        </w:rPr>
      </w:pPr>
      <m:oMathPara>
        <m:oMathParaPr>
          <m:jc m:val="left"/>
        </m:oMathParaPr>
        <m:oMath>
          <m:r>
            <w:rPr>
              <w:rFonts w:ascii="Cambria Math" w:eastAsia="Cambria Math" w:hAnsi="Cambria Math"/>
              <w:lang w:val="en-GB"/>
            </w:rPr>
            <m:t>r</m:t>
          </m:r>
          <m:r>
            <w:rPr>
              <w:rFonts w:ascii="Cambria Math" w:eastAsia="Cambria Math"/>
              <w:lang w:val="en-GB"/>
            </w:rPr>
            <m:t>=</m:t>
          </m:r>
          <m:f>
            <m:fPr>
              <m:ctrlPr>
                <w:rPr>
                  <w:rFonts w:ascii="Cambria Math"/>
                  <w:lang w:val="en-GB"/>
                </w:rPr>
              </m:ctrlPr>
            </m:fPr>
            <m:num>
              <m:r>
                <w:rPr>
                  <w:rFonts w:ascii="Cambria Math" w:eastAsia="Cambria Math"/>
                  <w:lang w:val="en-GB"/>
                </w:rPr>
                <m:t>1.5722</m:t>
              </m:r>
            </m:num>
            <m:den>
              <m:r>
                <w:rPr>
                  <w:rFonts w:ascii="Cambria Math" w:eastAsia="Cambria Math"/>
                  <w:lang w:val="en-GB"/>
                </w:rPr>
                <m:t>2.8269</m:t>
              </m:r>
            </m:den>
          </m:f>
          <m:r>
            <w:rPr>
              <w:rFonts w:ascii="Cambria Math" w:eastAsia="Cambria Math"/>
              <w:lang w:val="en-GB"/>
            </w:rPr>
            <m:t>=0.034</m:t>
          </m:r>
        </m:oMath>
      </m:oMathPara>
    </w:p>
    <w:p w:rsidR="00432F35" w:rsidRPr="00F3533F" w:rsidRDefault="00432F35" w:rsidP="00D13A45">
      <w:pPr>
        <w:spacing w:before="240" w:after="240"/>
        <w:jc w:val="both"/>
        <w:rPr>
          <w:color w:val="000000" w:themeColor="text1"/>
          <w:lang w:val="en-GB"/>
        </w:rPr>
      </w:pPr>
      <w:r w:rsidRPr="00F3533F">
        <w:rPr>
          <w:bCs/>
          <w:color w:val="000000" w:themeColor="text1"/>
          <w:lang w:val="en-GB"/>
        </w:rPr>
        <w:t xml:space="preserve">Therefore, </w:t>
      </w:r>
      <m:oMath>
        <m:r>
          <w:rPr>
            <w:rFonts w:ascii="Cambria Math" w:eastAsia="Cambria Math" w:hAnsi="Cambria Math"/>
            <w:color w:val="000000" w:themeColor="text1"/>
            <w:lang w:val="en-GB"/>
          </w:rPr>
          <m:t>r</m:t>
        </m:r>
        <m:r>
          <w:rPr>
            <w:rFonts w:ascii="Cambria Math" w:eastAsia="Cambria Math"/>
            <w:color w:val="000000" w:themeColor="text1"/>
            <w:lang w:val="en-GB"/>
          </w:rPr>
          <m:t>=0.034.</m:t>
        </m:r>
      </m:oMath>
    </w:p>
    <w:p w:rsidR="00432F35" w:rsidRPr="00F3533F" w:rsidRDefault="00432F35" w:rsidP="004C37E7">
      <w:pPr>
        <w:tabs>
          <w:tab w:val="left" w:pos="3780"/>
        </w:tabs>
        <w:spacing w:before="240" w:after="240" w:line="480" w:lineRule="auto"/>
        <w:jc w:val="both"/>
        <w:rPr>
          <w:lang w:val="en-GB"/>
        </w:rPr>
      </w:pPr>
      <w:r w:rsidRPr="00F3533F">
        <w:rPr>
          <w:lang w:val="en-GB"/>
        </w:rPr>
        <w:t xml:space="preserve">With a </w:t>
      </w:r>
      <w:r w:rsidRPr="00F3533F">
        <w:rPr>
          <w:bCs/>
          <w:lang w:val="en-GB"/>
        </w:rPr>
        <w:t>p-value of 0.496 from the t-distribution table</w:t>
      </w:r>
      <w:r w:rsidRPr="00F3533F">
        <w:rPr>
          <w:lang w:val="en-GB"/>
        </w:rPr>
        <w:t xml:space="preserve">, it indicates that the correlation between educational access and GBV experience is </w:t>
      </w:r>
      <w:r w:rsidRPr="00F3533F">
        <w:rPr>
          <w:bCs/>
          <w:lang w:val="en-GB"/>
        </w:rPr>
        <w:t>not statistically significant at</w:t>
      </w:r>
      <w:r w:rsidRPr="00F3533F">
        <w:rPr>
          <w:lang w:val="en-GB"/>
        </w:rPr>
        <w:t xml:space="preserve"> p &gt; 0.05.</w:t>
      </w:r>
    </w:p>
    <w:p w:rsidR="00432F35" w:rsidRPr="00F3533F" w:rsidRDefault="008B49B1"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Regression analysis: impact of camp environment and educational access on social w</w:t>
      </w:r>
      <w:r w:rsidR="00432F35" w:rsidRPr="00F3533F">
        <w:rPr>
          <w:rFonts w:ascii="Times New Roman" w:hAnsi="Times New Roman" w:cs="Times New Roman"/>
          <w:b/>
          <w:sz w:val="24"/>
          <w:szCs w:val="24"/>
          <w:lang w:val="en-GB"/>
        </w:rPr>
        <w:t>ell-being</w:t>
      </w:r>
    </w:p>
    <w:p w:rsidR="00432F35" w:rsidRPr="00F3533F" w:rsidRDefault="00432F35"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We performed a linear regression analysis to determine the impact of two independent variables, </w:t>
      </w:r>
      <w:r w:rsidR="008B49B1" w:rsidRPr="00F3533F">
        <w:rPr>
          <w:rFonts w:ascii="Times New Roman" w:hAnsi="Times New Roman" w:cs="Times New Roman"/>
          <w:bCs/>
          <w:sz w:val="24"/>
          <w:szCs w:val="24"/>
          <w:lang w:val="en-GB"/>
        </w:rPr>
        <w:t>c</w:t>
      </w:r>
      <w:r w:rsidRPr="00F3533F">
        <w:rPr>
          <w:rFonts w:ascii="Times New Roman" w:hAnsi="Times New Roman" w:cs="Times New Roman"/>
          <w:bCs/>
          <w:sz w:val="24"/>
          <w:szCs w:val="24"/>
          <w:lang w:val="en-GB"/>
        </w:rPr>
        <w:t>amp</w:t>
      </w:r>
      <w:r w:rsidR="008B49B1" w:rsidRPr="00F3533F">
        <w:rPr>
          <w:rFonts w:ascii="Times New Roman" w:hAnsi="Times New Roman" w:cs="Times New Roman"/>
          <w:bCs/>
          <w:sz w:val="24"/>
          <w:szCs w:val="24"/>
          <w:lang w:val="en-GB"/>
        </w:rPr>
        <w:t xml:space="preserve"> e</w:t>
      </w:r>
      <w:r w:rsidRPr="00F3533F">
        <w:rPr>
          <w:rFonts w:ascii="Times New Roman" w:hAnsi="Times New Roman" w:cs="Times New Roman"/>
          <w:bCs/>
          <w:sz w:val="24"/>
          <w:szCs w:val="24"/>
          <w:lang w:val="en-GB"/>
        </w:rPr>
        <w:t>nvironment</w:t>
      </w:r>
      <w:r w:rsidRPr="00F3533F">
        <w:rPr>
          <w:rFonts w:ascii="Times New Roman" w:hAnsi="Times New Roman" w:cs="Times New Roman"/>
          <w:sz w:val="24"/>
          <w:szCs w:val="24"/>
          <w:lang w:val="en-GB"/>
        </w:rPr>
        <w:t xml:space="preserve"> and </w:t>
      </w:r>
      <w:r w:rsidR="008B49B1" w:rsidRPr="00F3533F">
        <w:rPr>
          <w:rFonts w:ascii="Times New Roman" w:hAnsi="Times New Roman" w:cs="Times New Roman"/>
          <w:bCs/>
          <w:sz w:val="24"/>
          <w:szCs w:val="24"/>
          <w:lang w:val="en-GB"/>
        </w:rPr>
        <w:t>educational a</w:t>
      </w:r>
      <w:r w:rsidRPr="00F3533F">
        <w:rPr>
          <w:rFonts w:ascii="Times New Roman" w:hAnsi="Times New Roman" w:cs="Times New Roman"/>
          <w:bCs/>
          <w:sz w:val="24"/>
          <w:szCs w:val="24"/>
          <w:lang w:val="en-GB"/>
        </w:rPr>
        <w:t>ccess</w:t>
      </w:r>
      <w:r w:rsidRPr="00F3533F">
        <w:rPr>
          <w:rFonts w:ascii="Times New Roman" w:hAnsi="Times New Roman" w:cs="Times New Roman"/>
          <w:sz w:val="24"/>
          <w:szCs w:val="24"/>
          <w:lang w:val="en-GB"/>
        </w:rPr>
        <w:t xml:space="preserve">, on the dependent variable, </w:t>
      </w:r>
      <w:r w:rsidR="008B49B1" w:rsidRPr="00F3533F">
        <w:rPr>
          <w:rFonts w:ascii="Times New Roman" w:hAnsi="Times New Roman" w:cs="Times New Roman"/>
          <w:bCs/>
          <w:sz w:val="24"/>
          <w:szCs w:val="24"/>
          <w:lang w:val="en-GB"/>
        </w:rPr>
        <w:t>social w</w:t>
      </w:r>
      <w:r w:rsidRPr="00F3533F">
        <w:rPr>
          <w:rFonts w:ascii="Times New Roman" w:hAnsi="Times New Roman" w:cs="Times New Roman"/>
          <w:bCs/>
          <w:sz w:val="24"/>
          <w:szCs w:val="24"/>
          <w:lang w:val="en-GB"/>
        </w:rPr>
        <w:t>ell-being</w:t>
      </w:r>
      <w:r w:rsidRPr="00F3533F">
        <w:rPr>
          <w:rFonts w:ascii="Times New Roman" w:hAnsi="Times New Roman" w:cs="Times New Roman"/>
          <w:sz w:val="24"/>
          <w:szCs w:val="24"/>
          <w:lang w:val="en-GB"/>
        </w:rPr>
        <w:t>.</w:t>
      </w:r>
    </w:p>
    <w:p w:rsidR="00432F35" w:rsidRPr="00F3533F" w:rsidRDefault="00432F35" w:rsidP="004C37E7">
      <w:pPr>
        <w:spacing w:before="240" w:after="240" w:line="480" w:lineRule="auto"/>
        <w:jc w:val="both"/>
        <w:rPr>
          <w:lang w:val="en-GB"/>
        </w:rPr>
      </w:pPr>
      <w:r w:rsidRPr="00F3533F">
        <w:rPr>
          <w:lang w:val="en-GB"/>
        </w:rPr>
        <w:t>The regression model formula is:</w:t>
      </w:r>
    </w:p>
    <w:p w:rsidR="00CD203D" w:rsidRPr="00F3533F" w:rsidRDefault="00432F35" w:rsidP="00CD203D">
      <w:pPr>
        <w:jc w:val="both"/>
        <w:rPr>
          <w:rStyle w:val="katex-mathml"/>
          <w:rFonts w:eastAsia="Calibri"/>
          <w:lang w:val="en-GB"/>
        </w:rPr>
      </w:pPr>
      <m:oMathPara>
        <m:oMath>
          <m:r>
            <w:rPr>
              <w:rFonts w:ascii="Cambria Math" w:eastAsia="Cambria Math" w:hAnsi="Cambria Math"/>
              <w:lang w:val="en-GB"/>
            </w:rPr>
            <m:t>Y</m:t>
          </m:r>
          <m:r>
            <w:rPr>
              <w:rFonts w:ascii="Cambria Math" w:eastAsia="Cambria Math"/>
              <w:lang w:val="en-GB"/>
            </w:rPr>
            <m:t>=</m:t>
          </m:r>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0</m:t>
              </m:r>
            </m:sub>
          </m:sSub>
          <m:r>
            <w:rPr>
              <w:rFonts w:ascii="Cambria Math" w:eastAsia="Cambria Math"/>
              <w:lang w:val="en-GB"/>
            </w:rPr>
            <m:t>+</m:t>
          </m:r>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1</m:t>
              </m:r>
            </m:sub>
          </m:sSub>
          <m:sSub>
            <m:sSubPr>
              <m:ctrlPr>
                <w:rPr>
                  <w:rFonts w:ascii="Cambria Math"/>
                  <w:lang w:val="en-GB"/>
                </w:rPr>
              </m:ctrlPr>
            </m:sSubPr>
            <m:e>
              <m:r>
                <w:rPr>
                  <w:rFonts w:ascii="Cambria Math" w:eastAsia="Cambria Math" w:hAnsi="Cambria Math"/>
                  <w:lang w:val="en-GB"/>
                </w:rPr>
                <m:t>X</m:t>
              </m:r>
            </m:e>
            <m:sub>
              <m:r>
                <w:rPr>
                  <w:rFonts w:ascii="Cambria Math" w:eastAsia="Cambria Math"/>
                  <w:lang w:val="en-GB"/>
                </w:rPr>
                <m:t>1</m:t>
              </m:r>
            </m:sub>
          </m:sSub>
          <m:r>
            <w:rPr>
              <w:rFonts w:ascii="Cambria Math" w:eastAsia="Cambria Math"/>
              <w:lang w:val="en-GB"/>
            </w:rPr>
            <m:t>+</m:t>
          </m:r>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2</m:t>
              </m:r>
            </m:sub>
          </m:sSub>
          <m:sSub>
            <m:sSubPr>
              <m:ctrlPr>
                <w:rPr>
                  <w:rFonts w:ascii="Cambria Math"/>
                  <w:lang w:val="en-GB"/>
                </w:rPr>
              </m:ctrlPr>
            </m:sSubPr>
            <m:e>
              <m:r>
                <w:rPr>
                  <w:rFonts w:ascii="Cambria Math" w:eastAsia="Cambria Math" w:hAnsi="Cambria Math"/>
                  <w:lang w:val="en-GB"/>
                </w:rPr>
                <m:t>X</m:t>
              </m:r>
            </m:e>
            <m:sub>
              <m:r>
                <w:rPr>
                  <w:rFonts w:ascii="Cambria Math" w:eastAsia="Cambria Math"/>
                  <w:lang w:val="en-GB"/>
                </w:rPr>
                <m:t>2</m:t>
              </m:r>
            </m:sub>
          </m:sSub>
          <m:r>
            <w:rPr>
              <w:rFonts w:ascii="Cambria Math" w:eastAsia="Cambria Math"/>
              <w:lang w:val="en-GB"/>
            </w:rPr>
            <m:t>+</m:t>
          </m:r>
          <m:r>
            <w:rPr>
              <w:rFonts w:ascii="Cambria Math" w:eastAsia="Cambria Math" w:hAnsi="Cambria Math"/>
              <w:lang w:val="en-GB"/>
            </w:rPr>
            <m:t>ϵ</m:t>
          </m:r>
        </m:oMath>
      </m:oMathPara>
    </w:p>
    <w:p w:rsidR="00CD203D" w:rsidRPr="00F3533F" w:rsidRDefault="00CD203D" w:rsidP="00CD203D">
      <w:pPr>
        <w:spacing w:before="240" w:after="240"/>
        <w:rPr>
          <w:lang w:val="en-GB"/>
        </w:rPr>
      </w:pPr>
      <w:proofErr w:type="gramStart"/>
      <w:r w:rsidRPr="00F3533F">
        <w:rPr>
          <w:lang w:val="en-GB"/>
        </w:rPr>
        <w:t>where</w:t>
      </w:r>
      <w:proofErr w:type="gramEnd"/>
      <w:r w:rsidRPr="00F3533F">
        <w:rPr>
          <w:lang w:val="en-GB"/>
        </w:rPr>
        <w:t>:</w:t>
      </w:r>
    </w:p>
    <w:p w:rsidR="00CD203D" w:rsidRPr="00F3533F" w:rsidRDefault="00CD203D" w:rsidP="004C37E7">
      <w:pPr>
        <w:spacing w:before="240" w:line="480" w:lineRule="auto"/>
        <w:ind w:left="720"/>
        <w:rPr>
          <w:lang w:val="en-GB"/>
        </w:rPr>
      </w:pPr>
      <m:oMath>
        <m:r>
          <w:rPr>
            <w:rFonts w:ascii="Cambria Math" w:eastAsia="Cambria Math" w:hAnsi="Cambria Math"/>
            <w:lang w:val="en-GB"/>
          </w:rPr>
          <m:t>Y</m:t>
        </m:r>
      </m:oMath>
      <w:r w:rsidRPr="00F3533F">
        <w:rPr>
          <w:lang w:val="en-GB"/>
        </w:rPr>
        <w:t xml:space="preserve"> </w:t>
      </w:r>
      <w:proofErr w:type="gramStart"/>
      <w:r w:rsidRPr="00F3533F">
        <w:rPr>
          <w:lang w:val="en-GB"/>
        </w:rPr>
        <w:t>represents</w:t>
      </w:r>
      <w:proofErr w:type="gramEnd"/>
      <w:r w:rsidRPr="00F3533F">
        <w:rPr>
          <w:lang w:val="en-GB"/>
        </w:rPr>
        <w:t xml:space="preserve"> </w:t>
      </w:r>
      <w:r w:rsidRPr="00F3533F">
        <w:rPr>
          <w:bCs/>
          <w:lang w:val="en-GB"/>
        </w:rPr>
        <w:t>Social Well-being</w:t>
      </w:r>
      <w:r w:rsidRPr="00F3533F">
        <w:rPr>
          <w:lang w:val="en-GB"/>
        </w:rPr>
        <w:t xml:space="preserve"> (the dependent variable),</w:t>
      </w:r>
    </w:p>
    <w:p w:rsidR="00CD203D" w:rsidRPr="00F3533F" w:rsidRDefault="00CD203D" w:rsidP="004C37E7">
      <w:pPr>
        <w:spacing w:line="480" w:lineRule="auto"/>
        <w:ind w:left="720"/>
        <w:rPr>
          <w:lang w:val="en-GB"/>
        </w:rPr>
      </w:pPr>
      <m:oMath>
        <m:sSub>
          <m:sSubPr>
            <m:ctrlPr>
              <w:rPr>
                <w:rFonts w:ascii="Cambria Math"/>
                <w:lang w:val="en-GB"/>
              </w:rPr>
            </m:ctrlPr>
          </m:sSubPr>
          <m:e>
            <m:r>
              <w:rPr>
                <w:rFonts w:ascii="Cambria Math" w:eastAsia="Cambria Math" w:hAnsi="Cambria Math"/>
                <w:lang w:val="en-GB"/>
              </w:rPr>
              <m:t>X</m:t>
            </m:r>
          </m:e>
          <m:sub>
            <m:r>
              <w:rPr>
                <w:rFonts w:ascii="Cambria Math" w:eastAsia="Cambria Math"/>
                <w:lang w:val="en-GB"/>
              </w:rPr>
              <m:t>1</m:t>
            </m:r>
          </m:sub>
        </m:sSub>
      </m:oMath>
      <w:r w:rsidRPr="00F3533F">
        <w:rPr>
          <w:rStyle w:val="vlist-s"/>
          <w:bCs/>
          <w:lang w:val="en-GB"/>
        </w:rPr>
        <w:t>​</w:t>
      </w:r>
      <w:r w:rsidRPr="00F3533F">
        <w:rPr>
          <w:lang w:val="en-GB"/>
        </w:rPr>
        <w:t xml:space="preserve"> </w:t>
      </w:r>
      <w:proofErr w:type="gramStart"/>
      <w:r w:rsidRPr="00F3533F">
        <w:rPr>
          <w:lang w:val="en-GB"/>
        </w:rPr>
        <w:t>represents</w:t>
      </w:r>
      <w:proofErr w:type="gramEnd"/>
      <w:r w:rsidRPr="00F3533F">
        <w:rPr>
          <w:lang w:val="en-GB"/>
        </w:rPr>
        <w:t xml:space="preserve"> </w:t>
      </w:r>
      <w:r w:rsidRPr="00F3533F">
        <w:rPr>
          <w:bCs/>
          <w:lang w:val="en-GB"/>
        </w:rPr>
        <w:t>Camp Environment</w:t>
      </w:r>
      <w:r w:rsidRPr="00F3533F">
        <w:rPr>
          <w:lang w:val="en-GB"/>
        </w:rPr>
        <w:t>,</w:t>
      </w:r>
    </w:p>
    <w:p w:rsidR="00CD203D" w:rsidRPr="00F3533F" w:rsidRDefault="00CD203D" w:rsidP="004C37E7">
      <w:pPr>
        <w:spacing w:line="480" w:lineRule="auto"/>
        <w:ind w:left="720"/>
        <w:rPr>
          <w:lang w:val="en-GB"/>
        </w:rPr>
      </w:pPr>
      <m:oMath>
        <m:sSub>
          <m:sSubPr>
            <m:ctrlPr>
              <w:rPr>
                <w:rFonts w:ascii="Cambria Math"/>
                <w:lang w:val="en-GB"/>
              </w:rPr>
            </m:ctrlPr>
          </m:sSubPr>
          <m:e>
            <m:r>
              <w:rPr>
                <w:rFonts w:ascii="Cambria Math" w:eastAsia="Cambria Math" w:hAnsi="Cambria Math"/>
                <w:lang w:val="en-GB"/>
              </w:rPr>
              <m:t>X</m:t>
            </m:r>
          </m:e>
          <m:sub>
            <m:r>
              <w:rPr>
                <w:rFonts w:ascii="Cambria Math" w:eastAsia="Cambria Math"/>
                <w:lang w:val="en-GB"/>
              </w:rPr>
              <m:t>2</m:t>
            </m:r>
          </m:sub>
        </m:sSub>
      </m:oMath>
      <w:r w:rsidRPr="00F3533F">
        <w:rPr>
          <w:rStyle w:val="vlist-s"/>
          <w:bCs/>
          <w:lang w:val="en-GB"/>
        </w:rPr>
        <w:t>​</w:t>
      </w:r>
      <w:r w:rsidRPr="00F3533F">
        <w:rPr>
          <w:lang w:val="en-GB"/>
        </w:rPr>
        <w:t xml:space="preserve"> </w:t>
      </w:r>
      <w:proofErr w:type="gramStart"/>
      <w:r w:rsidRPr="00F3533F">
        <w:rPr>
          <w:lang w:val="en-GB"/>
        </w:rPr>
        <w:t>represents</w:t>
      </w:r>
      <w:proofErr w:type="gramEnd"/>
      <w:r w:rsidRPr="00F3533F">
        <w:rPr>
          <w:lang w:val="en-GB"/>
        </w:rPr>
        <w:t xml:space="preserve"> </w:t>
      </w:r>
      <w:r w:rsidRPr="00F3533F">
        <w:rPr>
          <w:bCs/>
          <w:lang w:val="en-GB"/>
        </w:rPr>
        <w:t>Educational Access</w:t>
      </w:r>
      <w:r w:rsidRPr="00F3533F">
        <w:rPr>
          <w:lang w:val="en-GB"/>
        </w:rPr>
        <w:t>,</w:t>
      </w:r>
    </w:p>
    <w:p w:rsidR="00CD203D" w:rsidRPr="00F3533F" w:rsidRDefault="00CD203D" w:rsidP="004C37E7">
      <w:pPr>
        <w:spacing w:line="480" w:lineRule="auto"/>
        <w:ind w:left="720"/>
        <w:rPr>
          <w:lang w:val="en-GB"/>
        </w:rPr>
      </w:pPr>
      <m:oMath>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0</m:t>
            </m:r>
          </m:sub>
        </m:sSub>
      </m:oMath>
      <w:r w:rsidRPr="00F3533F">
        <w:rPr>
          <w:rStyle w:val="vlist-s"/>
          <w:bCs/>
          <w:lang w:val="en-GB"/>
        </w:rPr>
        <w:t>​</w:t>
      </w:r>
      <w:r w:rsidRPr="00F3533F">
        <w:rPr>
          <w:lang w:val="en-GB"/>
        </w:rPr>
        <w:t xml:space="preserve"> </w:t>
      </w:r>
      <w:proofErr w:type="gramStart"/>
      <w:r w:rsidRPr="00F3533F">
        <w:rPr>
          <w:lang w:val="en-GB"/>
        </w:rPr>
        <w:t>is</w:t>
      </w:r>
      <w:proofErr w:type="gramEnd"/>
      <w:r w:rsidRPr="00F3533F">
        <w:rPr>
          <w:lang w:val="en-GB"/>
        </w:rPr>
        <w:t xml:space="preserve"> the </w:t>
      </w:r>
      <w:r w:rsidRPr="00F3533F">
        <w:rPr>
          <w:bCs/>
          <w:lang w:val="en-GB"/>
        </w:rPr>
        <w:t>intercept</w:t>
      </w:r>
      <w:r w:rsidRPr="00F3533F">
        <w:rPr>
          <w:lang w:val="en-GB"/>
        </w:rPr>
        <w:t xml:space="preserve"> (constant term),</w:t>
      </w:r>
    </w:p>
    <w:p w:rsidR="00CD203D" w:rsidRPr="00F3533F" w:rsidRDefault="00CD203D" w:rsidP="004C37E7">
      <w:pPr>
        <w:spacing w:after="240" w:line="480" w:lineRule="auto"/>
        <w:ind w:left="720"/>
        <w:rPr>
          <w:lang w:val="en-GB"/>
        </w:rPr>
      </w:pPr>
      <m:oMath>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1</m:t>
            </m:r>
          </m:sub>
        </m:sSub>
      </m:oMath>
      <w:r w:rsidRPr="00F3533F">
        <w:rPr>
          <w:rStyle w:val="vlist-s"/>
          <w:bCs/>
          <w:lang w:val="en-GB"/>
        </w:rPr>
        <w:t>​</w:t>
      </w:r>
      <w:r w:rsidRPr="00F3533F">
        <w:rPr>
          <w:lang w:val="en-GB"/>
        </w:rPr>
        <w:t xml:space="preserve"> </w:t>
      </w:r>
      <w:proofErr w:type="gramStart"/>
      <w:r w:rsidRPr="00F3533F">
        <w:rPr>
          <w:lang w:val="en-GB"/>
        </w:rPr>
        <w:t>and</w:t>
      </w:r>
      <w:proofErr w:type="gramEnd"/>
      <w:r w:rsidRPr="00F3533F">
        <w:rPr>
          <w:lang w:val="en-GB"/>
        </w:rPr>
        <w:t xml:space="preserve"> </w:t>
      </w:r>
      <m:oMath>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2</m:t>
            </m:r>
          </m:sub>
        </m:sSub>
      </m:oMath>
      <w:r w:rsidRPr="00F3533F">
        <w:rPr>
          <w:rStyle w:val="vlist-s"/>
          <w:bCs/>
          <w:lang w:val="en-GB"/>
        </w:rPr>
        <w:t>​</w:t>
      </w:r>
      <w:r w:rsidRPr="00F3533F">
        <w:rPr>
          <w:lang w:val="en-GB"/>
        </w:rPr>
        <w:t xml:space="preserve"> are the </w:t>
      </w:r>
      <w:r w:rsidRPr="00F3533F">
        <w:rPr>
          <w:bCs/>
          <w:lang w:val="en-GB"/>
        </w:rPr>
        <w:t>coefficients</w:t>
      </w:r>
      <w:r w:rsidRPr="00F3533F">
        <w:rPr>
          <w:lang w:val="en-GB"/>
        </w:rPr>
        <w:t xml:space="preserve"> for </w:t>
      </w:r>
      <w:r w:rsidRPr="00F3533F">
        <w:rPr>
          <w:bCs/>
          <w:lang w:val="en-GB"/>
        </w:rPr>
        <w:t>Camp Environment</w:t>
      </w:r>
      <w:r w:rsidRPr="00F3533F">
        <w:rPr>
          <w:lang w:val="en-GB"/>
        </w:rPr>
        <w:t xml:space="preserve"> and </w:t>
      </w:r>
      <w:r w:rsidRPr="00F3533F">
        <w:rPr>
          <w:bCs/>
          <w:lang w:val="en-GB"/>
        </w:rPr>
        <w:t>Educational Access</w:t>
      </w:r>
      <w:r w:rsidRPr="00F3533F">
        <w:rPr>
          <w:lang w:val="en-GB"/>
        </w:rPr>
        <w:t>, respectively.</w:t>
      </w:r>
    </w:p>
    <w:p w:rsidR="00CD203D" w:rsidRPr="00F3533F" w:rsidRDefault="00CD203D" w:rsidP="004C37E7">
      <w:pPr>
        <w:pStyle w:val="Heading3"/>
        <w:keepNext w:val="0"/>
        <w:keepLines w:val="0"/>
        <w:spacing w:before="281" w:after="281" w:line="480" w:lineRule="auto"/>
        <w:rPr>
          <w:rFonts w:ascii="Times New Roman" w:hAnsi="Times New Roman" w:cs="Times New Roman"/>
          <w:b w:val="0"/>
          <w:sz w:val="24"/>
          <w:szCs w:val="24"/>
          <w:lang w:val="en-GB"/>
        </w:rPr>
      </w:pPr>
      <w:r w:rsidRPr="00F3533F">
        <w:rPr>
          <w:rFonts w:ascii="Times New Roman" w:eastAsia="Times New Roman" w:hAnsi="Times New Roman" w:cs="Times New Roman"/>
          <w:b w:val="0"/>
          <w:color w:val="auto"/>
          <w:sz w:val="24"/>
          <w:szCs w:val="24"/>
          <w:lang w:val="en-GB"/>
        </w:rPr>
        <w:t>Regression Results:</w:t>
      </w:r>
    </w:p>
    <w:p w:rsidR="00CD203D" w:rsidRPr="00F3533F" w:rsidRDefault="00CD203D" w:rsidP="004C37E7">
      <w:pPr>
        <w:spacing w:before="240" w:line="480" w:lineRule="auto"/>
        <w:ind w:left="720"/>
        <w:rPr>
          <w:lang w:val="en-GB"/>
        </w:rPr>
      </w:pPr>
      <w:r w:rsidRPr="00F3533F">
        <w:rPr>
          <w:bCs/>
          <w:lang w:val="en-GB"/>
        </w:rPr>
        <w:lastRenderedPageBreak/>
        <w:t>Camp Environment Coefficient (</w:t>
      </w:r>
      <m:oMath>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1</m:t>
            </m:r>
          </m:sub>
        </m:sSub>
      </m:oMath>
      <w:r w:rsidRPr="00F3533F">
        <w:rPr>
          <w:bCs/>
          <w:lang w:val="en-GB"/>
        </w:rPr>
        <w:t>): -0.026</w:t>
      </w:r>
    </w:p>
    <w:p w:rsidR="00CD203D" w:rsidRPr="00F3533F" w:rsidRDefault="00CD203D" w:rsidP="004C37E7">
      <w:pPr>
        <w:spacing w:line="480" w:lineRule="auto"/>
        <w:ind w:left="720"/>
        <w:rPr>
          <w:lang w:val="en-GB"/>
        </w:rPr>
      </w:pPr>
      <w:r w:rsidRPr="00F3533F">
        <w:rPr>
          <w:bCs/>
          <w:lang w:val="en-GB"/>
        </w:rPr>
        <w:t>Educational Access Coefficient (</w:t>
      </w:r>
      <m:oMath>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2</m:t>
            </m:r>
          </m:sub>
        </m:sSub>
      </m:oMath>
      <w:r w:rsidRPr="00F3533F">
        <w:rPr>
          <w:rStyle w:val="vlist-s"/>
          <w:bCs/>
          <w:lang w:val="en-GB"/>
        </w:rPr>
        <w:t>​</w:t>
      </w:r>
      <w:r w:rsidRPr="00F3533F">
        <w:rPr>
          <w:bCs/>
          <w:lang w:val="en-GB"/>
        </w:rPr>
        <w:t>): 0.026</w:t>
      </w:r>
    </w:p>
    <w:p w:rsidR="00CD203D" w:rsidRPr="00F3533F" w:rsidRDefault="00CD203D" w:rsidP="004C37E7">
      <w:pPr>
        <w:spacing w:line="480" w:lineRule="auto"/>
        <w:ind w:left="720"/>
        <w:rPr>
          <w:lang w:val="en-GB"/>
        </w:rPr>
      </w:pPr>
      <w:r w:rsidRPr="00F3533F">
        <w:rPr>
          <w:bCs/>
          <w:lang w:val="en-GB"/>
        </w:rPr>
        <w:t>Intercept (</w:t>
      </w:r>
      <m:oMath>
        <m:sSub>
          <m:sSubPr>
            <m:ctrlPr>
              <w:rPr>
                <w:rFonts w:ascii="Cambria Math"/>
                <w:lang w:val="en-GB"/>
              </w:rPr>
            </m:ctrlPr>
          </m:sSubPr>
          <m:e>
            <m:r>
              <w:rPr>
                <w:rFonts w:ascii="Cambria Math" w:eastAsia="Cambria Math" w:hAnsi="Cambria Math"/>
                <w:lang w:val="en-GB"/>
              </w:rPr>
              <m:t>β</m:t>
            </m:r>
          </m:e>
          <m:sub>
            <m:r>
              <w:rPr>
                <w:rFonts w:ascii="Cambria Math" w:eastAsia="Cambria Math"/>
                <w:lang w:val="en-GB"/>
              </w:rPr>
              <m:t>0</m:t>
            </m:r>
          </m:sub>
        </m:sSub>
      </m:oMath>
      <w:r w:rsidRPr="00F3533F">
        <w:rPr>
          <w:rStyle w:val="vlist-s"/>
          <w:bCs/>
          <w:lang w:val="en-GB"/>
        </w:rPr>
        <w:t>​</w:t>
      </w:r>
      <w:r w:rsidRPr="00F3533F">
        <w:rPr>
          <w:bCs/>
          <w:lang w:val="en-GB"/>
        </w:rPr>
        <w:t>): 0.292</w:t>
      </w:r>
    </w:p>
    <w:p w:rsidR="00CD203D" w:rsidRPr="00F3533F" w:rsidRDefault="00CD203D" w:rsidP="004C37E7">
      <w:pPr>
        <w:spacing w:after="240" w:line="480" w:lineRule="auto"/>
        <w:ind w:left="720"/>
        <w:rPr>
          <w:lang w:val="en-GB"/>
        </w:rPr>
      </w:pPr>
      <w:r w:rsidRPr="00F3533F">
        <w:rPr>
          <w:bCs/>
          <w:lang w:val="en-GB"/>
        </w:rPr>
        <w:t>R-squared (R²): 0.0014</w:t>
      </w:r>
    </w:p>
    <w:p w:rsidR="00483500" w:rsidRPr="00F3533F" w:rsidRDefault="00D13A45"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FINDINGS</w:t>
      </w:r>
    </w:p>
    <w:p w:rsidR="0047241A" w:rsidRPr="00F3533F" w:rsidRDefault="00483500"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This study examined the impact of camp environment and educational access on gender-based violence (GBV) and social well-being among internally displaced perso</w:t>
      </w:r>
      <w:r w:rsidR="005E765D">
        <w:rPr>
          <w:rFonts w:ascii="Times New Roman" w:hAnsi="Times New Roman" w:cs="Times New Roman"/>
          <w:sz w:val="24"/>
          <w:szCs w:val="24"/>
          <w:lang w:val="en-GB"/>
        </w:rPr>
        <w:t>ns (IDPs). Using a mixed-method</w:t>
      </w:r>
      <w:r w:rsidRPr="00F3533F">
        <w:rPr>
          <w:rFonts w:ascii="Times New Roman" w:hAnsi="Times New Roman" w:cs="Times New Roman"/>
          <w:sz w:val="24"/>
          <w:szCs w:val="24"/>
          <w:lang w:val="en-GB"/>
        </w:rPr>
        <w:t xml:space="preserve"> approach, data were collected from 399 IDPs in Cross River North Senatorial District. The quantitative analysis showed diverse forms of GBV exacerbated by poor camp conditions and limited educational opportunities. The qualitative method used gathered inputs from discussants, which corroborated the data finding of the quantitative method.</w:t>
      </w:r>
      <w:r w:rsidR="0047241A" w:rsidRPr="00F3533F">
        <w:rPr>
          <w:rFonts w:ascii="Times New Roman" w:hAnsi="Times New Roman" w:cs="Times New Roman"/>
          <w:sz w:val="24"/>
          <w:szCs w:val="24"/>
          <w:lang w:val="en-GB"/>
        </w:rPr>
        <w:t xml:space="preserve"> </w:t>
      </w:r>
    </w:p>
    <w:p w:rsidR="0047241A" w:rsidRPr="00F3533F" w:rsidRDefault="0047241A"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The chi-square test reveals a statistically significant association between the camp environment and experiences of gender-based violence (GBV) among internally displaced persons (IDPs). The computed chi-square value, </w:t>
      </w:r>
      <w:r w:rsidRPr="00F3533F">
        <w:rPr>
          <w:rStyle w:val="katex-mathml"/>
          <w:rFonts w:ascii="Times New Roman" w:eastAsia="Calibri" w:hAnsi="Times New Roman" w:cs="Times New Roman"/>
          <w:sz w:val="24"/>
          <w:szCs w:val="24"/>
          <w:lang w:val="en-GB"/>
        </w:rPr>
        <w:t>χ</w:t>
      </w:r>
      <w:r w:rsidRPr="00F3533F">
        <w:rPr>
          <w:rStyle w:val="katex-mathml"/>
          <w:rFonts w:ascii="Times New Roman" w:eastAsia="Calibri" w:hAnsi="Times New Roman" w:cs="Times New Roman"/>
          <w:sz w:val="24"/>
          <w:szCs w:val="24"/>
          <w:vertAlign w:val="superscript"/>
          <w:lang w:val="en-GB"/>
        </w:rPr>
        <w:t>2</w:t>
      </w:r>
      <w:r w:rsidRPr="00F3533F">
        <w:rPr>
          <w:rStyle w:val="katex-mathml"/>
          <w:rFonts w:ascii="Times New Roman" w:eastAsia="Calibri" w:hAnsi="Times New Roman" w:cs="Times New Roman"/>
          <w:sz w:val="24"/>
          <w:szCs w:val="24"/>
          <w:lang w:val="en-GB"/>
        </w:rPr>
        <w:t>=28.21</w:t>
      </w:r>
      <w:r w:rsidRPr="00F3533F">
        <w:rPr>
          <w:rFonts w:ascii="Times New Roman" w:hAnsi="Times New Roman" w:cs="Times New Roman"/>
          <w:sz w:val="24"/>
          <w:szCs w:val="24"/>
          <w:lang w:val="en-GB"/>
        </w:rPr>
        <w:t>, with corresponding degrees of freedom, indicates that the observed frequencies in the positive and negative camp environments significantly deviate from what would be expected if there were no relationship between camp conditions and GBV occurrences.</w:t>
      </w:r>
    </w:p>
    <w:p w:rsidR="00483500" w:rsidRPr="00F3533F" w:rsidRDefault="0047241A"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This finding suggests that </w:t>
      </w:r>
      <w:r w:rsidRPr="00F3533F">
        <w:rPr>
          <w:rStyle w:val="Strong"/>
          <w:rFonts w:ascii="Times New Roman" w:hAnsi="Times New Roman" w:cs="Times New Roman"/>
          <w:b w:val="0"/>
          <w:sz w:val="24"/>
          <w:szCs w:val="24"/>
          <w:lang w:val="en-GB"/>
        </w:rPr>
        <w:t>camp environmental factors strongly influence the prevalence of GBV</w:t>
      </w:r>
      <w:r w:rsidRPr="00F3533F">
        <w:rPr>
          <w:rFonts w:ascii="Times New Roman" w:hAnsi="Times New Roman" w:cs="Times New Roman"/>
          <w:b/>
          <w:sz w:val="24"/>
          <w:szCs w:val="24"/>
          <w:lang w:val="en-GB"/>
        </w:rPr>
        <w:t xml:space="preserve"> </w:t>
      </w:r>
      <w:r w:rsidRPr="00F3533F">
        <w:rPr>
          <w:rFonts w:ascii="Times New Roman" w:hAnsi="Times New Roman" w:cs="Times New Roman"/>
          <w:sz w:val="24"/>
          <w:szCs w:val="24"/>
          <w:lang w:val="en-GB"/>
        </w:rPr>
        <w:t xml:space="preserve">within these IDP camps. Specifically, IDPs in poorly managed or resource-limited environments may face higher risks of GBV, underlining the need for targeted improvements in camp conditions to enhance security and well-being. This statistically significant result highlights the critical role of improving camp management and living conditions to mitigate GBV risks. Policies aimed at reinforcing safety, community cohesion, and resource accessibility </w:t>
      </w:r>
      <w:r w:rsidRPr="00F3533F">
        <w:rPr>
          <w:rFonts w:ascii="Times New Roman" w:hAnsi="Times New Roman" w:cs="Times New Roman"/>
          <w:sz w:val="24"/>
          <w:szCs w:val="24"/>
          <w:lang w:val="en-GB"/>
        </w:rPr>
        <w:lastRenderedPageBreak/>
        <w:t>within camps could play a vital role in reducing incidents of GBV, ultimately supporting the broader well-being and rights of displaced individuals.</w:t>
      </w:r>
    </w:p>
    <w:p w:rsidR="00483500" w:rsidRPr="00F3533F" w:rsidRDefault="00C07872"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The</w:t>
      </w:r>
      <w:r w:rsidR="00483500" w:rsidRPr="00F3533F">
        <w:rPr>
          <w:rFonts w:ascii="Times New Roman" w:hAnsi="Times New Roman" w:cs="Times New Roman"/>
          <w:sz w:val="24"/>
          <w:szCs w:val="24"/>
          <w:lang w:val="en-GB"/>
        </w:rPr>
        <w:t xml:space="preserve"> Pearson correlation coefficient of </w:t>
      </w:r>
      <w:r w:rsidR="00483500" w:rsidRPr="00F3533F">
        <w:rPr>
          <w:rStyle w:val="katex-mathml"/>
          <w:rFonts w:ascii="Times New Roman" w:hAnsi="Times New Roman" w:cs="Times New Roman"/>
          <w:sz w:val="24"/>
          <w:szCs w:val="24"/>
          <w:lang w:val="en-GB"/>
        </w:rPr>
        <w:t>r=0.034</w:t>
      </w:r>
      <w:r w:rsidRPr="00F3533F">
        <w:rPr>
          <w:rStyle w:val="katex-mathml"/>
          <w:rFonts w:ascii="Times New Roman" w:hAnsi="Times New Roman" w:cs="Times New Roman"/>
          <w:sz w:val="24"/>
          <w:szCs w:val="24"/>
          <w:lang w:val="en-GB"/>
        </w:rPr>
        <w:t>,</w:t>
      </w:r>
      <w:r w:rsidR="00483500" w:rsidRPr="00F3533F">
        <w:rPr>
          <w:rFonts w:ascii="Times New Roman" w:hAnsi="Times New Roman" w:cs="Times New Roman"/>
          <w:sz w:val="24"/>
          <w:szCs w:val="24"/>
          <w:lang w:val="en-GB"/>
        </w:rPr>
        <w:t xml:space="preserve"> with a p-value of 0.496 indicated a weak and statistically insignificant correlation bet</w:t>
      </w:r>
      <w:r w:rsidR="00E133E7" w:rsidRPr="00F3533F">
        <w:rPr>
          <w:rFonts w:ascii="Times New Roman" w:hAnsi="Times New Roman" w:cs="Times New Roman"/>
          <w:sz w:val="24"/>
          <w:szCs w:val="24"/>
          <w:lang w:val="en-GB"/>
        </w:rPr>
        <w:t>ween educational access and GBV, indicating that , though important, education or access to it may not necessarily ameliorate the incidence of GBV.</w:t>
      </w:r>
    </w:p>
    <w:p w:rsidR="00F23477" w:rsidRPr="00F3533F" w:rsidRDefault="00F23477"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The Regression analysis showed minimal influence of camp conditions and educational access on social well-being, with an R-squared value of 0.0014. The regression coefficients (β1 = -0.026 for camp environment and β2 = 0.026 for educational access) suggest that these factors had limited impact on improving social well-being. The </w:t>
      </w:r>
      <w:r w:rsidRPr="00F3533F">
        <w:rPr>
          <w:rFonts w:ascii="Times New Roman" w:hAnsi="Times New Roman" w:cs="Times New Roman"/>
          <w:bCs/>
          <w:sz w:val="24"/>
          <w:szCs w:val="24"/>
          <w:lang w:val="en-GB"/>
        </w:rPr>
        <w:t>Camp Environment Coefficient</w:t>
      </w:r>
      <w:r w:rsidRPr="00F3533F">
        <w:rPr>
          <w:rFonts w:ascii="Times New Roman" w:hAnsi="Times New Roman" w:cs="Times New Roman"/>
          <w:sz w:val="24"/>
          <w:szCs w:val="24"/>
          <w:lang w:val="en-GB"/>
        </w:rPr>
        <w:t xml:space="preserve"> of </w:t>
      </w:r>
      <w:r w:rsidRPr="00F3533F">
        <w:rPr>
          <w:rFonts w:ascii="Times New Roman" w:hAnsi="Times New Roman" w:cs="Times New Roman"/>
          <w:bCs/>
          <w:sz w:val="24"/>
          <w:szCs w:val="24"/>
          <w:lang w:val="en-GB"/>
        </w:rPr>
        <w:t>-0.026</w:t>
      </w:r>
      <w:r w:rsidRPr="00F3533F">
        <w:rPr>
          <w:rFonts w:ascii="Times New Roman" w:hAnsi="Times New Roman" w:cs="Times New Roman"/>
          <w:sz w:val="24"/>
          <w:szCs w:val="24"/>
          <w:lang w:val="en-GB"/>
        </w:rPr>
        <w:t xml:space="preserve"> indicates that, holding Educational Access constant, an improvement in camp environment (positive score) is associated with a slight decrease in Social Well-being. However, this effect is very minimal. The </w:t>
      </w:r>
      <w:r w:rsidRPr="00F3533F">
        <w:rPr>
          <w:rFonts w:ascii="Times New Roman" w:hAnsi="Times New Roman" w:cs="Times New Roman"/>
          <w:bCs/>
          <w:sz w:val="24"/>
          <w:szCs w:val="24"/>
          <w:lang w:val="en-GB"/>
        </w:rPr>
        <w:t>Educational Access Coefficient</w:t>
      </w:r>
      <w:r w:rsidRPr="00F3533F">
        <w:rPr>
          <w:rFonts w:ascii="Times New Roman" w:hAnsi="Times New Roman" w:cs="Times New Roman"/>
          <w:sz w:val="24"/>
          <w:szCs w:val="24"/>
          <w:lang w:val="en-GB"/>
        </w:rPr>
        <w:t xml:space="preserve"> of </w:t>
      </w:r>
      <w:r w:rsidRPr="00F3533F">
        <w:rPr>
          <w:rFonts w:ascii="Times New Roman" w:hAnsi="Times New Roman" w:cs="Times New Roman"/>
          <w:bCs/>
          <w:sz w:val="24"/>
          <w:szCs w:val="24"/>
          <w:lang w:val="en-GB"/>
        </w:rPr>
        <w:t>0.026</w:t>
      </w:r>
      <w:r w:rsidRPr="00F3533F">
        <w:rPr>
          <w:rFonts w:ascii="Times New Roman" w:hAnsi="Times New Roman" w:cs="Times New Roman"/>
          <w:sz w:val="24"/>
          <w:szCs w:val="24"/>
          <w:lang w:val="en-GB"/>
        </w:rPr>
        <w:t xml:space="preserve"> suggests that, holding Camp Environment constant, access to education is also associated with a minimal increase in Social Well-being. The </w:t>
      </w:r>
      <w:r w:rsidR="00453C67" w:rsidRPr="00F3533F">
        <w:rPr>
          <w:rFonts w:ascii="Times New Roman" w:hAnsi="Times New Roman" w:cs="Times New Roman"/>
          <w:sz w:val="24"/>
          <w:szCs w:val="24"/>
          <w:lang w:val="en-GB"/>
        </w:rPr>
        <w:t xml:space="preserve">Regression </w:t>
      </w:r>
      <w:r w:rsidRPr="00F3533F">
        <w:rPr>
          <w:rFonts w:ascii="Times New Roman" w:hAnsi="Times New Roman" w:cs="Times New Roman"/>
          <w:bCs/>
          <w:sz w:val="24"/>
          <w:szCs w:val="24"/>
          <w:lang w:val="en-GB"/>
        </w:rPr>
        <w:t xml:space="preserve">Intercept </w:t>
      </w:r>
      <w:r w:rsidR="00453C67" w:rsidRPr="00F3533F">
        <w:rPr>
          <w:rFonts w:ascii="Times New Roman" w:hAnsi="Times New Roman" w:cs="Times New Roman"/>
          <w:bCs/>
          <w:sz w:val="24"/>
          <w:szCs w:val="24"/>
          <w:lang w:val="en-GB"/>
        </w:rPr>
        <w:t>of 0.292</w:t>
      </w:r>
      <w:r w:rsidRPr="00F3533F">
        <w:rPr>
          <w:rFonts w:ascii="Times New Roman" w:hAnsi="Times New Roman" w:cs="Times New Roman"/>
          <w:sz w:val="24"/>
          <w:szCs w:val="24"/>
          <w:lang w:val="en-GB"/>
        </w:rPr>
        <w:t xml:space="preserve"> represents the predicted Social Well-being score when both Camp Environment and Educational Access are zero. This is the baseline level of Social Well-being in the absence of effects from the two independent variables. The </w:t>
      </w:r>
      <w:r w:rsidRPr="00F3533F">
        <w:rPr>
          <w:rFonts w:ascii="Times New Roman" w:hAnsi="Times New Roman" w:cs="Times New Roman"/>
          <w:bCs/>
          <w:sz w:val="24"/>
          <w:szCs w:val="24"/>
          <w:lang w:val="en-GB"/>
        </w:rPr>
        <w:t>R-squared value</w:t>
      </w:r>
      <w:r w:rsidRPr="00F3533F">
        <w:rPr>
          <w:rFonts w:ascii="Times New Roman" w:hAnsi="Times New Roman" w:cs="Times New Roman"/>
          <w:sz w:val="24"/>
          <w:szCs w:val="24"/>
          <w:lang w:val="en-GB"/>
        </w:rPr>
        <w:t xml:space="preserve"> of </w:t>
      </w:r>
      <w:r w:rsidRPr="00F3533F">
        <w:rPr>
          <w:rFonts w:ascii="Times New Roman" w:hAnsi="Times New Roman" w:cs="Times New Roman"/>
          <w:bCs/>
          <w:sz w:val="24"/>
          <w:szCs w:val="24"/>
          <w:lang w:val="en-GB"/>
        </w:rPr>
        <w:t>0.0014</w:t>
      </w:r>
      <w:r w:rsidRPr="00F3533F">
        <w:rPr>
          <w:rFonts w:ascii="Times New Roman" w:hAnsi="Times New Roman" w:cs="Times New Roman"/>
          <w:sz w:val="24"/>
          <w:szCs w:val="24"/>
          <w:lang w:val="en-GB"/>
        </w:rPr>
        <w:t xml:space="preserve"> (or </w:t>
      </w:r>
      <w:r w:rsidRPr="00F3533F">
        <w:rPr>
          <w:rFonts w:ascii="Times New Roman" w:hAnsi="Times New Roman" w:cs="Times New Roman"/>
          <w:bCs/>
          <w:sz w:val="24"/>
          <w:szCs w:val="24"/>
          <w:lang w:val="en-GB"/>
        </w:rPr>
        <w:t>0.14%</w:t>
      </w:r>
      <w:r w:rsidRPr="00F3533F">
        <w:rPr>
          <w:rFonts w:ascii="Times New Roman" w:hAnsi="Times New Roman" w:cs="Times New Roman"/>
          <w:sz w:val="24"/>
          <w:szCs w:val="24"/>
          <w:lang w:val="en-GB"/>
        </w:rPr>
        <w:t xml:space="preserve">) indicates that </w:t>
      </w:r>
      <w:r w:rsidRPr="00F3533F">
        <w:rPr>
          <w:rFonts w:ascii="Times New Roman" w:hAnsi="Times New Roman" w:cs="Times New Roman"/>
          <w:bCs/>
          <w:sz w:val="24"/>
          <w:szCs w:val="24"/>
          <w:lang w:val="en-GB"/>
        </w:rPr>
        <w:t>only 0.14% of the variance in Social Well-being is explained by Camp Environment and Educational Access</w:t>
      </w:r>
      <w:r w:rsidRPr="00F3533F">
        <w:rPr>
          <w:rFonts w:ascii="Times New Roman" w:hAnsi="Times New Roman" w:cs="Times New Roman"/>
          <w:sz w:val="24"/>
          <w:szCs w:val="24"/>
          <w:lang w:val="en-GB"/>
        </w:rPr>
        <w:t>. This very low R-squared value suggests that these variables have a minimal impact on Social Well-being and that other factors may play a more substantial role in influencing it.</w:t>
      </w:r>
    </w:p>
    <w:p w:rsidR="00483500" w:rsidRPr="00F3533F" w:rsidRDefault="00483500" w:rsidP="004C37E7">
      <w:pPr>
        <w:pStyle w:val="NoSpacing"/>
        <w:spacing w:line="480" w:lineRule="auto"/>
        <w:ind w:firstLine="720"/>
        <w:jc w:val="both"/>
        <w:rPr>
          <w:rFonts w:ascii="Times New Roman" w:hAnsi="Times New Roman" w:cs="Times New Roman"/>
          <w:sz w:val="24"/>
          <w:szCs w:val="24"/>
          <w:lang w:val="en-GB"/>
        </w:rPr>
      </w:pPr>
      <w:r w:rsidRPr="00F3533F">
        <w:rPr>
          <w:rStyle w:val="Strong"/>
          <w:rFonts w:ascii="Times New Roman" w:hAnsi="Times New Roman" w:cs="Times New Roman"/>
          <w:b w:val="0"/>
          <w:sz w:val="24"/>
          <w:szCs w:val="24"/>
          <w:lang w:val="en-GB"/>
        </w:rPr>
        <w:t>Qualitative Insights</w:t>
      </w:r>
      <w:r w:rsidR="00F23477" w:rsidRPr="00F3533F">
        <w:rPr>
          <w:rStyle w:val="Strong"/>
          <w:rFonts w:ascii="Times New Roman" w:hAnsi="Times New Roman" w:cs="Times New Roman"/>
          <w:b w:val="0"/>
          <w:sz w:val="24"/>
          <w:szCs w:val="24"/>
          <w:lang w:val="en-GB"/>
        </w:rPr>
        <w:t>,</w:t>
      </w:r>
      <w:r w:rsidR="00F23477" w:rsidRPr="00F3533F">
        <w:rPr>
          <w:rFonts w:ascii="Times New Roman" w:hAnsi="Times New Roman" w:cs="Times New Roman"/>
          <w:b/>
          <w:sz w:val="24"/>
          <w:szCs w:val="24"/>
          <w:lang w:val="en-GB"/>
        </w:rPr>
        <w:t xml:space="preserve"> </w:t>
      </w:r>
      <w:r w:rsidR="00F23477" w:rsidRPr="00F3533F">
        <w:rPr>
          <w:rFonts w:ascii="Times New Roman" w:hAnsi="Times New Roman" w:cs="Times New Roman"/>
          <w:sz w:val="24"/>
          <w:szCs w:val="24"/>
          <w:lang w:val="en-GB"/>
        </w:rPr>
        <w:t>derived from the Focus Group D</w:t>
      </w:r>
      <w:r w:rsidRPr="00F3533F">
        <w:rPr>
          <w:rFonts w:ascii="Times New Roman" w:hAnsi="Times New Roman" w:cs="Times New Roman"/>
          <w:sz w:val="24"/>
          <w:szCs w:val="24"/>
          <w:lang w:val="en-GB"/>
        </w:rPr>
        <w:t>iscussions</w:t>
      </w:r>
      <w:r w:rsidR="00F23477" w:rsidRPr="00F3533F">
        <w:rPr>
          <w:rFonts w:ascii="Times New Roman" w:hAnsi="Times New Roman" w:cs="Times New Roman"/>
          <w:sz w:val="24"/>
          <w:szCs w:val="24"/>
          <w:lang w:val="en-GB"/>
        </w:rPr>
        <w:t xml:space="preserve"> (FGDs),</w:t>
      </w:r>
      <w:r w:rsidRPr="00F3533F">
        <w:rPr>
          <w:rFonts w:ascii="Times New Roman" w:hAnsi="Times New Roman" w:cs="Times New Roman"/>
          <w:sz w:val="24"/>
          <w:szCs w:val="24"/>
          <w:lang w:val="en-GB"/>
        </w:rPr>
        <w:t xml:space="preserve"> highlighted how poor camp conditions and restricted educational access fostered a sense of insecurity and marginalization, particularly for women. Participants linked inadequate facilities and social isolation to increased vulnerability to GBV.</w:t>
      </w:r>
    </w:p>
    <w:p w:rsidR="00483500" w:rsidRPr="00F3533F" w:rsidRDefault="00483500" w:rsidP="004C37E7">
      <w:pPr>
        <w:pStyle w:val="NoSpacing"/>
        <w:spacing w:line="480" w:lineRule="auto"/>
        <w:jc w:val="both"/>
        <w:rPr>
          <w:rFonts w:ascii="Times New Roman" w:hAnsi="Times New Roman" w:cs="Times New Roman"/>
          <w:sz w:val="24"/>
          <w:szCs w:val="24"/>
          <w:lang w:val="en-GB"/>
        </w:rPr>
      </w:pPr>
    </w:p>
    <w:p w:rsidR="00483500" w:rsidRPr="00F3533F" w:rsidRDefault="00453C67"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DISCUSSION</w:t>
      </w:r>
    </w:p>
    <w:p w:rsidR="00483500" w:rsidRPr="00F3533F" w:rsidRDefault="00483500"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The findings suggest that camp environments significantly influence GBV risk, aligning with </w:t>
      </w:r>
      <w:r w:rsidR="00F23477" w:rsidRPr="00F3533F">
        <w:rPr>
          <w:rFonts w:ascii="Times New Roman" w:hAnsi="Times New Roman" w:cs="Times New Roman"/>
          <w:sz w:val="24"/>
          <w:szCs w:val="24"/>
          <w:lang w:val="en-GB"/>
        </w:rPr>
        <w:t xml:space="preserve">the </w:t>
      </w:r>
      <w:r w:rsidR="00F23477" w:rsidRPr="00F3533F">
        <w:rPr>
          <w:rStyle w:val="Strong"/>
          <w:rFonts w:ascii="Times New Roman" w:hAnsi="Times New Roman" w:cs="Times New Roman"/>
          <w:b w:val="0"/>
          <w:sz w:val="24"/>
          <w:szCs w:val="24"/>
          <w:lang w:val="en-GB"/>
        </w:rPr>
        <w:t>Social Disorganisation theory</w:t>
      </w:r>
      <w:r w:rsidRPr="00F3533F">
        <w:rPr>
          <w:rFonts w:ascii="Times New Roman" w:hAnsi="Times New Roman" w:cs="Times New Roman"/>
          <w:sz w:val="24"/>
          <w:szCs w:val="24"/>
          <w:lang w:val="en-GB"/>
        </w:rPr>
        <w:t xml:space="preserve"> and </w:t>
      </w:r>
      <w:r w:rsidR="00D6798A" w:rsidRPr="00F3533F">
        <w:rPr>
          <w:rFonts w:ascii="Times New Roman" w:hAnsi="Times New Roman" w:cs="Times New Roman"/>
          <w:sz w:val="24"/>
          <w:szCs w:val="24"/>
          <w:lang w:val="en-GB"/>
        </w:rPr>
        <w:t>Structural Strain theory</w:t>
      </w:r>
      <w:r w:rsidRPr="00F3533F">
        <w:rPr>
          <w:rFonts w:ascii="Times New Roman" w:hAnsi="Times New Roman" w:cs="Times New Roman"/>
          <w:sz w:val="24"/>
          <w:szCs w:val="24"/>
          <w:lang w:val="en-GB"/>
        </w:rPr>
        <w:t>. In resource-scarce settings, individuals may replicate observed behavio</w:t>
      </w:r>
      <w:r w:rsidR="00D46E9B">
        <w:rPr>
          <w:rFonts w:ascii="Times New Roman" w:hAnsi="Times New Roman" w:cs="Times New Roman"/>
          <w:sz w:val="24"/>
          <w:szCs w:val="24"/>
          <w:lang w:val="en-GB"/>
        </w:rPr>
        <w:t>u</w:t>
      </w:r>
      <w:r w:rsidRPr="00F3533F">
        <w:rPr>
          <w:rFonts w:ascii="Times New Roman" w:hAnsi="Times New Roman" w:cs="Times New Roman"/>
          <w:sz w:val="24"/>
          <w:szCs w:val="24"/>
          <w:lang w:val="en-GB"/>
        </w:rPr>
        <w:t>rs, contributing to GBV incidents. The weak correlation between educational access and GBV indicates that other contextual factors, beyond education alone, likely play a more substantial role in GBV prevention.</w:t>
      </w:r>
    </w:p>
    <w:p w:rsidR="00483500" w:rsidRPr="00F3533F" w:rsidRDefault="00483500"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Despite the significant impact of camp environment on GBV, the limited role of educational access underscores the importance of comprehensive interventions. Educational programs alone may not be sufficient to prevent GBV without concurrent improvements in camp safety and resources. The minimal influence of these factors on social well-being (R-squared of 0.0014) suggests that broader structural improvements are necessary to address social well-being within these settings.</w:t>
      </w:r>
      <w:r w:rsidR="00D6798A" w:rsidRPr="00F3533F">
        <w:rPr>
          <w:rFonts w:ascii="Times New Roman" w:hAnsi="Times New Roman" w:cs="Times New Roman"/>
          <w:sz w:val="24"/>
          <w:szCs w:val="24"/>
          <w:lang w:val="en-GB"/>
        </w:rPr>
        <w:t xml:space="preserve"> </w:t>
      </w:r>
      <w:r w:rsidRPr="00F3533F">
        <w:rPr>
          <w:rFonts w:ascii="Times New Roman" w:hAnsi="Times New Roman" w:cs="Times New Roman"/>
          <w:sz w:val="24"/>
          <w:szCs w:val="24"/>
          <w:lang w:val="en-GB"/>
        </w:rPr>
        <w:t>These results underscore the need for policy interventions focused on infrastructure, safety, and psychosocial support in IDP camps to mitigate GBV risks effectively.</w:t>
      </w:r>
    </w:p>
    <w:p w:rsidR="00D6798A" w:rsidRPr="00F3533F" w:rsidRDefault="00D6798A"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The significant association between camp environment and GBV underscores the fact that living conditions directly impact safety. For example, as one discussant mentioned, “We are forced to compete for basic needs, which sometimes leads to violence.” This aligns with the quantitative finding that poor environmental conditions heighten GBV risks. The weak correlation between educational access and GBV indicates that educational programs alone are insufficient to mitigate violence risks. Qualitative feedback further highlighted that without adequate security and social support, educational opportunities fail to provide meaningful change in safety and well-being. One discussant noted, “We may attend classes, but we are not safe walking to or from them.” This reveals a complex dynamic where educational opportunities require a secure environment to benefit social well-being effectively.</w:t>
      </w:r>
    </w:p>
    <w:p w:rsidR="00D6798A" w:rsidRPr="00F3533F" w:rsidRDefault="00D6798A"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lastRenderedPageBreak/>
        <w:t xml:space="preserve">The FGDs further supported the </w:t>
      </w:r>
      <w:r w:rsidR="008C23B0" w:rsidRPr="00F3533F">
        <w:rPr>
          <w:rFonts w:ascii="Times New Roman" w:hAnsi="Times New Roman" w:cs="Times New Roman"/>
          <w:sz w:val="24"/>
          <w:szCs w:val="24"/>
          <w:lang w:val="en-GB"/>
        </w:rPr>
        <w:t>quantitative</w:t>
      </w:r>
      <w:r w:rsidR="00482D83">
        <w:rPr>
          <w:rFonts w:ascii="Times New Roman" w:hAnsi="Times New Roman" w:cs="Times New Roman"/>
          <w:sz w:val="24"/>
          <w:szCs w:val="24"/>
          <w:lang w:val="en-GB"/>
        </w:rPr>
        <w:t xml:space="preserve"> findings, with discussan</w:t>
      </w:r>
      <w:r w:rsidR="00482D83" w:rsidRPr="00F3533F">
        <w:rPr>
          <w:rFonts w:ascii="Times New Roman" w:hAnsi="Times New Roman" w:cs="Times New Roman"/>
          <w:sz w:val="24"/>
          <w:szCs w:val="24"/>
          <w:lang w:val="en-GB"/>
        </w:rPr>
        <w:t>ts</w:t>
      </w:r>
      <w:r w:rsidRPr="00F3533F">
        <w:rPr>
          <w:rFonts w:ascii="Times New Roman" w:hAnsi="Times New Roman" w:cs="Times New Roman"/>
          <w:sz w:val="24"/>
          <w:szCs w:val="24"/>
          <w:lang w:val="en-GB"/>
        </w:rPr>
        <w:t xml:space="preserve"> describing feelings of vulnerability and fear within camps. One participant noted, “Without proper lighting and security, we live in constant fear of assault.” Others cited inadequate sanitation and overcrowding as factors exacerbating stress and conflict. Regarding educati</w:t>
      </w:r>
      <w:r w:rsidR="00482D83">
        <w:rPr>
          <w:rFonts w:ascii="Times New Roman" w:hAnsi="Times New Roman" w:cs="Times New Roman"/>
          <w:sz w:val="24"/>
          <w:szCs w:val="24"/>
          <w:lang w:val="en-GB"/>
        </w:rPr>
        <w:t xml:space="preserve">onal access, another discussant </w:t>
      </w:r>
      <w:r w:rsidRPr="00F3533F">
        <w:rPr>
          <w:rFonts w:ascii="Times New Roman" w:hAnsi="Times New Roman" w:cs="Times New Roman"/>
          <w:sz w:val="24"/>
          <w:szCs w:val="24"/>
          <w:lang w:val="en-GB"/>
        </w:rPr>
        <w:t>shared, “Education is important, but without a safe environment, it means little.” These qualitative responses underline the need for structural improvements in camp conditions.</w:t>
      </w:r>
    </w:p>
    <w:p w:rsidR="00D6798A" w:rsidRPr="00F3533F" w:rsidRDefault="00D6798A" w:rsidP="004C37E7">
      <w:pPr>
        <w:pStyle w:val="NoSpacing"/>
        <w:spacing w:line="480" w:lineRule="auto"/>
        <w:ind w:firstLine="720"/>
        <w:jc w:val="both"/>
        <w:rPr>
          <w:rFonts w:ascii="Times New Roman" w:hAnsi="Times New Roman" w:cs="Times New Roman"/>
          <w:sz w:val="24"/>
          <w:szCs w:val="24"/>
          <w:lang w:val="en-GB"/>
        </w:rPr>
      </w:pPr>
    </w:p>
    <w:p w:rsidR="00483500" w:rsidRPr="00F3533F" w:rsidRDefault="00453C67" w:rsidP="004C37E7">
      <w:pPr>
        <w:pStyle w:val="NoSpacing"/>
        <w:spacing w:line="480" w:lineRule="auto"/>
        <w:jc w:val="both"/>
        <w:rPr>
          <w:rFonts w:ascii="Times New Roman" w:hAnsi="Times New Roman" w:cs="Times New Roman"/>
          <w:b/>
          <w:sz w:val="24"/>
          <w:szCs w:val="24"/>
          <w:lang w:val="en-GB"/>
        </w:rPr>
      </w:pPr>
      <w:r w:rsidRPr="00F3533F">
        <w:rPr>
          <w:rFonts w:ascii="Times New Roman" w:hAnsi="Times New Roman" w:cs="Times New Roman"/>
          <w:b/>
          <w:sz w:val="24"/>
          <w:szCs w:val="24"/>
          <w:lang w:val="en-GB"/>
        </w:rPr>
        <w:t>CONCLUSION</w:t>
      </w:r>
    </w:p>
    <w:p w:rsidR="00483500" w:rsidRPr="00F3533F" w:rsidRDefault="00483500"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This study highlights the complex interplay between camp conditions, educational access, and GBV risk among IDPs. While poor camp environments significantly correlate with increased GBV experiences, educational access alone does not appear to offer a robust protective factor without supportive infrastructure. Future policies should prioritize enhancing camp safety, improving living conditions, and expanding educational opportunities within a secure framework to reduce GBV risks and promote well-being.</w:t>
      </w:r>
    </w:p>
    <w:p w:rsidR="00483500" w:rsidRPr="00F3533F" w:rsidRDefault="003C0310" w:rsidP="004C37E7">
      <w:pPr>
        <w:pStyle w:val="NoSpacing"/>
        <w:spacing w:line="480" w:lineRule="auto"/>
        <w:ind w:firstLine="720"/>
        <w:jc w:val="both"/>
        <w:rPr>
          <w:rFonts w:ascii="Times New Roman" w:hAnsi="Times New Roman" w:cs="Times New Roman"/>
          <w:sz w:val="24"/>
          <w:szCs w:val="24"/>
          <w:lang w:val="en-GB"/>
        </w:rPr>
      </w:pPr>
      <w:r w:rsidRPr="00F3533F">
        <w:rPr>
          <w:rStyle w:val="Strong"/>
          <w:rFonts w:ascii="Times New Roman" w:hAnsi="Times New Roman" w:cs="Times New Roman"/>
          <w:b w:val="0"/>
          <w:sz w:val="24"/>
          <w:szCs w:val="24"/>
          <w:lang w:val="en-GB"/>
        </w:rPr>
        <w:t>Therefore, we recommend the provision and improvement of infrastructure</w:t>
      </w:r>
      <w:r w:rsidRPr="00F3533F">
        <w:rPr>
          <w:rFonts w:ascii="Times New Roman" w:hAnsi="Times New Roman" w:cs="Times New Roman"/>
          <w:b/>
          <w:sz w:val="24"/>
          <w:szCs w:val="24"/>
          <w:lang w:val="en-GB"/>
        </w:rPr>
        <w:t>.</w:t>
      </w:r>
      <w:r w:rsidR="00483500" w:rsidRPr="00F3533F">
        <w:rPr>
          <w:rFonts w:ascii="Times New Roman" w:hAnsi="Times New Roman" w:cs="Times New Roman"/>
          <w:b/>
          <w:sz w:val="24"/>
          <w:szCs w:val="24"/>
          <w:lang w:val="en-GB"/>
        </w:rPr>
        <w:t xml:space="preserve"> </w:t>
      </w:r>
      <w:r w:rsidR="00483500" w:rsidRPr="00F3533F">
        <w:rPr>
          <w:rFonts w:ascii="Times New Roman" w:hAnsi="Times New Roman" w:cs="Times New Roman"/>
          <w:sz w:val="24"/>
          <w:szCs w:val="24"/>
          <w:lang w:val="en-GB"/>
        </w:rPr>
        <w:t>Governments should prioritize camp security, including adequate lighting, sanitation, and designated safe zones for women and children.</w:t>
      </w:r>
    </w:p>
    <w:p w:rsidR="00483500" w:rsidRPr="00F3533F" w:rsidRDefault="003C0310" w:rsidP="004C37E7">
      <w:pPr>
        <w:pStyle w:val="NoSpacing"/>
        <w:spacing w:line="480" w:lineRule="auto"/>
        <w:ind w:firstLine="720"/>
        <w:jc w:val="both"/>
        <w:rPr>
          <w:rFonts w:ascii="Times New Roman" w:hAnsi="Times New Roman" w:cs="Times New Roman"/>
          <w:sz w:val="24"/>
          <w:szCs w:val="24"/>
          <w:lang w:val="en-GB"/>
        </w:rPr>
      </w:pPr>
      <w:r w:rsidRPr="00F3533F">
        <w:rPr>
          <w:rStyle w:val="Strong"/>
          <w:rFonts w:ascii="Times New Roman" w:hAnsi="Times New Roman" w:cs="Times New Roman"/>
          <w:b w:val="0"/>
          <w:sz w:val="24"/>
          <w:szCs w:val="24"/>
          <w:lang w:val="en-GB"/>
        </w:rPr>
        <w:t>Also, comprehensive e</w:t>
      </w:r>
      <w:r w:rsidR="00483500" w:rsidRPr="00F3533F">
        <w:rPr>
          <w:rStyle w:val="Strong"/>
          <w:rFonts w:ascii="Times New Roman" w:hAnsi="Times New Roman" w:cs="Times New Roman"/>
          <w:b w:val="0"/>
          <w:sz w:val="24"/>
          <w:szCs w:val="24"/>
          <w:lang w:val="en-GB"/>
        </w:rPr>
        <w:t>ducational Program</w:t>
      </w:r>
      <w:r w:rsidRPr="00F3533F">
        <w:rPr>
          <w:rStyle w:val="Strong"/>
          <w:rFonts w:ascii="Times New Roman" w:hAnsi="Times New Roman" w:cs="Times New Roman"/>
          <w:b w:val="0"/>
          <w:sz w:val="24"/>
          <w:szCs w:val="24"/>
          <w:lang w:val="en-GB"/>
        </w:rPr>
        <w:t>me</w:t>
      </w:r>
      <w:r w:rsidR="00483500" w:rsidRPr="00F3533F">
        <w:rPr>
          <w:rStyle w:val="Strong"/>
          <w:rFonts w:ascii="Times New Roman" w:hAnsi="Times New Roman" w:cs="Times New Roman"/>
          <w:b w:val="0"/>
          <w:sz w:val="24"/>
          <w:szCs w:val="24"/>
          <w:lang w:val="en-GB"/>
        </w:rPr>
        <w:t>s</w:t>
      </w:r>
      <w:r w:rsidRPr="00F3533F">
        <w:rPr>
          <w:rStyle w:val="Strong"/>
          <w:rFonts w:ascii="Times New Roman" w:hAnsi="Times New Roman" w:cs="Times New Roman"/>
          <w:sz w:val="24"/>
          <w:szCs w:val="24"/>
          <w:lang w:val="en-GB"/>
        </w:rPr>
        <w:t xml:space="preserve"> </w:t>
      </w:r>
      <w:r w:rsidRPr="00F3533F">
        <w:rPr>
          <w:rFonts w:ascii="Times New Roman" w:hAnsi="Times New Roman" w:cs="Times New Roman"/>
          <w:sz w:val="24"/>
          <w:szCs w:val="24"/>
          <w:lang w:val="en-GB"/>
        </w:rPr>
        <w:t>should be</w:t>
      </w:r>
      <w:r w:rsidR="00483500" w:rsidRPr="00F3533F">
        <w:rPr>
          <w:rFonts w:ascii="Times New Roman" w:hAnsi="Times New Roman" w:cs="Times New Roman"/>
          <w:sz w:val="24"/>
          <w:szCs w:val="24"/>
          <w:lang w:val="en-GB"/>
        </w:rPr>
        <w:t xml:space="preserve"> </w:t>
      </w:r>
      <w:r w:rsidRPr="00F3533F">
        <w:rPr>
          <w:rFonts w:ascii="Times New Roman" w:hAnsi="Times New Roman" w:cs="Times New Roman"/>
          <w:sz w:val="24"/>
          <w:szCs w:val="24"/>
          <w:lang w:val="en-GB"/>
        </w:rPr>
        <w:t>provided, coupled with</w:t>
      </w:r>
      <w:r w:rsidR="00483500" w:rsidRPr="00F3533F">
        <w:rPr>
          <w:rFonts w:ascii="Times New Roman" w:hAnsi="Times New Roman" w:cs="Times New Roman"/>
          <w:sz w:val="24"/>
          <w:szCs w:val="24"/>
          <w:lang w:val="en-GB"/>
        </w:rPr>
        <w:t xml:space="preserve"> vocational training, social suppor</w:t>
      </w:r>
      <w:r w:rsidRPr="00F3533F">
        <w:rPr>
          <w:rFonts w:ascii="Times New Roman" w:hAnsi="Times New Roman" w:cs="Times New Roman"/>
          <w:sz w:val="24"/>
          <w:szCs w:val="24"/>
          <w:lang w:val="en-GB"/>
        </w:rPr>
        <w:t>t, and safety awareness programmes, which should go a long way in mitigating GBV</w:t>
      </w:r>
      <w:r w:rsidR="00483500" w:rsidRPr="00F3533F">
        <w:rPr>
          <w:rFonts w:ascii="Times New Roman" w:hAnsi="Times New Roman" w:cs="Times New Roman"/>
          <w:sz w:val="24"/>
          <w:szCs w:val="24"/>
          <w:lang w:val="en-GB"/>
        </w:rPr>
        <w:t>.</w:t>
      </w:r>
    </w:p>
    <w:p w:rsidR="00483500" w:rsidRPr="00F3533F" w:rsidRDefault="003C0310" w:rsidP="004C37E7">
      <w:pPr>
        <w:pStyle w:val="NoSpacing"/>
        <w:spacing w:line="480" w:lineRule="auto"/>
        <w:ind w:firstLine="720"/>
        <w:jc w:val="both"/>
        <w:rPr>
          <w:rFonts w:ascii="Times New Roman" w:hAnsi="Times New Roman" w:cs="Times New Roman"/>
          <w:sz w:val="24"/>
          <w:szCs w:val="24"/>
          <w:lang w:val="en-GB"/>
        </w:rPr>
      </w:pPr>
      <w:r w:rsidRPr="00F3533F">
        <w:rPr>
          <w:rStyle w:val="Strong"/>
          <w:rFonts w:ascii="Times New Roman" w:hAnsi="Times New Roman" w:cs="Times New Roman"/>
          <w:b w:val="0"/>
          <w:sz w:val="24"/>
          <w:szCs w:val="24"/>
          <w:lang w:val="en-GB"/>
        </w:rPr>
        <w:t>Enhanced security m</w:t>
      </w:r>
      <w:r w:rsidR="00483500" w:rsidRPr="00F3533F">
        <w:rPr>
          <w:rStyle w:val="Strong"/>
          <w:rFonts w:ascii="Times New Roman" w:hAnsi="Times New Roman" w:cs="Times New Roman"/>
          <w:b w:val="0"/>
          <w:sz w:val="24"/>
          <w:szCs w:val="24"/>
          <w:lang w:val="en-GB"/>
        </w:rPr>
        <w:t>easures</w:t>
      </w:r>
      <w:r w:rsidR="00483500" w:rsidRPr="00F3533F">
        <w:rPr>
          <w:rFonts w:ascii="Times New Roman" w:hAnsi="Times New Roman" w:cs="Times New Roman"/>
          <w:b/>
          <w:sz w:val="24"/>
          <w:szCs w:val="24"/>
          <w:lang w:val="en-GB"/>
        </w:rPr>
        <w:t xml:space="preserve"> </w:t>
      </w:r>
      <w:r w:rsidRPr="00F3533F">
        <w:rPr>
          <w:rFonts w:ascii="Times New Roman" w:hAnsi="Times New Roman" w:cs="Times New Roman"/>
          <w:sz w:val="24"/>
          <w:szCs w:val="24"/>
          <w:lang w:val="en-GB"/>
        </w:rPr>
        <w:t xml:space="preserve">should also be put in place. </w:t>
      </w:r>
      <w:r w:rsidR="00483500" w:rsidRPr="00F3533F">
        <w:rPr>
          <w:rFonts w:ascii="Times New Roman" w:hAnsi="Times New Roman" w:cs="Times New Roman"/>
          <w:sz w:val="24"/>
          <w:szCs w:val="24"/>
          <w:lang w:val="en-GB"/>
        </w:rPr>
        <w:t>Policies should mandate regular patrols, resident-led safety committees, and accessible reporting mechanisms for GBV incidents.</w:t>
      </w:r>
    </w:p>
    <w:p w:rsidR="00483500" w:rsidRPr="00F3533F" w:rsidRDefault="003C0310" w:rsidP="004C37E7">
      <w:pPr>
        <w:pStyle w:val="NoSpacing"/>
        <w:spacing w:line="480" w:lineRule="auto"/>
        <w:ind w:firstLine="720"/>
        <w:jc w:val="both"/>
        <w:rPr>
          <w:rFonts w:ascii="Times New Roman" w:hAnsi="Times New Roman" w:cs="Times New Roman"/>
          <w:sz w:val="24"/>
          <w:szCs w:val="24"/>
          <w:lang w:val="en-GB"/>
        </w:rPr>
      </w:pPr>
      <w:r w:rsidRPr="00F3533F">
        <w:rPr>
          <w:rStyle w:val="Strong"/>
          <w:rFonts w:ascii="Times New Roman" w:hAnsi="Times New Roman" w:cs="Times New Roman"/>
          <w:b w:val="0"/>
          <w:sz w:val="24"/>
          <w:szCs w:val="24"/>
          <w:lang w:val="en-GB"/>
        </w:rPr>
        <w:lastRenderedPageBreak/>
        <w:t>Holistic support s</w:t>
      </w:r>
      <w:r w:rsidR="00483500" w:rsidRPr="00F3533F">
        <w:rPr>
          <w:rStyle w:val="Strong"/>
          <w:rFonts w:ascii="Times New Roman" w:hAnsi="Times New Roman" w:cs="Times New Roman"/>
          <w:b w:val="0"/>
          <w:sz w:val="24"/>
          <w:szCs w:val="24"/>
          <w:lang w:val="en-GB"/>
        </w:rPr>
        <w:t>ervices</w:t>
      </w:r>
      <w:r w:rsidRPr="00F3533F">
        <w:rPr>
          <w:rFonts w:ascii="Times New Roman" w:hAnsi="Times New Roman" w:cs="Times New Roman"/>
          <w:sz w:val="24"/>
          <w:szCs w:val="24"/>
          <w:lang w:val="en-GB"/>
        </w:rPr>
        <w:t xml:space="preserve"> are also necessary, if GBV is to be curtailed. Providing</w:t>
      </w:r>
      <w:r w:rsidR="00A7752E" w:rsidRPr="00F3533F">
        <w:rPr>
          <w:rFonts w:ascii="Times New Roman" w:hAnsi="Times New Roman" w:cs="Times New Roman"/>
          <w:sz w:val="24"/>
          <w:szCs w:val="24"/>
          <w:lang w:val="en-GB"/>
        </w:rPr>
        <w:t xml:space="preserve"> mental health, legal</w:t>
      </w:r>
      <w:r w:rsidR="00483500" w:rsidRPr="00F3533F">
        <w:rPr>
          <w:rFonts w:ascii="Times New Roman" w:hAnsi="Times New Roman" w:cs="Times New Roman"/>
          <w:sz w:val="24"/>
          <w:szCs w:val="24"/>
          <w:lang w:val="en-GB"/>
        </w:rPr>
        <w:t xml:space="preserve"> and social support services within camps to address the broader needs </w:t>
      </w:r>
      <w:r w:rsidR="00A7752E" w:rsidRPr="00F3533F">
        <w:rPr>
          <w:rFonts w:ascii="Times New Roman" w:hAnsi="Times New Roman" w:cs="Times New Roman"/>
          <w:sz w:val="24"/>
          <w:szCs w:val="24"/>
          <w:lang w:val="en-GB"/>
        </w:rPr>
        <w:t>affecting well-being and safety can really impact positively on GBV.</w:t>
      </w:r>
    </w:p>
    <w:p w:rsidR="00042474" w:rsidRPr="00F3533F" w:rsidRDefault="00042474"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NGOs should work to eliminate GBV by improving camp safety, providing education and mental health support, and raising awareness to foster a culture of respect and protection for vulnerable individuals.</w:t>
      </w:r>
    </w:p>
    <w:p w:rsidR="008C23B0" w:rsidRPr="00F3533F" w:rsidRDefault="00042474"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The above</w:t>
      </w:r>
      <w:r w:rsidR="00483500" w:rsidRPr="00F3533F">
        <w:rPr>
          <w:rFonts w:ascii="Times New Roman" w:hAnsi="Times New Roman" w:cs="Times New Roman"/>
          <w:sz w:val="24"/>
          <w:szCs w:val="24"/>
          <w:lang w:val="en-GB"/>
        </w:rPr>
        <w:t xml:space="preserve"> recommendations could significantly impact </w:t>
      </w:r>
      <w:r w:rsidR="00A7752E" w:rsidRPr="00F3533F">
        <w:rPr>
          <w:rFonts w:ascii="Times New Roman" w:hAnsi="Times New Roman" w:cs="Times New Roman"/>
          <w:sz w:val="24"/>
          <w:szCs w:val="24"/>
          <w:lang w:val="en-GB"/>
        </w:rPr>
        <w:t xml:space="preserve">the </w:t>
      </w:r>
      <w:r w:rsidR="00483500" w:rsidRPr="00F3533F">
        <w:rPr>
          <w:rFonts w:ascii="Times New Roman" w:hAnsi="Times New Roman" w:cs="Times New Roman"/>
          <w:sz w:val="24"/>
          <w:szCs w:val="24"/>
          <w:lang w:val="en-GB"/>
        </w:rPr>
        <w:t>social well-being and safety in IDP camps, creating an environment that supports resilience and reduces GBV risks</w:t>
      </w:r>
      <w:r w:rsidRPr="00F3533F">
        <w:rPr>
          <w:rFonts w:ascii="Times New Roman" w:hAnsi="Times New Roman" w:cs="Times New Roman"/>
          <w:sz w:val="24"/>
          <w:szCs w:val="24"/>
          <w:lang w:val="en-GB"/>
        </w:rPr>
        <w:t>.</w:t>
      </w:r>
    </w:p>
    <w:p w:rsidR="00483500" w:rsidRPr="00F3533F" w:rsidRDefault="00042474" w:rsidP="004C37E7">
      <w:pPr>
        <w:pStyle w:val="NoSpacing"/>
        <w:spacing w:line="480" w:lineRule="auto"/>
        <w:ind w:firstLine="720"/>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t xml:space="preserve">The findings suggest avenues for further research, such as investigating the roles of social support and access to mental health services, to develop more comprehensive interventions addressing GBV and social well-being among IDPs. Therefore, </w:t>
      </w:r>
      <w:r w:rsidRPr="00F3533F">
        <w:rPr>
          <w:rStyle w:val="Strong"/>
          <w:rFonts w:ascii="Times New Roman" w:hAnsi="Times New Roman" w:cs="Times New Roman"/>
          <w:b w:val="0"/>
          <w:sz w:val="24"/>
          <w:szCs w:val="24"/>
          <w:lang w:val="en-GB"/>
        </w:rPr>
        <w:t>w</w:t>
      </w:r>
      <w:r w:rsidR="008C23B0" w:rsidRPr="00F3533F">
        <w:rPr>
          <w:rStyle w:val="Strong"/>
          <w:rFonts w:ascii="Times New Roman" w:hAnsi="Times New Roman" w:cs="Times New Roman"/>
          <w:b w:val="0"/>
          <w:sz w:val="24"/>
          <w:szCs w:val="24"/>
          <w:lang w:val="en-GB"/>
        </w:rPr>
        <w:t>e suggest for further research studies, one: “</w:t>
      </w:r>
      <w:r w:rsidRPr="00F3533F">
        <w:rPr>
          <w:rFonts w:ascii="Times New Roman" w:hAnsi="Times New Roman" w:cs="Times New Roman"/>
          <w:sz w:val="24"/>
          <w:szCs w:val="24"/>
          <w:lang w:val="en-GB"/>
        </w:rPr>
        <w:t xml:space="preserve">An Investigation into the </w:t>
      </w:r>
      <w:r w:rsidR="00DD0EBE" w:rsidRPr="00F3533F">
        <w:rPr>
          <w:rFonts w:ascii="Times New Roman" w:hAnsi="Times New Roman" w:cs="Times New Roman"/>
          <w:sz w:val="24"/>
          <w:szCs w:val="24"/>
          <w:lang w:val="en-GB"/>
        </w:rPr>
        <w:t xml:space="preserve">Roles </w:t>
      </w:r>
      <w:r w:rsidRPr="00F3533F">
        <w:rPr>
          <w:rFonts w:ascii="Times New Roman" w:hAnsi="Times New Roman" w:cs="Times New Roman"/>
          <w:sz w:val="24"/>
          <w:szCs w:val="24"/>
          <w:lang w:val="en-GB"/>
        </w:rPr>
        <w:t xml:space="preserve">of </w:t>
      </w:r>
      <w:r w:rsidR="00DD0EBE" w:rsidRPr="00F3533F">
        <w:rPr>
          <w:rFonts w:ascii="Times New Roman" w:hAnsi="Times New Roman" w:cs="Times New Roman"/>
          <w:sz w:val="24"/>
          <w:szCs w:val="24"/>
          <w:lang w:val="en-GB"/>
        </w:rPr>
        <w:t xml:space="preserve">Social Support </w:t>
      </w:r>
      <w:r w:rsidRPr="00F3533F">
        <w:rPr>
          <w:rFonts w:ascii="Times New Roman" w:hAnsi="Times New Roman" w:cs="Times New Roman"/>
          <w:sz w:val="24"/>
          <w:szCs w:val="24"/>
          <w:lang w:val="en-GB"/>
        </w:rPr>
        <w:t xml:space="preserve">and </w:t>
      </w:r>
      <w:r w:rsidR="00DD0EBE" w:rsidRPr="00F3533F">
        <w:rPr>
          <w:rFonts w:ascii="Times New Roman" w:hAnsi="Times New Roman" w:cs="Times New Roman"/>
          <w:sz w:val="24"/>
          <w:szCs w:val="24"/>
          <w:lang w:val="en-GB"/>
        </w:rPr>
        <w:t xml:space="preserve">Access </w:t>
      </w:r>
      <w:r w:rsidRPr="00F3533F">
        <w:rPr>
          <w:rFonts w:ascii="Times New Roman" w:hAnsi="Times New Roman" w:cs="Times New Roman"/>
          <w:sz w:val="24"/>
          <w:szCs w:val="24"/>
          <w:lang w:val="en-GB"/>
        </w:rPr>
        <w:t xml:space="preserve">to </w:t>
      </w:r>
      <w:r w:rsidR="00DD0EBE" w:rsidRPr="00F3533F">
        <w:rPr>
          <w:rFonts w:ascii="Times New Roman" w:hAnsi="Times New Roman" w:cs="Times New Roman"/>
          <w:sz w:val="24"/>
          <w:szCs w:val="24"/>
          <w:lang w:val="en-GB"/>
        </w:rPr>
        <w:t>Mental Health Services in</w:t>
      </w:r>
      <w:r w:rsidRPr="00F3533F">
        <w:rPr>
          <w:rFonts w:ascii="Times New Roman" w:hAnsi="Times New Roman" w:cs="Times New Roman"/>
          <w:sz w:val="24"/>
          <w:szCs w:val="24"/>
          <w:lang w:val="en-GB"/>
        </w:rPr>
        <w:t xml:space="preserve"> </w:t>
      </w:r>
      <w:r w:rsidR="00DD0EBE" w:rsidRPr="00F3533F">
        <w:rPr>
          <w:rFonts w:ascii="Times New Roman" w:hAnsi="Times New Roman" w:cs="Times New Roman"/>
          <w:sz w:val="24"/>
          <w:szCs w:val="24"/>
          <w:lang w:val="en-GB"/>
        </w:rPr>
        <w:t xml:space="preserve">Developing More Comprehensive Interventions for Addressing </w:t>
      </w:r>
      <w:r w:rsidRPr="00F3533F">
        <w:rPr>
          <w:rFonts w:ascii="Times New Roman" w:hAnsi="Times New Roman" w:cs="Times New Roman"/>
          <w:sz w:val="24"/>
          <w:szCs w:val="24"/>
          <w:lang w:val="en-GB"/>
        </w:rPr>
        <w:t xml:space="preserve">GBV and </w:t>
      </w:r>
      <w:r w:rsidR="00DD0EBE" w:rsidRPr="00F3533F">
        <w:rPr>
          <w:rFonts w:ascii="Times New Roman" w:hAnsi="Times New Roman" w:cs="Times New Roman"/>
          <w:sz w:val="24"/>
          <w:szCs w:val="24"/>
          <w:lang w:val="en-GB"/>
        </w:rPr>
        <w:t>Social Well</w:t>
      </w:r>
      <w:r w:rsidRPr="00F3533F">
        <w:rPr>
          <w:rFonts w:ascii="Times New Roman" w:hAnsi="Times New Roman" w:cs="Times New Roman"/>
          <w:sz w:val="24"/>
          <w:szCs w:val="24"/>
          <w:lang w:val="en-GB"/>
        </w:rPr>
        <w:t xml:space="preserve">-being </w:t>
      </w:r>
      <w:r w:rsidR="00DD0EBE" w:rsidRPr="00F3533F">
        <w:rPr>
          <w:rFonts w:ascii="Times New Roman" w:hAnsi="Times New Roman" w:cs="Times New Roman"/>
          <w:sz w:val="24"/>
          <w:szCs w:val="24"/>
          <w:lang w:val="en-GB"/>
        </w:rPr>
        <w:t xml:space="preserve">Among </w:t>
      </w:r>
      <w:r w:rsidRPr="00F3533F">
        <w:rPr>
          <w:rFonts w:ascii="Times New Roman" w:hAnsi="Times New Roman" w:cs="Times New Roman"/>
          <w:sz w:val="24"/>
          <w:szCs w:val="24"/>
          <w:lang w:val="en-GB"/>
        </w:rPr>
        <w:t>IDPs</w:t>
      </w:r>
      <w:r w:rsidR="008C23B0" w:rsidRPr="00F3533F">
        <w:rPr>
          <w:rStyle w:val="Strong"/>
          <w:rFonts w:ascii="Times New Roman" w:hAnsi="Times New Roman" w:cs="Times New Roman"/>
          <w:b w:val="0"/>
          <w:sz w:val="24"/>
          <w:szCs w:val="24"/>
          <w:lang w:val="en-GB"/>
        </w:rPr>
        <w:t>”</w:t>
      </w:r>
      <w:r w:rsidR="008C23B0" w:rsidRPr="00F3533F">
        <w:rPr>
          <w:rFonts w:ascii="Times New Roman" w:hAnsi="Times New Roman" w:cs="Times New Roman"/>
          <w:sz w:val="24"/>
          <w:szCs w:val="24"/>
          <w:lang w:val="en-GB"/>
        </w:rPr>
        <w:t>, and, finally:</w:t>
      </w:r>
      <w:r w:rsidR="008C23B0" w:rsidRPr="00F3533F">
        <w:rPr>
          <w:rStyle w:val="Heading1Char"/>
          <w:rFonts w:ascii="Times New Roman" w:hAnsi="Times New Roman" w:cs="Times New Roman"/>
          <w:sz w:val="24"/>
          <w:szCs w:val="24"/>
          <w:lang w:val="en-GB"/>
        </w:rPr>
        <w:t xml:space="preserve"> </w:t>
      </w:r>
      <w:r w:rsidR="008C23B0" w:rsidRPr="00F3533F">
        <w:rPr>
          <w:rStyle w:val="Strong"/>
          <w:rFonts w:ascii="Times New Roman" w:hAnsi="Times New Roman" w:cs="Times New Roman"/>
          <w:b w:val="0"/>
          <w:sz w:val="24"/>
          <w:szCs w:val="24"/>
          <w:lang w:val="en-GB"/>
        </w:rPr>
        <w:t>“Cultural Barriers to Reporting GBV”</w:t>
      </w:r>
      <w:r w:rsidR="008C23B0" w:rsidRPr="00F3533F">
        <w:rPr>
          <w:rFonts w:ascii="Times New Roman" w:hAnsi="Times New Roman" w:cs="Times New Roman"/>
          <w:sz w:val="24"/>
          <w:szCs w:val="24"/>
          <w:lang w:val="en-GB"/>
        </w:rPr>
        <w:t>, which should explore cultural factors that prevent women from seeking help or reporting GBV incidents.</w:t>
      </w:r>
    </w:p>
    <w:p w:rsidR="008C23B0" w:rsidRPr="00F3533F" w:rsidRDefault="008C23B0" w:rsidP="004C37E7">
      <w:pPr>
        <w:pStyle w:val="NoSpacing"/>
        <w:spacing w:line="480" w:lineRule="auto"/>
        <w:ind w:firstLine="720"/>
        <w:jc w:val="both"/>
        <w:rPr>
          <w:rFonts w:ascii="Times New Roman" w:hAnsi="Times New Roman" w:cs="Times New Roman"/>
          <w:sz w:val="24"/>
          <w:szCs w:val="24"/>
          <w:lang w:val="en-GB"/>
        </w:rPr>
      </w:pPr>
    </w:p>
    <w:p w:rsidR="00432F35" w:rsidRPr="00F3533F" w:rsidRDefault="00432F35" w:rsidP="004C37E7">
      <w:pPr>
        <w:pStyle w:val="NoSpacing"/>
        <w:spacing w:line="480" w:lineRule="auto"/>
        <w:jc w:val="both"/>
        <w:rPr>
          <w:rFonts w:ascii="Times New Roman" w:hAnsi="Times New Roman" w:cs="Times New Roman"/>
          <w:sz w:val="24"/>
          <w:szCs w:val="24"/>
          <w:lang w:val="en-GB"/>
        </w:rPr>
      </w:pPr>
    </w:p>
    <w:p w:rsidR="00432F35" w:rsidRPr="00F3533F" w:rsidRDefault="00432F35" w:rsidP="004C37E7">
      <w:pPr>
        <w:pStyle w:val="NoSpacing"/>
        <w:spacing w:line="480" w:lineRule="auto"/>
        <w:jc w:val="both"/>
        <w:rPr>
          <w:rFonts w:ascii="Times New Roman" w:hAnsi="Times New Roman" w:cs="Times New Roman"/>
          <w:sz w:val="24"/>
          <w:szCs w:val="24"/>
          <w:lang w:val="en-GB"/>
        </w:rPr>
      </w:pPr>
    </w:p>
    <w:p w:rsidR="00432F35" w:rsidRPr="00F3533F" w:rsidRDefault="00432F35" w:rsidP="004C37E7">
      <w:pPr>
        <w:pStyle w:val="NoSpacing"/>
        <w:spacing w:line="480" w:lineRule="auto"/>
        <w:jc w:val="both"/>
        <w:rPr>
          <w:rFonts w:ascii="Times New Roman" w:hAnsi="Times New Roman" w:cs="Times New Roman"/>
          <w:sz w:val="24"/>
          <w:szCs w:val="24"/>
          <w:lang w:val="en-GB"/>
        </w:rPr>
      </w:pPr>
      <w:r w:rsidRPr="00F3533F">
        <w:rPr>
          <w:rFonts w:ascii="Times New Roman" w:hAnsi="Times New Roman" w:cs="Times New Roman"/>
          <w:sz w:val="24"/>
          <w:szCs w:val="24"/>
          <w:lang w:val="en-GB"/>
        </w:rPr>
        <w:br/>
      </w:r>
    </w:p>
    <w:p w:rsidR="00432F35" w:rsidRPr="00F3533F" w:rsidRDefault="00432F35" w:rsidP="004C37E7">
      <w:pPr>
        <w:pStyle w:val="NoSpacing"/>
        <w:spacing w:line="480" w:lineRule="auto"/>
        <w:jc w:val="both"/>
        <w:rPr>
          <w:rFonts w:ascii="Times New Roman" w:hAnsi="Times New Roman" w:cs="Times New Roman"/>
          <w:b/>
          <w:sz w:val="24"/>
          <w:szCs w:val="24"/>
          <w:lang w:val="en-GB"/>
        </w:rPr>
      </w:pPr>
    </w:p>
    <w:p w:rsidR="00747DD3" w:rsidRPr="00F3533F" w:rsidRDefault="00747DD3" w:rsidP="004C37E7">
      <w:pPr>
        <w:pStyle w:val="NoSpacing"/>
        <w:spacing w:line="480" w:lineRule="auto"/>
        <w:jc w:val="both"/>
        <w:rPr>
          <w:rFonts w:ascii="Times New Roman" w:hAnsi="Times New Roman" w:cs="Times New Roman"/>
          <w:b/>
          <w:sz w:val="24"/>
          <w:szCs w:val="24"/>
          <w:lang w:val="en-GB"/>
        </w:rPr>
      </w:pPr>
    </w:p>
    <w:p w:rsidR="00747DD3" w:rsidRPr="00F3533F" w:rsidRDefault="00747DD3" w:rsidP="004C37E7">
      <w:pPr>
        <w:pStyle w:val="NoSpacing"/>
        <w:spacing w:line="480" w:lineRule="auto"/>
        <w:jc w:val="both"/>
        <w:rPr>
          <w:rFonts w:ascii="Times New Roman" w:hAnsi="Times New Roman" w:cs="Times New Roman"/>
          <w:b/>
          <w:sz w:val="24"/>
          <w:szCs w:val="24"/>
          <w:lang w:val="en-GB"/>
        </w:rPr>
      </w:pPr>
    </w:p>
    <w:p w:rsidR="00747DD3" w:rsidRPr="00F3533F" w:rsidRDefault="00747DD3" w:rsidP="00D13A45">
      <w:pPr>
        <w:pStyle w:val="NoSpacing"/>
        <w:jc w:val="both"/>
        <w:rPr>
          <w:rFonts w:ascii="Times New Roman" w:hAnsi="Times New Roman" w:cs="Times New Roman"/>
          <w:b/>
          <w:sz w:val="24"/>
          <w:szCs w:val="24"/>
          <w:lang w:val="en-GB"/>
        </w:rPr>
      </w:pPr>
    </w:p>
    <w:p w:rsidR="00F3533F" w:rsidRPr="00F3533F" w:rsidRDefault="00F3533F" w:rsidP="004C37E7">
      <w:pPr>
        <w:pStyle w:val="NoSpacing"/>
        <w:spacing w:line="276" w:lineRule="auto"/>
        <w:jc w:val="both"/>
        <w:rPr>
          <w:rFonts w:ascii="Times New Roman" w:eastAsia="Times New Roman" w:hAnsi="Times New Roman" w:cs="Times New Roman"/>
          <w:b/>
          <w:bCs/>
          <w:sz w:val="24"/>
          <w:szCs w:val="24"/>
          <w:lang w:val="en-GB"/>
        </w:rPr>
      </w:pPr>
      <w:r w:rsidRPr="00F3533F">
        <w:rPr>
          <w:rFonts w:ascii="Times New Roman" w:eastAsia="Times New Roman" w:hAnsi="Times New Roman" w:cs="Times New Roman"/>
          <w:b/>
          <w:bCs/>
          <w:sz w:val="24"/>
          <w:szCs w:val="24"/>
          <w:lang w:val="en-GB"/>
        </w:rPr>
        <w:lastRenderedPageBreak/>
        <w:t>REFERENCES</w:t>
      </w:r>
    </w:p>
    <w:p w:rsidR="00F3533F" w:rsidRPr="00F3533F" w:rsidRDefault="00F3533F" w:rsidP="004C37E7">
      <w:pPr>
        <w:pStyle w:val="NormalWeb"/>
        <w:spacing w:line="276" w:lineRule="auto"/>
        <w:ind w:left="720" w:hanging="720"/>
        <w:jc w:val="both"/>
        <w:rPr>
          <w:color w:val="000000" w:themeColor="text1"/>
        </w:rPr>
      </w:pPr>
      <w:proofErr w:type="gramStart"/>
      <w:r w:rsidRPr="00F3533F">
        <w:rPr>
          <w:color w:val="000000" w:themeColor="text1"/>
        </w:rPr>
        <w:t>Al-</w:t>
      </w:r>
      <w:proofErr w:type="spellStart"/>
      <w:r w:rsidRPr="00F3533F">
        <w:rPr>
          <w:color w:val="000000" w:themeColor="text1"/>
        </w:rPr>
        <w:t>Hanawi</w:t>
      </w:r>
      <w:proofErr w:type="spellEnd"/>
      <w:r w:rsidRPr="00F3533F">
        <w:rPr>
          <w:color w:val="000000" w:themeColor="text1"/>
        </w:rPr>
        <w:t xml:space="preserve">, M. K., </w:t>
      </w:r>
      <w:proofErr w:type="spellStart"/>
      <w:r w:rsidRPr="00F3533F">
        <w:rPr>
          <w:color w:val="000000" w:themeColor="text1"/>
        </w:rPr>
        <w:t>Alsharif</w:t>
      </w:r>
      <w:proofErr w:type="spellEnd"/>
      <w:r w:rsidRPr="00F3533F">
        <w:rPr>
          <w:color w:val="000000" w:themeColor="text1"/>
        </w:rPr>
        <w:t xml:space="preserve">, N. Z., &amp; </w:t>
      </w:r>
      <w:proofErr w:type="spellStart"/>
      <w:r w:rsidRPr="00F3533F">
        <w:rPr>
          <w:color w:val="000000" w:themeColor="text1"/>
        </w:rPr>
        <w:t>Alghamdi</w:t>
      </w:r>
      <w:proofErr w:type="spellEnd"/>
      <w:r w:rsidRPr="00F3533F">
        <w:rPr>
          <w:color w:val="000000" w:themeColor="text1"/>
        </w:rPr>
        <w:t>, M. A. (2021).</w:t>
      </w:r>
      <w:proofErr w:type="gramEnd"/>
      <w:r w:rsidRPr="00F3533F">
        <w:rPr>
          <w:color w:val="000000" w:themeColor="text1"/>
        </w:rPr>
        <w:t xml:space="preserve"> The impact of education on gender-based violence in humanitarian settings: A systematic review. </w:t>
      </w:r>
      <w:proofErr w:type="gramStart"/>
      <w:r w:rsidRPr="00F3533F">
        <w:rPr>
          <w:rStyle w:val="Emphasis"/>
          <w:rFonts w:eastAsia="Calibri"/>
          <w:color w:val="000000" w:themeColor="text1"/>
        </w:rPr>
        <w:t>Journal of Global Health, 11</w:t>
      </w:r>
      <w:r w:rsidRPr="00F3533F">
        <w:rPr>
          <w:color w:val="000000" w:themeColor="text1"/>
        </w:rPr>
        <w:t>, 05008.</w:t>
      </w:r>
      <w:proofErr w:type="gramEnd"/>
      <w:r w:rsidRPr="00F3533F">
        <w:rPr>
          <w:color w:val="000000" w:themeColor="text1"/>
        </w:rPr>
        <w:t xml:space="preserve"> </w:t>
      </w:r>
      <w:hyperlink r:id="rId8" w:tgtFrame="_new" w:history="1">
        <w:r w:rsidRPr="00B05393">
          <w:rPr>
            <w:rStyle w:val="Hyperlink"/>
            <w:rFonts w:eastAsia="Calibri"/>
            <w:color w:val="000000" w:themeColor="text1"/>
            <w:u w:val="none"/>
          </w:rPr>
          <w:t>https://doi.org/10.7189/jogh.11.05008</w:t>
        </w:r>
      </w:hyperlink>
    </w:p>
    <w:p w:rsidR="00F3533F" w:rsidRPr="00B05393" w:rsidRDefault="00F3533F" w:rsidP="004C37E7">
      <w:pPr>
        <w:pStyle w:val="NormalWeb"/>
        <w:spacing w:line="276" w:lineRule="auto"/>
        <w:ind w:left="720" w:hanging="720"/>
        <w:jc w:val="both"/>
        <w:rPr>
          <w:color w:val="000000" w:themeColor="text1"/>
        </w:rPr>
      </w:pPr>
      <w:proofErr w:type="spellStart"/>
      <w:proofErr w:type="gramStart"/>
      <w:r w:rsidRPr="00F3533F">
        <w:rPr>
          <w:color w:val="000000" w:themeColor="text1"/>
        </w:rPr>
        <w:t>Mastrorillo</w:t>
      </w:r>
      <w:proofErr w:type="spellEnd"/>
      <w:r w:rsidRPr="00F3533F">
        <w:rPr>
          <w:color w:val="000000" w:themeColor="text1"/>
        </w:rPr>
        <w:t>, M., Davis, M., &amp; Liu, X. (2016).</w:t>
      </w:r>
      <w:proofErr w:type="gramEnd"/>
      <w:r w:rsidRPr="00F3533F">
        <w:rPr>
          <w:color w:val="000000" w:themeColor="text1"/>
        </w:rPr>
        <w:t xml:space="preserve"> </w:t>
      </w:r>
      <w:proofErr w:type="gramStart"/>
      <w:r w:rsidRPr="00F3533F">
        <w:rPr>
          <w:color w:val="000000" w:themeColor="text1"/>
        </w:rPr>
        <w:t>The effects of social environment on gender-based violence in displacement settings.</w:t>
      </w:r>
      <w:proofErr w:type="gramEnd"/>
      <w:r w:rsidRPr="00F3533F">
        <w:rPr>
          <w:color w:val="000000" w:themeColor="text1"/>
        </w:rPr>
        <w:t xml:space="preserve"> </w:t>
      </w:r>
      <w:r w:rsidRPr="00F3533F">
        <w:rPr>
          <w:rStyle w:val="Emphasis"/>
          <w:rFonts w:eastAsia="Calibri"/>
          <w:color w:val="000000" w:themeColor="text1"/>
        </w:rPr>
        <w:t>International Journal of Refugee Law, 28</w:t>
      </w:r>
      <w:r w:rsidRPr="00F3533F">
        <w:rPr>
          <w:color w:val="000000" w:themeColor="text1"/>
        </w:rPr>
        <w:t xml:space="preserve">(4), 625-641. </w:t>
      </w:r>
      <w:hyperlink r:id="rId9" w:tgtFrame="_new" w:history="1">
        <w:r w:rsidRPr="00B05393">
          <w:rPr>
            <w:rStyle w:val="Hyperlink"/>
            <w:rFonts w:eastAsia="Calibri"/>
            <w:color w:val="000000" w:themeColor="text1"/>
            <w:u w:val="none"/>
          </w:rPr>
          <w:t>https://doi.org/10.1093/ijrl/eew048</w:t>
        </w:r>
      </w:hyperlink>
    </w:p>
    <w:p w:rsidR="00F3533F" w:rsidRPr="00F3533F" w:rsidRDefault="00F3533F" w:rsidP="004C37E7">
      <w:pPr>
        <w:pStyle w:val="NormalWeb"/>
        <w:spacing w:line="276" w:lineRule="auto"/>
        <w:ind w:left="720" w:hanging="720"/>
        <w:jc w:val="both"/>
        <w:rPr>
          <w:color w:val="000000" w:themeColor="text1"/>
        </w:rPr>
      </w:pPr>
      <w:r w:rsidRPr="00F3533F">
        <w:rPr>
          <w:color w:val="000000" w:themeColor="text1"/>
        </w:rPr>
        <w:t xml:space="preserve">Merton, R. K. (1938). </w:t>
      </w:r>
      <w:proofErr w:type="gramStart"/>
      <w:r w:rsidRPr="00F3533F">
        <w:rPr>
          <w:color w:val="000000" w:themeColor="text1"/>
        </w:rPr>
        <w:t>Social structure and anomie.</w:t>
      </w:r>
      <w:proofErr w:type="gramEnd"/>
      <w:r w:rsidRPr="00F3533F">
        <w:rPr>
          <w:color w:val="000000" w:themeColor="text1"/>
        </w:rPr>
        <w:t xml:space="preserve"> </w:t>
      </w:r>
      <w:r w:rsidRPr="00F3533F">
        <w:rPr>
          <w:rStyle w:val="Emphasis"/>
          <w:rFonts w:eastAsia="Calibri"/>
          <w:color w:val="000000" w:themeColor="text1"/>
        </w:rPr>
        <w:t>American Sociological Review, 3</w:t>
      </w:r>
      <w:r w:rsidRPr="00F3533F">
        <w:rPr>
          <w:color w:val="000000" w:themeColor="text1"/>
        </w:rPr>
        <w:t xml:space="preserve">(5), 672-682. </w:t>
      </w:r>
      <w:hyperlink r:id="rId10" w:tgtFrame="_new" w:history="1">
        <w:r w:rsidRPr="00B05393">
          <w:rPr>
            <w:rStyle w:val="Hyperlink"/>
            <w:rFonts w:eastAsia="Calibri"/>
            <w:color w:val="000000" w:themeColor="text1"/>
            <w:u w:val="none"/>
          </w:rPr>
          <w:t>https://doi.org/10.2307/2084686</w:t>
        </w:r>
      </w:hyperlink>
    </w:p>
    <w:p w:rsidR="00F3533F" w:rsidRPr="00F3533F" w:rsidRDefault="00F3533F" w:rsidP="004C37E7">
      <w:pPr>
        <w:pStyle w:val="NormalWeb"/>
        <w:spacing w:line="276" w:lineRule="auto"/>
        <w:ind w:left="720" w:hanging="720"/>
        <w:jc w:val="both"/>
        <w:rPr>
          <w:color w:val="000000" w:themeColor="text1"/>
        </w:rPr>
      </w:pPr>
      <w:proofErr w:type="gramStart"/>
      <w:r w:rsidRPr="00F3533F">
        <w:rPr>
          <w:color w:val="000000" w:themeColor="text1"/>
        </w:rPr>
        <w:t xml:space="preserve">Miller, K. E., </w:t>
      </w:r>
      <w:proofErr w:type="spellStart"/>
      <w:r w:rsidRPr="00F3533F">
        <w:rPr>
          <w:color w:val="000000" w:themeColor="text1"/>
        </w:rPr>
        <w:t>Khosla</w:t>
      </w:r>
      <w:proofErr w:type="spellEnd"/>
      <w:r w:rsidRPr="00F3533F">
        <w:rPr>
          <w:color w:val="000000" w:themeColor="text1"/>
        </w:rPr>
        <w:t xml:space="preserve">, N., &amp; </w:t>
      </w:r>
      <w:proofErr w:type="spellStart"/>
      <w:r w:rsidRPr="00F3533F">
        <w:rPr>
          <w:color w:val="000000" w:themeColor="text1"/>
        </w:rPr>
        <w:t>Khawaja</w:t>
      </w:r>
      <w:proofErr w:type="spellEnd"/>
      <w:r w:rsidRPr="00F3533F">
        <w:rPr>
          <w:color w:val="000000" w:themeColor="text1"/>
        </w:rPr>
        <w:t>, M. (2019).</w:t>
      </w:r>
      <w:proofErr w:type="gramEnd"/>
      <w:r w:rsidRPr="00F3533F">
        <w:rPr>
          <w:color w:val="000000" w:themeColor="text1"/>
        </w:rPr>
        <w:t xml:space="preserve"> Education and empowerment: Examining the relationship between educational opportunities and gender-based violence among displaced populations. </w:t>
      </w:r>
      <w:proofErr w:type="gramStart"/>
      <w:r w:rsidRPr="00F3533F">
        <w:rPr>
          <w:rStyle w:val="Emphasis"/>
          <w:rFonts w:eastAsia="Calibri"/>
          <w:color w:val="000000" w:themeColor="text1"/>
        </w:rPr>
        <w:t>Forced Migration Review, 62</w:t>
      </w:r>
      <w:r w:rsidRPr="00F3533F">
        <w:rPr>
          <w:color w:val="000000" w:themeColor="text1"/>
        </w:rPr>
        <w:t>, 20-22.</w:t>
      </w:r>
      <w:proofErr w:type="gramEnd"/>
    </w:p>
    <w:p w:rsidR="00F3533F" w:rsidRPr="00F3533F" w:rsidRDefault="00F3533F" w:rsidP="004C37E7">
      <w:pPr>
        <w:pStyle w:val="NormalWeb"/>
        <w:spacing w:line="276" w:lineRule="auto"/>
        <w:ind w:left="720" w:hanging="720"/>
        <w:jc w:val="both"/>
        <w:rPr>
          <w:color w:val="000000" w:themeColor="text1"/>
        </w:rPr>
      </w:pPr>
      <w:proofErr w:type="gramStart"/>
      <w:r w:rsidRPr="00F3533F">
        <w:rPr>
          <w:color w:val="000000" w:themeColor="text1"/>
        </w:rPr>
        <w:t>Oxfam.</w:t>
      </w:r>
      <w:proofErr w:type="gramEnd"/>
      <w:r w:rsidRPr="00F3533F">
        <w:rPr>
          <w:color w:val="000000" w:themeColor="text1"/>
        </w:rPr>
        <w:t xml:space="preserve"> (2020). Gender-based violence in displacement: The role of the camp environment. </w:t>
      </w:r>
      <w:proofErr w:type="gramStart"/>
      <w:r w:rsidRPr="00F3533F">
        <w:rPr>
          <w:color w:val="000000" w:themeColor="text1"/>
        </w:rPr>
        <w:t>Oxfam International.</w:t>
      </w:r>
      <w:proofErr w:type="gramEnd"/>
      <w:r w:rsidRPr="00F3533F">
        <w:rPr>
          <w:color w:val="000000" w:themeColor="text1"/>
        </w:rPr>
        <w:t xml:space="preserve"> </w:t>
      </w:r>
      <w:hyperlink r:id="rId11" w:tgtFrame="_new" w:history="1">
        <w:r w:rsidRPr="00B05393">
          <w:rPr>
            <w:rStyle w:val="Hyperlink"/>
            <w:rFonts w:eastAsia="Calibri"/>
            <w:color w:val="000000" w:themeColor="text1"/>
            <w:u w:val="none"/>
          </w:rPr>
          <w:t>https://oxfam.org/gender-based-violence-displacement</w:t>
        </w:r>
      </w:hyperlink>
    </w:p>
    <w:p w:rsidR="00F3533F" w:rsidRPr="00103498" w:rsidRDefault="00F3533F" w:rsidP="004C37E7">
      <w:pPr>
        <w:pStyle w:val="NormalWeb"/>
        <w:spacing w:line="276" w:lineRule="auto"/>
        <w:ind w:left="720" w:hanging="720"/>
        <w:jc w:val="both"/>
        <w:rPr>
          <w:color w:val="000000" w:themeColor="text1"/>
        </w:rPr>
      </w:pPr>
      <w:proofErr w:type="gramStart"/>
      <w:r w:rsidRPr="00F3533F">
        <w:rPr>
          <w:color w:val="000000" w:themeColor="text1"/>
        </w:rPr>
        <w:t xml:space="preserve">Rogers, D., Wright, R., &amp; </w:t>
      </w:r>
      <w:proofErr w:type="spellStart"/>
      <w:r w:rsidRPr="00F3533F">
        <w:rPr>
          <w:color w:val="000000" w:themeColor="text1"/>
        </w:rPr>
        <w:t>Kakar</w:t>
      </w:r>
      <w:proofErr w:type="spellEnd"/>
      <w:r w:rsidRPr="00F3533F">
        <w:rPr>
          <w:color w:val="000000" w:themeColor="text1"/>
        </w:rPr>
        <w:t>, F. (2022).</w:t>
      </w:r>
      <w:proofErr w:type="gramEnd"/>
      <w:r w:rsidRPr="00F3533F">
        <w:rPr>
          <w:color w:val="000000" w:themeColor="text1"/>
        </w:rPr>
        <w:t xml:space="preserve"> Social cohesion and psychological well-being in IDP camps: Insights from recent research. </w:t>
      </w:r>
      <w:r w:rsidRPr="00F3533F">
        <w:rPr>
          <w:rStyle w:val="Emphasis"/>
          <w:rFonts w:eastAsia="Calibri"/>
          <w:color w:val="000000" w:themeColor="text1"/>
        </w:rPr>
        <w:t>Journal of Refugee Studies, 35</w:t>
      </w:r>
      <w:r w:rsidRPr="00F3533F">
        <w:rPr>
          <w:color w:val="000000" w:themeColor="text1"/>
        </w:rPr>
        <w:t xml:space="preserve">(2), 405-423. </w:t>
      </w:r>
      <w:hyperlink r:id="rId12" w:tgtFrame="_new" w:history="1">
        <w:r w:rsidRPr="00103498">
          <w:rPr>
            <w:rStyle w:val="Hyperlink"/>
            <w:rFonts w:eastAsia="Calibri"/>
            <w:color w:val="000000" w:themeColor="text1"/>
            <w:u w:val="none"/>
          </w:rPr>
          <w:t>https://doi.org/10.1093/jrs/feaa092</w:t>
        </w:r>
      </w:hyperlink>
    </w:p>
    <w:p w:rsidR="00F3533F" w:rsidRPr="00103498" w:rsidRDefault="00F3533F" w:rsidP="004C37E7">
      <w:pPr>
        <w:pStyle w:val="NormalWeb"/>
        <w:spacing w:line="276" w:lineRule="auto"/>
        <w:ind w:left="720" w:hanging="720"/>
        <w:jc w:val="both"/>
        <w:rPr>
          <w:color w:val="000000" w:themeColor="text1"/>
        </w:rPr>
      </w:pPr>
      <w:proofErr w:type="spellStart"/>
      <w:proofErr w:type="gramStart"/>
      <w:r w:rsidRPr="00F3533F">
        <w:rPr>
          <w:color w:val="000000" w:themeColor="text1"/>
        </w:rPr>
        <w:t>Schwerdtle</w:t>
      </w:r>
      <w:proofErr w:type="spellEnd"/>
      <w:r w:rsidRPr="00F3533F">
        <w:rPr>
          <w:color w:val="000000" w:themeColor="text1"/>
        </w:rPr>
        <w:t xml:space="preserve">, P. N., </w:t>
      </w:r>
      <w:proofErr w:type="spellStart"/>
      <w:r w:rsidRPr="00F3533F">
        <w:rPr>
          <w:color w:val="000000" w:themeColor="text1"/>
        </w:rPr>
        <w:t>Fadnes</w:t>
      </w:r>
      <w:proofErr w:type="spellEnd"/>
      <w:r w:rsidRPr="00F3533F">
        <w:rPr>
          <w:color w:val="000000" w:themeColor="text1"/>
        </w:rPr>
        <w:t xml:space="preserve">, L. T., &amp; </w:t>
      </w:r>
      <w:proofErr w:type="spellStart"/>
      <w:r w:rsidRPr="00F3533F">
        <w:rPr>
          <w:color w:val="000000" w:themeColor="text1"/>
        </w:rPr>
        <w:t>Ørseth</w:t>
      </w:r>
      <w:proofErr w:type="spellEnd"/>
      <w:r w:rsidRPr="00F3533F">
        <w:rPr>
          <w:color w:val="000000" w:themeColor="text1"/>
        </w:rPr>
        <w:t>, A. (2018).</w:t>
      </w:r>
      <w:proofErr w:type="gramEnd"/>
      <w:r w:rsidRPr="00F3533F">
        <w:rPr>
          <w:color w:val="000000" w:themeColor="text1"/>
        </w:rPr>
        <w:t xml:space="preserve"> Gender-based violence and its determinants in conflict settings: A systematic review. </w:t>
      </w:r>
      <w:proofErr w:type="gramStart"/>
      <w:r w:rsidRPr="00F3533F">
        <w:rPr>
          <w:rStyle w:val="Emphasis"/>
          <w:rFonts w:eastAsia="Calibri"/>
          <w:color w:val="000000" w:themeColor="text1"/>
        </w:rPr>
        <w:t>BMC Public Health, 18</w:t>
      </w:r>
      <w:r w:rsidRPr="00F3533F">
        <w:rPr>
          <w:color w:val="000000" w:themeColor="text1"/>
        </w:rPr>
        <w:t>, 212.</w:t>
      </w:r>
      <w:proofErr w:type="gramEnd"/>
      <w:r w:rsidRPr="00F3533F">
        <w:rPr>
          <w:color w:val="000000" w:themeColor="text1"/>
        </w:rPr>
        <w:t xml:space="preserve"> </w:t>
      </w:r>
      <w:hyperlink r:id="rId13" w:tgtFrame="_new" w:history="1">
        <w:r w:rsidRPr="00103498">
          <w:rPr>
            <w:rStyle w:val="Hyperlink"/>
            <w:rFonts w:eastAsia="Calibri"/>
            <w:color w:val="000000" w:themeColor="text1"/>
            <w:u w:val="none"/>
          </w:rPr>
          <w:t>https://doi.org/10.1186/s12889-018-5084-3</w:t>
        </w:r>
      </w:hyperlink>
    </w:p>
    <w:p w:rsidR="00F3533F" w:rsidRPr="00F3533F" w:rsidRDefault="00F3533F" w:rsidP="004C37E7">
      <w:pPr>
        <w:pStyle w:val="NormalWeb"/>
        <w:spacing w:line="276" w:lineRule="auto"/>
        <w:ind w:left="720" w:hanging="720"/>
        <w:jc w:val="both"/>
        <w:rPr>
          <w:color w:val="000000" w:themeColor="text1"/>
        </w:rPr>
      </w:pPr>
      <w:proofErr w:type="gramStart"/>
      <w:r w:rsidRPr="00F3533F">
        <w:rPr>
          <w:color w:val="000000" w:themeColor="text1"/>
        </w:rPr>
        <w:t>Shaw, C. R., &amp; McKay, H. D. (1942).</w:t>
      </w:r>
      <w:proofErr w:type="gramEnd"/>
      <w:r w:rsidRPr="00F3533F">
        <w:rPr>
          <w:color w:val="000000" w:themeColor="text1"/>
        </w:rPr>
        <w:t xml:space="preserve"> </w:t>
      </w:r>
      <w:proofErr w:type="gramStart"/>
      <w:r w:rsidRPr="00F3533F">
        <w:rPr>
          <w:rStyle w:val="Emphasis"/>
          <w:rFonts w:eastAsia="Calibri"/>
          <w:color w:val="000000" w:themeColor="text1"/>
        </w:rPr>
        <w:t>Juvenile delinquency and urban areas</w:t>
      </w:r>
      <w:r w:rsidRPr="00F3533F">
        <w:rPr>
          <w:color w:val="000000" w:themeColor="text1"/>
        </w:rPr>
        <w:t>.</w:t>
      </w:r>
      <w:proofErr w:type="gramEnd"/>
      <w:r w:rsidRPr="00F3533F">
        <w:rPr>
          <w:color w:val="000000" w:themeColor="text1"/>
        </w:rPr>
        <w:t xml:space="preserve"> </w:t>
      </w:r>
      <w:proofErr w:type="gramStart"/>
      <w:r w:rsidRPr="00F3533F">
        <w:rPr>
          <w:color w:val="000000" w:themeColor="text1"/>
        </w:rPr>
        <w:t>University of Chicago Press.</w:t>
      </w:r>
      <w:proofErr w:type="gramEnd"/>
    </w:p>
    <w:p w:rsidR="00F3533F" w:rsidRPr="00F3533F" w:rsidRDefault="00F3533F" w:rsidP="004C37E7">
      <w:pPr>
        <w:pStyle w:val="NormalWeb"/>
        <w:spacing w:line="276" w:lineRule="auto"/>
        <w:ind w:left="720" w:hanging="720"/>
        <w:jc w:val="both"/>
        <w:rPr>
          <w:color w:val="000000" w:themeColor="text1"/>
        </w:rPr>
      </w:pPr>
      <w:proofErr w:type="spellStart"/>
      <w:proofErr w:type="gramStart"/>
      <w:r w:rsidRPr="00F3533F">
        <w:rPr>
          <w:color w:val="000000" w:themeColor="text1"/>
        </w:rPr>
        <w:t>Siddiqi</w:t>
      </w:r>
      <w:proofErr w:type="spellEnd"/>
      <w:r w:rsidRPr="00F3533F">
        <w:rPr>
          <w:color w:val="000000" w:themeColor="text1"/>
        </w:rPr>
        <w:t>, A., &amp; Jansen, H. (2020).</w:t>
      </w:r>
      <w:proofErr w:type="gramEnd"/>
      <w:r w:rsidRPr="00F3533F">
        <w:rPr>
          <w:color w:val="000000" w:themeColor="text1"/>
        </w:rPr>
        <w:t xml:space="preserve"> Camp environments and their impact on gender-based violence and social well-being: Evidence from humanitarian settings. </w:t>
      </w:r>
      <w:proofErr w:type="gramStart"/>
      <w:r w:rsidRPr="00F3533F">
        <w:rPr>
          <w:rStyle w:val="Emphasis"/>
          <w:rFonts w:eastAsia="Calibri"/>
          <w:color w:val="000000" w:themeColor="text1"/>
        </w:rPr>
        <w:t>Conflict and Health, 14</w:t>
      </w:r>
      <w:r w:rsidRPr="00F3533F">
        <w:rPr>
          <w:color w:val="000000" w:themeColor="text1"/>
        </w:rPr>
        <w:t>(1), 15.</w:t>
      </w:r>
      <w:proofErr w:type="gramEnd"/>
      <w:r w:rsidRPr="00F3533F">
        <w:rPr>
          <w:color w:val="000000" w:themeColor="text1"/>
        </w:rPr>
        <w:t xml:space="preserve"> </w:t>
      </w:r>
      <w:hyperlink r:id="rId14" w:tgtFrame="_new" w:history="1">
        <w:r w:rsidRPr="00103498">
          <w:rPr>
            <w:rStyle w:val="Hyperlink"/>
            <w:rFonts w:eastAsia="Calibri"/>
            <w:color w:val="000000" w:themeColor="text1"/>
            <w:u w:val="none"/>
          </w:rPr>
          <w:t>https://doi.org/10.1186/s13031-020-00266-7</w:t>
        </w:r>
      </w:hyperlink>
    </w:p>
    <w:p w:rsidR="00F3533F" w:rsidRPr="00F3533F" w:rsidRDefault="00F3533F" w:rsidP="004C37E7">
      <w:pPr>
        <w:pStyle w:val="NormalWeb"/>
        <w:spacing w:line="276" w:lineRule="auto"/>
        <w:ind w:left="720" w:hanging="720"/>
        <w:jc w:val="both"/>
        <w:rPr>
          <w:color w:val="000000" w:themeColor="text1"/>
        </w:rPr>
      </w:pPr>
      <w:proofErr w:type="gramStart"/>
      <w:r w:rsidRPr="00F3533F">
        <w:rPr>
          <w:color w:val="000000" w:themeColor="text1"/>
        </w:rPr>
        <w:t>UNHCR.</w:t>
      </w:r>
      <w:proofErr w:type="gramEnd"/>
      <w:r w:rsidRPr="00F3533F">
        <w:rPr>
          <w:color w:val="000000" w:themeColor="text1"/>
        </w:rPr>
        <w:t xml:space="preserve"> </w:t>
      </w:r>
      <w:proofErr w:type="gramStart"/>
      <w:r w:rsidRPr="00F3533F">
        <w:rPr>
          <w:color w:val="000000" w:themeColor="text1"/>
        </w:rPr>
        <w:t>(2023). Cross River North Senatorial District IDP camp report.</w:t>
      </w:r>
      <w:proofErr w:type="gramEnd"/>
      <w:r w:rsidRPr="00F3533F">
        <w:rPr>
          <w:color w:val="000000" w:themeColor="text1"/>
        </w:rPr>
        <w:t xml:space="preserve"> </w:t>
      </w:r>
      <w:proofErr w:type="gramStart"/>
      <w:r w:rsidRPr="00F3533F">
        <w:rPr>
          <w:rStyle w:val="Emphasis"/>
          <w:rFonts w:eastAsia="Calibri"/>
          <w:color w:val="000000" w:themeColor="text1"/>
        </w:rPr>
        <w:t>United Nations High Commissioner for Refugees</w:t>
      </w:r>
      <w:r w:rsidRPr="00F3533F">
        <w:rPr>
          <w:color w:val="000000" w:themeColor="text1"/>
        </w:rPr>
        <w:t>.</w:t>
      </w:r>
      <w:proofErr w:type="gramEnd"/>
      <w:r w:rsidRPr="00F3533F">
        <w:rPr>
          <w:color w:val="000000" w:themeColor="text1"/>
        </w:rPr>
        <w:t xml:space="preserve"> </w:t>
      </w:r>
      <w:hyperlink r:id="rId15" w:tgtFrame="_new" w:history="1">
        <w:r w:rsidRPr="00103498">
          <w:rPr>
            <w:rStyle w:val="Hyperlink"/>
            <w:rFonts w:eastAsia="Calibri"/>
            <w:color w:val="000000" w:themeColor="text1"/>
            <w:u w:val="none"/>
          </w:rPr>
          <w:t>https://www.unhcr.org/cross-river-idp-report</w:t>
        </w:r>
      </w:hyperlink>
    </w:p>
    <w:p w:rsidR="00F3533F" w:rsidRPr="00F3533F" w:rsidRDefault="00F3533F" w:rsidP="004C37E7">
      <w:pPr>
        <w:pStyle w:val="NormalWeb"/>
        <w:spacing w:line="276" w:lineRule="auto"/>
        <w:ind w:left="720" w:hanging="720"/>
        <w:jc w:val="both"/>
        <w:rPr>
          <w:color w:val="000000" w:themeColor="text1"/>
        </w:rPr>
      </w:pPr>
      <w:proofErr w:type="gramStart"/>
      <w:r w:rsidRPr="00F3533F">
        <w:rPr>
          <w:color w:val="000000" w:themeColor="text1"/>
        </w:rPr>
        <w:t>UNICEF.</w:t>
      </w:r>
      <w:proofErr w:type="gramEnd"/>
      <w:r w:rsidRPr="00F3533F">
        <w:rPr>
          <w:color w:val="000000" w:themeColor="text1"/>
        </w:rPr>
        <w:t xml:space="preserve"> </w:t>
      </w:r>
      <w:proofErr w:type="gramStart"/>
      <w:r w:rsidRPr="00F3533F">
        <w:rPr>
          <w:color w:val="000000" w:themeColor="text1"/>
        </w:rPr>
        <w:t>(2021). Barriers to education for displaced children and youth.</w:t>
      </w:r>
      <w:proofErr w:type="gramEnd"/>
      <w:r w:rsidRPr="00F3533F">
        <w:rPr>
          <w:color w:val="000000" w:themeColor="text1"/>
        </w:rPr>
        <w:t xml:space="preserve"> </w:t>
      </w:r>
      <w:r w:rsidR="00B05393">
        <w:rPr>
          <w:rStyle w:val="Emphasis"/>
          <w:rFonts w:eastAsia="Calibri"/>
          <w:color w:val="000000" w:themeColor="text1"/>
        </w:rPr>
        <w:t>United Nations Children’</w:t>
      </w:r>
      <w:r w:rsidRPr="00F3533F">
        <w:rPr>
          <w:rStyle w:val="Emphasis"/>
          <w:rFonts w:eastAsia="Calibri"/>
          <w:color w:val="000000" w:themeColor="text1"/>
        </w:rPr>
        <w:t>s Fund</w:t>
      </w:r>
      <w:r w:rsidRPr="00F3533F">
        <w:rPr>
          <w:color w:val="000000" w:themeColor="text1"/>
        </w:rPr>
        <w:t xml:space="preserve">. </w:t>
      </w:r>
      <w:hyperlink r:id="rId16" w:tgtFrame="_new" w:history="1">
        <w:r w:rsidRPr="00103498">
          <w:rPr>
            <w:rStyle w:val="Hyperlink"/>
            <w:rFonts w:eastAsia="Calibri"/>
            <w:color w:val="000000" w:themeColor="text1"/>
            <w:u w:val="none"/>
          </w:rPr>
          <w:t>https://www.unicef.org/education-displaced-children</w:t>
        </w:r>
      </w:hyperlink>
    </w:p>
    <w:p w:rsidR="00F3533F" w:rsidRDefault="00F3533F" w:rsidP="004C37E7">
      <w:pPr>
        <w:pStyle w:val="NoSpacing"/>
        <w:spacing w:line="276" w:lineRule="auto"/>
        <w:jc w:val="both"/>
        <w:rPr>
          <w:rFonts w:ascii="Times New Roman" w:eastAsia="Times New Roman" w:hAnsi="Times New Roman" w:cs="Times New Roman"/>
          <w:b/>
          <w:bCs/>
          <w:sz w:val="24"/>
          <w:szCs w:val="24"/>
          <w:lang w:val="en-GB"/>
        </w:rPr>
      </w:pPr>
    </w:p>
    <w:p w:rsidR="00F3533F" w:rsidRDefault="00F3533F" w:rsidP="004C37E7">
      <w:pPr>
        <w:pStyle w:val="NoSpacing"/>
        <w:spacing w:line="276" w:lineRule="auto"/>
        <w:jc w:val="both"/>
        <w:rPr>
          <w:rFonts w:ascii="Times New Roman" w:eastAsia="Times New Roman" w:hAnsi="Times New Roman" w:cs="Times New Roman"/>
          <w:b/>
          <w:bCs/>
          <w:sz w:val="24"/>
          <w:szCs w:val="24"/>
          <w:lang w:val="en-GB"/>
        </w:rPr>
      </w:pPr>
    </w:p>
    <w:sectPr w:rsidR="00F3533F" w:rsidSect="00E86703">
      <w:pgSz w:w="12240" w:h="15840"/>
      <w:pgMar w:top="126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92CBA52">
      <w:start w:val="1"/>
      <w:numFmt w:val="bullet"/>
      <w:lvlText w:val=""/>
      <w:lvlJc w:val="left"/>
      <w:pPr>
        <w:ind w:left="720" w:hanging="360"/>
      </w:pPr>
      <w:rPr>
        <w:rFonts w:ascii="Symbol" w:hAnsi="Symbol"/>
      </w:rPr>
    </w:lvl>
    <w:lvl w:ilvl="1" w:tplc="9634CB68">
      <w:start w:val="1"/>
      <w:numFmt w:val="bullet"/>
      <w:lvlText w:val="o"/>
      <w:lvlJc w:val="left"/>
      <w:pPr>
        <w:ind w:left="1440" w:hanging="360"/>
      </w:pPr>
      <w:rPr>
        <w:rFonts w:ascii="Courier New" w:hAnsi="Courier New"/>
      </w:rPr>
    </w:lvl>
    <w:lvl w:ilvl="2" w:tplc="F92000A2">
      <w:start w:val="1"/>
      <w:numFmt w:val="bullet"/>
      <w:lvlText w:val=""/>
      <w:lvlJc w:val="left"/>
      <w:pPr>
        <w:tabs>
          <w:tab w:val="num" w:pos="2160"/>
        </w:tabs>
        <w:ind w:left="2160" w:hanging="360"/>
      </w:pPr>
      <w:rPr>
        <w:rFonts w:ascii="Wingdings" w:hAnsi="Wingdings"/>
      </w:rPr>
    </w:lvl>
    <w:lvl w:ilvl="3" w:tplc="B5C4C4CE">
      <w:start w:val="1"/>
      <w:numFmt w:val="bullet"/>
      <w:lvlText w:val=""/>
      <w:lvlJc w:val="left"/>
      <w:pPr>
        <w:tabs>
          <w:tab w:val="num" w:pos="2880"/>
        </w:tabs>
        <w:ind w:left="2880" w:hanging="360"/>
      </w:pPr>
      <w:rPr>
        <w:rFonts w:ascii="Symbol" w:hAnsi="Symbol"/>
      </w:rPr>
    </w:lvl>
    <w:lvl w:ilvl="4" w:tplc="A428299E">
      <w:start w:val="1"/>
      <w:numFmt w:val="bullet"/>
      <w:lvlText w:val="o"/>
      <w:lvlJc w:val="left"/>
      <w:pPr>
        <w:tabs>
          <w:tab w:val="num" w:pos="3600"/>
        </w:tabs>
        <w:ind w:left="3600" w:hanging="360"/>
      </w:pPr>
      <w:rPr>
        <w:rFonts w:ascii="Courier New" w:hAnsi="Courier New"/>
      </w:rPr>
    </w:lvl>
    <w:lvl w:ilvl="5" w:tplc="1222F16C">
      <w:start w:val="1"/>
      <w:numFmt w:val="bullet"/>
      <w:lvlText w:val=""/>
      <w:lvlJc w:val="left"/>
      <w:pPr>
        <w:tabs>
          <w:tab w:val="num" w:pos="4320"/>
        </w:tabs>
        <w:ind w:left="4320" w:hanging="360"/>
      </w:pPr>
      <w:rPr>
        <w:rFonts w:ascii="Wingdings" w:hAnsi="Wingdings"/>
      </w:rPr>
    </w:lvl>
    <w:lvl w:ilvl="6" w:tplc="68E0F272">
      <w:start w:val="1"/>
      <w:numFmt w:val="bullet"/>
      <w:lvlText w:val=""/>
      <w:lvlJc w:val="left"/>
      <w:pPr>
        <w:tabs>
          <w:tab w:val="num" w:pos="5040"/>
        </w:tabs>
        <w:ind w:left="5040" w:hanging="360"/>
      </w:pPr>
      <w:rPr>
        <w:rFonts w:ascii="Symbol" w:hAnsi="Symbol"/>
      </w:rPr>
    </w:lvl>
    <w:lvl w:ilvl="7" w:tplc="B1022A0E">
      <w:start w:val="1"/>
      <w:numFmt w:val="bullet"/>
      <w:lvlText w:val="o"/>
      <w:lvlJc w:val="left"/>
      <w:pPr>
        <w:tabs>
          <w:tab w:val="num" w:pos="5760"/>
        </w:tabs>
        <w:ind w:left="5760" w:hanging="360"/>
      </w:pPr>
      <w:rPr>
        <w:rFonts w:ascii="Courier New" w:hAnsi="Courier New"/>
      </w:rPr>
    </w:lvl>
    <w:lvl w:ilvl="8" w:tplc="C310BD66">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37007E8A">
      <w:start w:val="1"/>
      <w:numFmt w:val="bullet"/>
      <w:lvlText w:val=""/>
      <w:lvlJc w:val="left"/>
      <w:pPr>
        <w:ind w:left="720" w:hanging="360"/>
      </w:pPr>
      <w:rPr>
        <w:rFonts w:ascii="Symbol" w:hAnsi="Symbol"/>
      </w:rPr>
    </w:lvl>
    <w:lvl w:ilvl="1" w:tplc="E2DCBCE4">
      <w:start w:val="1"/>
      <w:numFmt w:val="bullet"/>
      <w:lvlText w:val="o"/>
      <w:lvlJc w:val="left"/>
      <w:pPr>
        <w:ind w:left="1440" w:hanging="360"/>
      </w:pPr>
      <w:rPr>
        <w:rFonts w:ascii="Courier New" w:hAnsi="Courier New"/>
      </w:rPr>
    </w:lvl>
    <w:lvl w:ilvl="2" w:tplc="EDBCC772">
      <w:start w:val="1"/>
      <w:numFmt w:val="bullet"/>
      <w:lvlText w:val=""/>
      <w:lvlJc w:val="left"/>
      <w:pPr>
        <w:tabs>
          <w:tab w:val="num" w:pos="2160"/>
        </w:tabs>
        <w:ind w:left="2160" w:hanging="360"/>
      </w:pPr>
      <w:rPr>
        <w:rFonts w:ascii="Wingdings" w:hAnsi="Wingdings"/>
      </w:rPr>
    </w:lvl>
    <w:lvl w:ilvl="3" w:tplc="F8021DC4">
      <w:start w:val="1"/>
      <w:numFmt w:val="bullet"/>
      <w:lvlText w:val=""/>
      <w:lvlJc w:val="left"/>
      <w:pPr>
        <w:tabs>
          <w:tab w:val="num" w:pos="2880"/>
        </w:tabs>
        <w:ind w:left="2880" w:hanging="360"/>
      </w:pPr>
      <w:rPr>
        <w:rFonts w:ascii="Symbol" w:hAnsi="Symbol"/>
      </w:rPr>
    </w:lvl>
    <w:lvl w:ilvl="4" w:tplc="68DAECCC">
      <w:start w:val="1"/>
      <w:numFmt w:val="bullet"/>
      <w:lvlText w:val="o"/>
      <w:lvlJc w:val="left"/>
      <w:pPr>
        <w:tabs>
          <w:tab w:val="num" w:pos="3600"/>
        </w:tabs>
        <w:ind w:left="3600" w:hanging="360"/>
      </w:pPr>
      <w:rPr>
        <w:rFonts w:ascii="Courier New" w:hAnsi="Courier New"/>
      </w:rPr>
    </w:lvl>
    <w:lvl w:ilvl="5" w:tplc="DC3445E4">
      <w:start w:val="1"/>
      <w:numFmt w:val="bullet"/>
      <w:lvlText w:val=""/>
      <w:lvlJc w:val="left"/>
      <w:pPr>
        <w:tabs>
          <w:tab w:val="num" w:pos="4320"/>
        </w:tabs>
        <w:ind w:left="4320" w:hanging="360"/>
      </w:pPr>
      <w:rPr>
        <w:rFonts w:ascii="Wingdings" w:hAnsi="Wingdings"/>
      </w:rPr>
    </w:lvl>
    <w:lvl w:ilvl="6" w:tplc="BCF48B8A">
      <w:start w:val="1"/>
      <w:numFmt w:val="bullet"/>
      <w:lvlText w:val=""/>
      <w:lvlJc w:val="left"/>
      <w:pPr>
        <w:tabs>
          <w:tab w:val="num" w:pos="5040"/>
        </w:tabs>
        <w:ind w:left="5040" w:hanging="360"/>
      </w:pPr>
      <w:rPr>
        <w:rFonts w:ascii="Symbol" w:hAnsi="Symbol"/>
      </w:rPr>
    </w:lvl>
    <w:lvl w:ilvl="7" w:tplc="CF941A20">
      <w:start w:val="1"/>
      <w:numFmt w:val="bullet"/>
      <w:lvlText w:val="o"/>
      <w:lvlJc w:val="left"/>
      <w:pPr>
        <w:tabs>
          <w:tab w:val="num" w:pos="5760"/>
        </w:tabs>
        <w:ind w:left="5760" w:hanging="360"/>
      </w:pPr>
      <w:rPr>
        <w:rFonts w:ascii="Courier New" w:hAnsi="Courier New"/>
      </w:rPr>
    </w:lvl>
    <w:lvl w:ilvl="8" w:tplc="9E768A9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8CAE89BC">
      <w:start w:val="1"/>
      <w:numFmt w:val="bullet"/>
      <w:lvlText w:val=""/>
      <w:lvlJc w:val="left"/>
      <w:pPr>
        <w:ind w:left="720" w:hanging="360"/>
      </w:pPr>
      <w:rPr>
        <w:rFonts w:ascii="Symbol" w:hAnsi="Symbol"/>
      </w:rPr>
    </w:lvl>
    <w:lvl w:ilvl="1" w:tplc="88606980">
      <w:start w:val="1"/>
      <w:numFmt w:val="bullet"/>
      <w:lvlText w:val="o"/>
      <w:lvlJc w:val="left"/>
      <w:pPr>
        <w:tabs>
          <w:tab w:val="num" w:pos="1440"/>
        </w:tabs>
        <w:ind w:left="1440" w:hanging="360"/>
      </w:pPr>
      <w:rPr>
        <w:rFonts w:ascii="Courier New" w:hAnsi="Courier New"/>
      </w:rPr>
    </w:lvl>
    <w:lvl w:ilvl="2" w:tplc="AE8CCBDE">
      <w:start w:val="1"/>
      <w:numFmt w:val="bullet"/>
      <w:lvlText w:val=""/>
      <w:lvlJc w:val="left"/>
      <w:pPr>
        <w:tabs>
          <w:tab w:val="num" w:pos="2160"/>
        </w:tabs>
        <w:ind w:left="2160" w:hanging="360"/>
      </w:pPr>
      <w:rPr>
        <w:rFonts w:ascii="Wingdings" w:hAnsi="Wingdings"/>
      </w:rPr>
    </w:lvl>
    <w:lvl w:ilvl="3" w:tplc="7BCEEDD8">
      <w:start w:val="1"/>
      <w:numFmt w:val="bullet"/>
      <w:lvlText w:val=""/>
      <w:lvlJc w:val="left"/>
      <w:pPr>
        <w:tabs>
          <w:tab w:val="num" w:pos="2880"/>
        </w:tabs>
        <w:ind w:left="2880" w:hanging="360"/>
      </w:pPr>
      <w:rPr>
        <w:rFonts w:ascii="Symbol" w:hAnsi="Symbol"/>
      </w:rPr>
    </w:lvl>
    <w:lvl w:ilvl="4" w:tplc="3DC61E98">
      <w:start w:val="1"/>
      <w:numFmt w:val="bullet"/>
      <w:lvlText w:val="o"/>
      <w:lvlJc w:val="left"/>
      <w:pPr>
        <w:tabs>
          <w:tab w:val="num" w:pos="3600"/>
        </w:tabs>
        <w:ind w:left="3600" w:hanging="360"/>
      </w:pPr>
      <w:rPr>
        <w:rFonts w:ascii="Courier New" w:hAnsi="Courier New"/>
      </w:rPr>
    </w:lvl>
    <w:lvl w:ilvl="5" w:tplc="302690D8">
      <w:start w:val="1"/>
      <w:numFmt w:val="bullet"/>
      <w:lvlText w:val=""/>
      <w:lvlJc w:val="left"/>
      <w:pPr>
        <w:tabs>
          <w:tab w:val="num" w:pos="4320"/>
        </w:tabs>
        <w:ind w:left="4320" w:hanging="360"/>
      </w:pPr>
      <w:rPr>
        <w:rFonts w:ascii="Wingdings" w:hAnsi="Wingdings"/>
      </w:rPr>
    </w:lvl>
    <w:lvl w:ilvl="6" w:tplc="45ECE77E">
      <w:start w:val="1"/>
      <w:numFmt w:val="bullet"/>
      <w:lvlText w:val=""/>
      <w:lvlJc w:val="left"/>
      <w:pPr>
        <w:tabs>
          <w:tab w:val="num" w:pos="5040"/>
        </w:tabs>
        <w:ind w:left="5040" w:hanging="360"/>
      </w:pPr>
      <w:rPr>
        <w:rFonts w:ascii="Symbol" w:hAnsi="Symbol"/>
      </w:rPr>
    </w:lvl>
    <w:lvl w:ilvl="7" w:tplc="7E700928">
      <w:start w:val="1"/>
      <w:numFmt w:val="bullet"/>
      <w:lvlText w:val="o"/>
      <w:lvlJc w:val="left"/>
      <w:pPr>
        <w:tabs>
          <w:tab w:val="num" w:pos="5760"/>
        </w:tabs>
        <w:ind w:left="5760" w:hanging="360"/>
      </w:pPr>
      <w:rPr>
        <w:rFonts w:ascii="Courier New" w:hAnsi="Courier New"/>
      </w:rPr>
    </w:lvl>
    <w:lvl w:ilvl="8" w:tplc="A844D892">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C018D99C">
      <w:start w:val="1"/>
      <w:numFmt w:val="bullet"/>
      <w:lvlText w:val=""/>
      <w:lvlJc w:val="left"/>
      <w:pPr>
        <w:ind w:left="720" w:hanging="360"/>
      </w:pPr>
      <w:rPr>
        <w:rFonts w:ascii="Symbol" w:hAnsi="Symbol"/>
      </w:rPr>
    </w:lvl>
    <w:lvl w:ilvl="1" w:tplc="F09C20A4">
      <w:start w:val="1"/>
      <w:numFmt w:val="bullet"/>
      <w:lvlText w:val="o"/>
      <w:lvlJc w:val="left"/>
      <w:pPr>
        <w:tabs>
          <w:tab w:val="num" w:pos="1440"/>
        </w:tabs>
        <w:ind w:left="1440" w:hanging="360"/>
      </w:pPr>
      <w:rPr>
        <w:rFonts w:ascii="Courier New" w:hAnsi="Courier New"/>
      </w:rPr>
    </w:lvl>
    <w:lvl w:ilvl="2" w:tplc="991EB712">
      <w:start w:val="1"/>
      <w:numFmt w:val="bullet"/>
      <w:lvlText w:val=""/>
      <w:lvlJc w:val="left"/>
      <w:pPr>
        <w:tabs>
          <w:tab w:val="num" w:pos="2160"/>
        </w:tabs>
        <w:ind w:left="2160" w:hanging="360"/>
      </w:pPr>
      <w:rPr>
        <w:rFonts w:ascii="Wingdings" w:hAnsi="Wingdings"/>
      </w:rPr>
    </w:lvl>
    <w:lvl w:ilvl="3" w:tplc="D03C4458">
      <w:start w:val="1"/>
      <w:numFmt w:val="bullet"/>
      <w:lvlText w:val=""/>
      <w:lvlJc w:val="left"/>
      <w:pPr>
        <w:tabs>
          <w:tab w:val="num" w:pos="2880"/>
        </w:tabs>
        <w:ind w:left="2880" w:hanging="360"/>
      </w:pPr>
      <w:rPr>
        <w:rFonts w:ascii="Symbol" w:hAnsi="Symbol"/>
      </w:rPr>
    </w:lvl>
    <w:lvl w:ilvl="4" w:tplc="4B0EA4F6">
      <w:start w:val="1"/>
      <w:numFmt w:val="bullet"/>
      <w:lvlText w:val="o"/>
      <w:lvlJc w:val="left"/>
      <w:pPr>
        <w:tabs>
          <w:tab w:val="num" w:pos="3600"/>
        </w:tabs>
        <w:ind w:left="3600" w:hanging="360"/>
      </w:pPr>
      <w:rPr>
        <w:rFonts w:ascii="Courier New" w:hAnsi="Courier New"/>
      </w:rPr>
    </w:lvl>
    <w:lvl w:ilvl="5" w:tplc="FC9C7308">
      <w:start w:val="1"/>
      <w:numFmt w:val="bullet"/>
      <w:lvlText w:val=""/>
      <w:lvlJc w:val="left"/>
      <w:pPr>
        <w:tabs>
          <w:tab w:val="num" w:pos="4320"/>
        </w:tabs>
        <w:ind w:left="4320" w:hanging="360"/>
      </w:pPr>
      <w:rPr>
        <w:rFonts w:ascii="Wingdings" w:hAnsi="Wingdings"/>
      </w:rPr>
    </w:lvl>
    <w:lvl w:ilvl="6" w:tplc="62ACCC26">
      <w:start w:val="1"/>
      <w:numFmt w:val="bullet"/>
      <w:lvlText w:val=""/>
      <w:lvlJc w:val="left"/>
      <w:pPr>
        <w:tabs>
          <w:tab w:val="num" w:pos="5040"/>
        </w:tabs>
        <w:ind w:left="5040" w:hanging="360"/>
      </w:pPr>
      <w:rPr>
        <w:rFonts w:ascii="Symbol" w:hAnsi="Symbol"/>
      </w:rPr>
    </w:lvl>
    <w:lvl w:ilvl="7" w:tplc="4372E65E">
      <w:start w:val="1"/>
      <w:numFmt w:val="bullet"/>
      <w:lvlText w:val="o"/>
      <w:lvlJc w:val="left"/>
      <w:pPr>
        <w:tabs>
          <w:tab w:val="num" w:pos="5760"/>
        </w:tabs>
        <w:ind w:left="5760" w:hanging="360"/>
      </w:pPr>
      <w:rPr>
        <w:rFonts w:ascii="Courier New" w:hAnsi="Courier New"/>
      </w:rPr>
    </w:lvl>
    <w:lvl w:ilvl="8" w:tplc="659A4E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DE10A54E">
      <w:start w:val="1"/>
      <w:numFmt w:val="bullet"/>
      <w:lvlText w:val=""/>
      <w:lvlJc w:val="left"/>
      <w:pPr>
        <w:ind w:left="720" w:hanging="360"/>
      </w:pPr>
      <w:rPr>
        <w:rFonts w:ascii="Symbol" w:hAnsi="Symbol"/>
      </w:rPr>
    </w:lvl>
    <w:lvl w:ilvl="1" w:tplc="1B74B1B4">
      <w:start w:val="1"/>
      <w:numFmt w:val="bullet"/>
      <w:lvlText w:val="o"/>
      <w:lvlJc w:val="left"/>
      <w:pPr>
        <w:tabs>
          <w:tab w:val="num" w:pos="1440"/>
        </w:tabs>
        <w:ind w:left="1440" w:hanging="360"/>
      </w:pPr>
      <w:rPr>
        <w:rFonts w:ascii="Courier New" w:hAnsi="Courier New"/>
      </w:rPr>
    </w:lvl>
    <w:lvl w:ilvl="2" w:tplc="C342724E">
      <w:start w:val="1"/>
      <w:numFmt w:val="bullet"/>
      <w:lvlText w:val=""/>
      <w:lvlJc w:val="left"/>
      <w:pPr>
        <w:tabs>
          <w:tab w:val="num" w:pos="2160"/>
        </w:tabs>
        <w:ind w:left="2160" w:hanging="360"/>
      </w:pPr>
      <w:rPr>
        <w:rFonts w:ascii="Wingdings" w:hAnsi="Wingdings"/>
      </w:rPr>
    </w:lvl>
    <w:lvl w:ilvl="3" w:tplc="94BA3A92">
      <w:start w:val="1"/>
      <w:numFmt w:val="bullet"/>
      <w:lvlText w:val=""/>
      <w:lvlJc w:val="left"/>
      <w:pPr>
        <w:tabs>
          <w:tab w:val="num" w:pos="2880"/>
        </w:tabs>
        <w:ind w:left="2880" w:hanging="360"/>
      </w:pPr>
      <w:rPr>
        <w:rFonts w:ascii="Symbol" w:hAnsi="Symbol"/>
      </w:rPr>
    </w:lvl>
    <w:lvl w:ilvl="4" w:tplc="501CB8CE">
      <w:start w:val="1"/>
      <w:numFmt w:val="bullet"/>
      <w:lvlText w:val="o"/>
      <w:lvlJc w:val="left"/>
      <w:pPr>
        <w:tabs>
          <w:tab w:val="num" w:pos="3600"/>
        </w:tabs>
        <w:ind w:left="3600" w:hanging="360"/>
      </w:pPr>
      <w:rPr>
        <w:rFonts w:ascii="Courier New" w:hAnsi="Courier New"/>
      </w:rPr>
    </w:lvl>
    <w:lvl w:ilvl="5" w:tplc="6B40CCF4">
      <w:start w:val="1"/>
      <w:numFmt w:val="bullet"/>
      <w:lvlText w:val=""/>
      <w:lvlJc w:val="left"/>
      <w:pPr>
        <w:tabs>
          <w:tab w:val="num" w:pos="4320"/>
        </w:tabs>
        <w:ind w:left="4320" w:hanging="360"/>
      </w:pPr>
      <w:rPr>
        <w:rFonts w:ascii="Wingdings" w:hAnsi="Wingdings"/>
      </w:rPr>
    </w:lvl>
    <w:lvl w:ilvl="6" w:tplc="54D4AC9A">
      <w:start w:val="1"/>
      <w:numFmt w:val="bullet"/>
      <w:lvlText w:val=""/>
      <w:lvlJc w:val="left"/>
      <w:pPr>
        <w:tabs>
          <w:tab w:val="num" w:pos="5040"/>
        </w:tabs>
        <w:ind w:left="5040" w:hanging="360"/>
      </w:pPr>
      <w:rPr>
        <w:rFonts w:ascii="Symbol" w:hAnsi="Symbol"/>
      </w:rPr>
    </w:lvl>
    <w:lvl w:ilvl="7" w:tplc="1CBCCB3A">
      <w:start w:val="1"/>
      <w:numFmt w:val="bullet"/>
      <w:lvlText w:val="o"/>
      <w:lvlJc w:val="left"/>
      <w:pPr>
        <w:tabs>
          <w:tab w:val="num" w:pos="5760"/>
        </w:tabs>
        <w:ind w:left="5760" w:hanging="360"/>
      </w:pPr>
      <w:rPr>
        <w:rFonts w:ascii="Courier New" w:hAnsi="Courier New"/>
      </w:rPr>
    </w:lvl>
    <w:lvl w:ilvl="8" w:tplc="20F25D40">
      <w:start w:val="1"/>
      <w:numFmt w:val="bullet"/>
      <w:lvlText w:val=""/>
      <w:lvlJc w:val="left"/>
      <w:pPr>
        <w:tabs>
          <w:tab w:val="num" w:pos="6480"/>
        </w:tabs>
        <w:ind w:left="6480" w:hanging="360"/>
      </w:pPr>
      <w:rPr>
        <w:rFonts w:ascii="Wingdings" w:hAnsi="Wingdings"/>
      </w:rPr>
    </w:lvl>
  </w:abstractNum>
  <w:abstractNum w:abstractNumId="5">
    <w:nsid w:val="2AFE0002"/>
    <w:multiLevelType w:val="hybridMultilevel"/>
    <w:tmpl w:val="C84E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60443"/>
    <w:multiLevelType w:val="multilevel"/>
    <w:tmpl w:val="66B81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F38B6"/>
    <w:multiLevelType w:val="multilevel"/>
    <w:tmpl w:val="D00A9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9A2778"/>
    <w:multiLevelType w:val="hybridMultilevel"/>
    <w:tmpl w:val="4F6C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14066"/>
    <w:multiLevelType w:val="multilevel"/>
    <w:tmpl w:val="A762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23074"/>
    <w:rsid w:val="0001762A"/>
    <w:rsid w:val="00042474"/>
    <w:rsid w:val="00103498"/>
    <w:rsid w:val="001C06DD"/>
    <w:rsid w:val="002354F6"/>
    <w:rsid w:val="00281B94"/>
    <w:rsid w:val="002917BD"/>
    <w:rsid w:val="002F3131"/>
    <w:rsid w:val="003C0310"/>
    <w:rsid w:val="00432F35"/>
    <w:rsid w:val="00453C67"/>
    <w:rsid w:val="00465973"/>
    <w:rsid w:val="0047241A"/>
    <w:rsid w:val="00481C7F"/>
    <w:rsid w:val="00482D83"/>
    <w:rsid w:val="00483500"/>
    <w:rsid w:val="004C37E7"/>
    <w:rsid w:val="004E6F67"/>
    <w:rsid w:val="00585CED"/>
    <w:rsid w:val="00586368"/>
    <w:rsid w:val="005A19E4"/>
    <w:rsid w:val="005B0EFF"/>
    <w:rsid w:val="005E765D"/>
    <w:rsid w:val="00623074"/>
    <w:rsid w:val="006762FC"/>
    <w:rsid w:val="006A6FB0"/>
    <w:rsid w:val="006D0224"/>
    <w:rsid w:val="006F0FD5"/>
    <w:rsid w:val="00747DD3"/>
    <w:rsid w:val="007B7DEB"/>
    <w:rsid w:val="007E3727"/>
    <w:rsid w:val="008A35EC"/>
    <w:rsid w:val="008B49B1"/>
    <w:rsid w:val="008C080F"/>
    <w:rsid w:val="008C23B0"/>
    <w:rsid w:val="009B3F52"/>
    <w:rsid w:val="009E3CDD"/>
    <w:rsid w:val="00A7752E"/>
    <w:rsid w:val="00B05393"/>
    <w:rsid w:val="00C07872"/>
    <w:rsid w:val="00CD203D"/>
    <w:rsid w:val="00CD7F51"/>
    <w:rsid w:val="00CF54CA"/>
    <w:rsid w:val="00CF7B75"/>
    <w:rsid w:val="00D13A45"/>
    <w:rsid w:val="00D3726F"/>
    <w:rsid w:val="00D46E9B"/>
    <w:rsid w:val="00D6798A"/>
    <w:rsid w:val="00D87596"/>
    <w:rsid w:val="00DA13FF"/>
    <w:rsid w:val="00DB40F8"/>
    <w:rsid w:val="00DD0EBE"/>
    <w:rsid w:val="00E133E7"/>
    <w:rsid w:val="00E86703"/>
    <w:rsid w:val="00EE6EAA"/>
    <w:rsid w:val="00F23477"/>
    <w:rsid w:val="00F3533F"/>
    <w:rsid w:val="00F978F2"/>
    <w:rsid w:val="00FD1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F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2F35"/>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432F35"/>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432F35"/>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432F35"/>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432F35"/>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432F35"/>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35"/>
    <w:rPr>
      <w:rFonts w:ascii="Calibri" w:eastAsia="Calibri" w:hAnsi="Calibri" w:cs="Calibri"/>
      <w:b/>
      <w:bCs/>
      <w:color w:val="2F5496"/>
      <w:kern w:val="36"/>
      <w:sz w:val="48"/>
      <w:szCs w:val="48"/>
    </w:rPr>
  </w:style>
  <w:style w:type="character" w:customStyle="1" w:styleId="Heading2Char">
    <w:name w:val="Heading 2 Char"/>
    <w:basedOn w:val="DefaultParagraphFont"/>
    <w:link w:val="Heading2"/>
    <w:uiPriority w:val="9"/>
    <w:rsid w:val="00432F35"/>
    <w:rPr>
      <w:rFonts w:ascii="Calibri" w:eastAsia="Calibri" w:hAnsi="Calibri" w:cs="Calibri"/>
      <w:b/>
      <w:bCs/>
      <w:color w:val="2F5496"/>
      <w:sz w:val="36"/>
      <w:szCs w:val="36"/>
    </w:rPr>
  </w:style>
  <w:style w:type="character" w:customStyle="1" w:styleId="Heading3Char">
    <w:name w:val="Heading 3 Char"/>
    <w:basedOn w:val="DefaultParagraphFont"/>
    <w:link w:val="Heading3"/>
    <w:uiPriority w:val="9"/>
    <w:rsid w:val="00432F35"/>
    <w:rPr>
      <w:rFonts w:ascii="Calibri" w:eastAsia="Calibri" w:hAnsi="Calibri" w:cs="Calibri"/>
      <w:b/>
      <w:bCs/>
      <w:color w:val="1F3763"/>
      <w:sz w:val="28"/>
      <w:szCs w:val="28"/>
    </w:rPr>
  </w:style>
  <w:style w:type="character" w:customStyle="1" w:styleId="Heading4Char">
    <w:name w:val="Heading 4 Char"/>
    <w:basedOn w:val="DefaultParagraphFont"/>
    <w:link w:val="Heading4"/>
    <w:uiPriority w:val="9"/>
    <w:rsid w:val="00432F35"/>
    <w:rPr>
      <w:rFonts w:ascii="Calibri" w:eastAsia="Calibri" w:hAnsi="Calibri" w:cs="Calibri"/>
      <w:b/>
      <w:bCs/>
      <w:iCs/>
      <w:color w:val="2F5496"/>
      <w:sz w:val="24"/>
      <w:szCs w:val="24"/>
    </w:rPr>
  </w:style>
  <w:style w:type="character" w:customStyle="1" w:styleId="Heading5Char">
    <w:name w:val="Heading 5 Char"/>
    <w:basedOn w:val="DefaultParagraphFont"/>
    <w:link w:val="Heading5"/>
    <w:uiPriority w:val="9"/>
    <w:rsid w:val="00432F35"/>
    <w:rPr>
      <w:rFonts w:ascii="Calibri" w:eastAsia="Calibri" w:hAnsi="Calibri" w:cs="Calibri"/>
      <w:b/>
      <w:bCs/>
      <w:color w:val="2F5496"/>
      <w:sz w:val="20"/>
      <w:szCs w:val="20"/>
    </w:rPr>
  </w:style>
  <w:style w:type="character" w:customStyle="1" w:styleId="Heading6Char">
    <w:name w:val="Heading 6 Char"/>
    <w:basedOn w:val="DefaultParagraphFont"/>
    <w:link w:val="Heading6"/>
    <w:uiPriority w:val="9"/>
    <w:rsid w:val="00432F35"/>
    <w:rPr>
      <w:rFonts w:ascii="Calibri" w:eastAsia="Calibri" w:hAnsi="Calibri" w:cs="Calibri"/>
      <w:b/>
      <w:bCs/>
      <w:color w:val="1F3763"/>
      <w:sz w:val="16"/>
      <w:szCs w:val="16"/>
    </w:rPr>
  </w:style>
  <w:style w:type="paragraph" w:styleId="NoSpacing">
    <w:name w:val="No Spacing"/>
    <w:link w:val="NoSpacingChar"/>
    <w:uiPriority w:val="1"/>
    <w:qFormat/>
    <w:rsid w:val="00623074"/>
    <w:pPr>
      <w:spacing w:after="0" w:line="240" w:lineRule="auto"/>
    </w:pPr>
  </w:style>
  <w:style w:type="character" w:customStyle="1" w:styleId="NoSpacingChar">
    <w:name w:val="No Spacing Char"/>
    <w:basedOn w:val="DefaultParagraphFont"/>
    <w:link w:val="NoSpacing"/>
    <w:uiPriority w:val="1"/>
    <w:qFormat/>
    <w:rsid w:val="00465973"/>
  </w:style>
  <w:style w:type="character" w:styleId="Strong">
    <w:name w:val="Strong"/>
    <w:basedOn w:val="DefaultParagraphFont"/>
    <w:uiPriority w:val="22"/>
    <w:qFormat/>
    <w:rsid w:val="00623074"/>
    <w:rPr>
      <w:b/>
      <w:bCs/>
    </w:rPr>
  </w:style>
  <w:style w:type="character" w:styleId="Emphasis">
    <w:name w:val="Emphasis"/>
    <w:basedOn w:val="DefaultParagraphFont"/>
    <w:uiPriority w:val="20"/>
    <w:qFormat/>
    <w:rsid w:val="00747DD3"/>
    <w:rPr>
      <w:i/>
      <w:iCs/>
    </w:rPr>
  </w:style>
  <w:style w:type="character" w:styleId="Hyperlink">
    <w:name w:val="Hyperlink"/>
    <w:basedOn w:val="DefaultParagraphFont"/>
    <w:uiPriority w:val="99"/>
    <w:unhideWhenUsed/>
    <w:rsid w:val="00747DD3"/>
    <w:rPr>
      <w:color w:val="0000FF"/>
      <w:u w:val="single"/>
    </w:rPr>
  </w:style>
  <w:style w:type="character" w:customStyle="1" w:styleId="katex">
    <w:name w:val="katex"/>
    <w:basedOn w:val="DefaultParagraphFont"/>
    <w:rsid w:val="00432F35"/>
  </w:style>
  <w:style w:type="character" w:customStyle="1" w:styleId="katex-mathml">
    <w:name w:val="katex-mathml"/>
    <w:basedOn w:val="DefaultParagraphFont"/>
    <w:rsid w:val="00432F35"/>
  </w:style>
  <w:style w:type="character" w:customStyle="1" w:styleId="mord">
    <w:name w:val="mord"/>
    <w:basedOn w:val="DefaultParagraphFont"/>
    <w:rsid w:val="00432F35"/>
  </w:style>
  <w:style w:type="character" w:customStyle="1" w:styleId="mordmathnormal">
    <w:name w:val="mord mathnormal"/>
    <w:basedOn w:val="DefaultParagraphFont"/>
    <w:rsid w:val="00432F35"/>
  </w:style>
  <w:style w:type="character" w:customStyle="1" w:styleId="vlist-t">
    <w:name w:val="vlist-t"/>
    <w:basedOn w:val="DefaultParagraphFont"/>
    <w:rsid w:val="00432F35"/>
  </w:style>
  <w:style w:type="character" w:customStyle="1" w:styleId="vlist">
    <w:name w:val="vlist"/>
    <w:basedOn w:val="DefaultParagraphFont"/>
    <w:rsid w:val="00432F35"/>
  </w:style>
  <w:style w:type="character" w:customStyle="1" w:styleId="pstrut">
    <w:name w:val="pstrut"/>
    <w:basedOn w:val="DefaultParagraphFont"/>
    <w:rsid w:val="00432F35"/>
  </w:style>
  <w:style w:type="character" w:customStyle="1" w:styleId="mordmtight">
    <w:name w:val="mord mtight"/>
    <w:basedOn w:val="DefaultParagraphFont"/>
    <w:rsid w:val="00432F35"/>
  </w:style>
  <w:style w:type="character" w:customStyle="1" w:styleId="mrel">
    <w:name w:val="mrel"/>
    <w:basedOn w:val="DefaultParagraphFont"/>
    <w:rsid w:val="00432F35"/>
  </w:style>
  <w:style w:type="character" w:customStyle="1" w:styleId="mopop-symbollarge-op">
    <w:name w:val="mop op-symbol large-op"/>
    <w:basedOn w:val="DefaultParagraphFont"/>
    <w:rsid w:val="00432F35"/>
  </w:style>
  <w:style w:type="character" w:customStyle="1" w:styleId="mopennulldelimiter">
    <w:name w:val="mopen nulldelimiter"/>
    <w:basedOn w:val="DefaultParagraphFont"/>
    <w:rsid w:val="00432F35"/>
  </w:style>
  <w:style w:type="character" w:customStyle="1" w:styleId="vlist-tvlist-t2">
    <w:name w:val="vlist-t vlist-t2"/>
    <w:basedOn w:val="DefaultParagraphFont"/>
    <w:rsid w:val="00432F35"/>
  </w:style>
  <w:style w:type="character" w:customStyle="1" w:styleId="mopen">
    <w:name w:val="mopen"/>
    <w:basedOn w:val="DefaultParagraphFont"/>
    <w:rsid w:val="00432F35"/>
  </w:style>
  <w:style w:type="character" w:customStyle="1" w:styleId="mbin">
    <w:name w:val="mbin"/>
    <w:basedOn w:val="DefaultParagraphFont"/>
    <w:rsid w:val="00432F35"/>
  </w:style>
  <w:style w:type="character" w:customStyle="1" w:styleId="vlist-s">
    <w:name w:val="vlist-s"/>
    <w:basedOn w:val="DefaultParagraphFont"/>
    <w:rsid w:val="00432F35"/>
  </w:style>
  <w:style w:type="character" w:customStyle="1" w:styleId="mclosenulldelimiter">
    <w:name w:val="mclose nulldelimiter"/>
    <w:basedOn w:val="DefaultParagraphFont"/>
    <w:rsid w:val="00432F35"/>
  </w:style>
  <w:style w:type="character" w:customStyle="1" w:styleId="mbinmtight">
    <w:name w:val="mbin mtight"/>
    <w:basedOn w:val="DefaultParagraphFont"/>
    <w:rsid w:val="00432F35"/>
  </w:style>
  <w:style w:type="character" w:customStyle="1" w:styleId="mordsqrt">
    <w:name w:val="mord sqrt"/>
    <w:basedOn w:val="DefaultParagraphFont"/>
    <w:rsid w:val="00432F35"/>
  </w:style>
  <w:style w:type="character" w:customStyle="1" w:styleId="hide-tail">
    <w:name w:val="hide-tail"/>
    <w:basedOn w:val="DefaultParagraphFont"/>
    <w:rsid w:val="00432F35"/>
  </w:style>
  <w:style w:type="paragraph" w:styleId="BalloonText">
    <w:name w:val="Balloon Text"/>
    <w:basedOn w:val="Normal"/>
    <w:link w:val="BalloonTextChar"/>
    <w:uiPriority w:val="99"/>
    <w:semiHidden/>
    <w:unhideWhenUsed/>
    <w:rsid w:val="00432F35"/>
    <w:rPr>
      <w:rFonts w:ascii="Tahoma" w:hAnsi="Tahoma" w:cs="Tahoma"/>
      <w:sz w:val="16"/>
      <w:szCs w:val="16"/>
    </w:rPr>
  </w:style>
  <w:style w:type="character" w:customStyle="1" w:styleId="BalloonTextChar">
    <w:name w:val="Balloon Text Char"/>
    <w:basedOn w:val="DefaultParagraphFont"/>
    <w:link w:val="BalloonText"/>
    <w:uiPriority w:val="99"/>
    <w:semiHidden/>
    <w:rsid w:val="00432F35"/>
    <w:rPr>
      <w:rFonts w:ascii="Tahoma" w:eastAsia="Times New Roman" w:hAnsi="Tahoma" w:cs="Tahoma"/>
      <w:sz w:val="16"/>
      <w:szCs w:val="16"/>
    </w:rPr>
  </w:style>
  <w:style w:type="paragraph" w:styleId="ListParagraph">
    <w:name w:val="List Paragraph"/>
    <w:basedOn w:val="Normal"/>
    <w:uiPriority w:val="34"/>
    <w:qFormat/>
    <w:rsid w:val="00432F35"/>
    <w:pPr>
      <w:ind w:left="720"/>
      <w:contextualSpacing/>
    </w:pPr>
  </w:style>
  <w:style w:type="paragraph" w:styleId="NormalWeb">
    <w:name w:val="Normal (Web)"/>
    <w:basedOn w:val="Normal"/>
    <w:uiPriority w:val="99"/>
    <w:semiHidden/>
    <w:unhideWhenUsed/>
    <w:rsid w:val="00432F35"/>
    <w:pPr>
      <w:spacing w:before="100" w:beforeAutospacing="1" w:after="100" w:afterAutospacing="1"/>
    </w:pPr>
  </w:style>
  <w:style w:type="character" w:styleId="PlaceholderText">
    <w:name w:val="Placeholder Text"/>
    <w:basedOn w:val="DefaultParagraphFont"/>
    <w:uiPriority w:val="99"/>
    <w:semiHidden/>
    <w:rsid w:val="00CD203D"/>
    <w:rPr>
      <w:color w:val="808080"/>
    </w:rPr>
  </w:style>
</w:styles>
</file>

<file path=word/webSettings.xml><?xml version="1.0" encoding="utf-8"?>
<w:webSettings xmlns:r="http://schemas.openxmlformats.org/officeDocument/2006/relationships" xmlns:w="http://schemas.openxmlformats.org/wordprocessingml/2006/main">
  <w:divs>
    <w:div w:id="434129822">
      <w:bodyDiv w:val="1"/>
      <w:marLeft w:val="0"/>
      <w:marRight w:val="0"/>
      <w:marTop w:val="0"/>
      <w:marBottom w:val="0"/>
      <w:divBdr>
        <w:top w:val="none" w:sz="0" w:space="0" w:color="auto"/>
        <w:left w:val="none" w:sz="0" w:space="0" w:color="auto"/>
        <w:bottom w:val="none" w:sz="0" w:space="0" w:color="auto"/>
        <w:right w:val="none" w:sz="0" w:space="0" w:color="auto"/>
      </w:divBdr>
    </w:div>
    <w:div w:id="928080000">
      <w:bodyDiv w:val="1"/>
      <w:marLeft w:val="0"/>
      <w:marRight w:val="0"/>
      <w:marTop w:val="0"/>
      <w:marBottom w:val="0"/>
      <w:divBdr>
        <w:top w:val="none" w:sz="0" w:space="0" w:color="auto"/>
        <w:left w:val="none" w:sz="0" w:space="0" w:color="auto"/>
        <w:bottom w:val="none" w:sz="0" w:space="0" w:color="auto"/>
        <w:right w:val="none" w:sz="0" w:space="0" w:color="auto"/>
      </w:divBdr>
    </w:div>
    <w:div w:id="1425028061">
      <w:bodyDiv w:val="1"/>
      <w:marLeft w:val="0"/>
      <w:marRight w:val="0"/>
      <w:marTop w:val="0"/>
      <w:marBottom w:val="0"/>
      <w:divBdr>
        <w:top w:val="none" w:sz="0" w:space="0" w:color="auto"/>
        <w:left w:val="none" w:sz="0" w:space="0" w:color="auto"/>
        <w:bottom w:val="none" w:sz="0" w:space="0" w:color="auto"/>
        <w:right w:val="none" w:sz="0" w:space="0" w:color="auto"/>
      </w:divBdr>
    </w:div>
    <w:div w:id="20178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7189/jogh.11.05008" TargetMode="External"/><Relationship Id="rId13" Type="http://schemas.openxmlformats.org/officeDocument/2006/relationships/hyperlink" Target="https://doi.org/10.1186/s12889-018-5084-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hyperlink" Target="https://doi.org/10.1093/jrs/feaa0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icef.org/education-displaced-children" TargetMode="External"/><Relationship Id="rId1" Type="http://schemas.openxmlformats.org/officeDocument/2006/relationships/numbering" Target="numbering.xml"/><Relationship Id="rId11" Type="http://schemas.openxmlformats.org/officeDocument/2006/relationships/hyperlink" Target="https://oxfam.org/gender-based-violence-displacement" TargetMode="External"/><Relationship Id="rId5" Type="http://schemas.openxmlformats.org/officeDocument/2006/relationships/image" Target="media/image1.png"/><Relationship Id="rId15" Type="http://schemas.openxmlformats.org/officeDocument/2006/relationships/hyperlink" Target="https://www.unhcr.org/cross-river-idp-report" TargetMode="External"/><Relationship Id="rId10" Type="http://schemas.openxmlformats.org/officeDocument/2006/relationships/hyperlink" Target="https://doi.org/10.2307/2084686" TargetMode="External"/><Relationship Id="rId4" Type="http://schemas.openxmlformats.org/officeDocument/2006/relationships/webSettings" Target="webSettings.xml"/><Relationship Id="rId9" Type="http://schemas.openxmlformats.org/officeDocument/2006/relationships/hyperlink" Target="https://doi.org/10.1093/ijrl/eew048" TargetMode="External"/><Relationship Id="rId14" Type="http://schemas.openxmlformats.org/officeDocument/2006/relationships/hyperlink" Target="https://doi.org/10.1186/s13031-020-002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2892</TotalTime>
  <Pages>20</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31</cp:revision>
  <dcterms:created xsi:type="dcterms:W3CDTF">2024-10-25T09:30:00Z</dcterms:created>
  <dcterms:modified xsi:type="dcterms:W3CDTF">2024-11-04T14:24:00Z</dcterms:modified>
</cp:coreProperties>
</file>