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E3F" w:rsidRDefault="00706113">
      <w:pPr>
        <w:pStyle w:val="1"/>
      </w:pPr>
      <w:r>
        <w:rPr>
          <w:rFonts w:hint="eastAsia"/>
        </w:rPr>
        <w:t>一、余额包销</w:t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t>界面：</w:t>
      </w:r>
    </w:p>
    <w:p w:rsidR="00241E3F" w:rsidRDefault="00706113">
      <w:r>
        <w:rPr>
          <w:noProof/>
        </w:rPr>
        <w:drawing>
          <wp:inline distT="0" distB="0" distL="114300" distR="114300">
            <wp:extent cx="5264785" cy="1388110"/>
            <wp:effectExtent l="0" t="0" r="1206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t>数据种类：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商品代码。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增发登记日期。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增发日期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上市日期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价格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以配售数量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未配售数量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包销承销商代码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包销数量</w:t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t>数据来源：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商品增发表（</w:t>
      </w:r>
      <w:commentRangeStart w:id="0"/>
      <w:r>
        <w:rPr>
          <w:rFonts w:hint="eastAsia"/>
        </w:rPr>
        <w:t>已上市的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未配售完的增发商品信息）。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包销承销商代码（所有承销商）。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包销数量（手动输入）。</w:t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t>数据归属：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利用原有的配售表。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新建包销表。</w:t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流程：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以下拉框的形式显示所有可包销的商品信息。（</w:t>
      </w:r>
      <w:commentRangeStart w:id="1"/>
      <w:r>
        <w:rPr>
          <w:rFonts w:hint="eastAsia"/>
        </w:rPr>
        <w:t>已上市的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，未全部配售的）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选中具体商品显示商品详情，并且商品详情随商品变化而变化。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选择具体的承销商，并且输入相应的包销数量。（包销数量不得大于未配售数量）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提交，记录本次包销信息。</w:t>
      </w:r>
    </w:p>
    <w:p w:rsidR="00241E3F" w:rsidRDefault="00706113">
      <w:pPr>
        <w:pStyle w:val="3"/>
        <w:numPr>
          <w:ilvl w:val="0"/>
          <w:numId w:val="1"/>
        </w:numPr>
      </w:pPr>
      <w:r>
        <w:rPr>
          <w:rFonts w:hint="eastAsia"/>
        </w:rPr>
        <w:t>涉及的操作：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查询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插入</w:t>
      </w:r>
    </w:p>
    <w:p w:rsidR="00241E3F" w:rsidRDefault="00706113">
      <w:pPr>
        <w:pStyle w:val="1"/>
        <w:numPr>
          <w:ilvl w:val="0"/>
          <w:numId w:val="3"/>
        </w:numPr>
      </w:pPr>
      <w:r>
        <w:rPr>
          <w:rFonts w:hint="eastAsia"/>
        </w:rPr>
        <w:t>减持设置</w:t>
      </w:r>
    </w:p>
    <w:p w:rsidR="00241E3F" w:rsidRDefault="00706113">
      <w:pPr>
        <w:pStyle w:val="3"/>
        <w:numPr>
          <w:ilvl w:val="0"/>
          <w:numId w:val="4"/>
        </w:numPr>
        <w:rPr>
          <w:i/>
          <w:iCs/>
        </w:rPr>
      </w:pPr>
      <w:r>
        <w:rPr>
          <w:rFonts w:hint="eastAsia"/>
          <w:i/>
          <w:iCs/>
        </w:rPr>
        <w:t>界面：</w:t>
      </w:r>
    </w:p>
    <w:p w:rsidR="00241E3F" w:rsidRDefault="00706113">
      <w:proofErr w:type="gramStart"/>
      <w:r>
        <w:rPr>
          <w:rFonts w:hint="eastAsia"/>
        </w:rPr>
        <w:t>承销商减持</w:t>
      </w:r>
      <w:proofErr w:type="gramEnd"/>
      <w:r>
        <w:rPr>
          <w:rFonts w:hint="eastAsia"/>
        </w:rPr>
        <w:t>设置：</w:t>
      </w:r>
    </w:p>
    <w:p w:rsidR="00241E3F" w:rsidRDefault="00706113">
      <w:r>
        <w:rPr>
          <w:noProof/>
        </w:rPr>
        <w:drawing>
          <wp:inline distT="0" distB="0" distL="114300" distR="114300">
            <wp:extent cx="5269865" cy="18326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r>
        <w:rPr>
          <w:rFonts w:hint="eastAsia"/>
        </w:rPr>
        <w:t>点击减</w:t>
      </w:r>
      <w:proofErr w:type="gramStart"/>
      <w:r>
        <w:rPr>
          <w:rFonts w:hint="eastAsia"/>
        </w:rPr>
        <w:t>持设置</w:t>
      </w:r>
      <w:proofErr w:type="gramEnd"/>
      <w:r>
        <w:rPr>
          <w:rFonts w:hint="eastAsia"/>
        </w:rPr>
        <w:t>进入：</w:t>
      </w:r>
    </w:p>
    <w:p w:rsidR="00241E3F" w:rsidRDefault="00706113">
      <w:r>
        <w:rPr>
          <w:noProof/>
        </w:rPr>
        <w:drawing>
          <wp:inline distT="0" distB="0" distL="114300" distR="114300">
            <wp:extent cx="5270500" cy="198755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r>
        <w:rPr>
          <w:rFonts w:hint="eastAsia"/>
        </w:rPr>
        <w:t>点击添加进入：</w:t>
      </w:r>
    </w:p>
    <w:p w:rsidR="00241E3F" w:rsidRDefault="00706113">
      <w:r>
        <w:rPr>
          <w:noProof/>
        </w:rPr>
        <w:lastRenderedPageBreak/>
        <w:drawing>
          <wp:inline distT="0" distB="0" distL="114300" distR="114300">
            <wp:extent cx="5261610" cy="2323465"/>
            <wp:effectExtent l="0" t="0" r="152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2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r>
        <w:rPr>
          <w:rFonts w:hint="eastAsia"/>
        </w:rPr>
        <w:t>客户减持设置：</w:t>
      </w:r>
    </w:p>
    <w:p w:rsidR="00241E3F" w:rsidRDefault="00706113">
      <w:r>
        <w:rPr>
          <w:noProof/>
        </w:rPr>
        <w:drawing>
          <wp:inline distT="0" distB="0" distL="114300" distR="114300">
            <wp:extent cx="5270500" cy="1871980"/>
            <wp:effectExtent l="0" t="0" r="635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r>
        <w:rPr>
          <w:rFonts w:hint="eastAsia"/>
        </w:rPr>
        <w:t>点击减</w:t>
      </w:r>
      <w:proofErr w:type="gramStart"/>
      <w:r>
        <w:rPr>
          <w:rFonts w:hint="eastAsia"/>
        </w:rPr>
        <w:t>持设置</w:t>
      </w:r>
      <w:proofErr w:type="gramEnd"/>
      <w:r>
        <w:rPr>
          <w:rFonts w:hint="eastAsia"/>
        </w:rPr>
        <w:t>进入：</w:t>
      </w:r>
    </w:p>
    <w:p w:rsidR="00241E3F" w:rsidRDefault="00241E3F"/>
    <w:p w:rsidR="00241E3F" w:rsidRDefault="00706113">
      <w:r>
        <w:rPr>
          <w:noProof/>
        </w:rPr>
        <w:drawing>
          <wp:inline distT="0" distB="0" distL="114300" distR="114300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r>
        <w:rPr>
          <w:rFonts w:hint="eastAsia"/>
        </w:rPr>
        <w:t>点击添加进入：</w:t>
      </w:r>
    </w:p>
    <w:p w:rsidR="00241E3F" w:rsidRDefault="00241E3F"/>
    <w:p w:rsidR="00241E3F" w:rsidRDefault="00706113">
      <w:r>
        <w:rPr>
          <w:noProof/>
        </w:rPr>
        <w:lastRenderedPageBreak/>
        <w:drawing>
          <wp:inline distT="0" distB="0" distL="114300" distR="114300">
            <wp:extent cx="5267960" cy="23139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41E3F" w:rsidRDefault="00706113">
      <w:pPr>
        <w:pStyle w:val="3"/>
        <w:numPr>
          <w:ilvl w:val="0"/>
          <w:numId w:val="4"/>
        </w:numPr>
      </w:pPr>
      <w:r>
        <w:rPr>
          <w:rFonts w:hint="eastAsia"/>
        </w:rPr>
        <w:t>数据种类：</w:t>
      </w:r>
    </w:p>
    <w:p w:rsidR="00241E3F" w:rsidRDefault="00706113">
      <w:proofErr w:type="gramStart"/>
      <w:r>
        <w:rPr>
          <w:rFonts w:hint="eastAsia"/>
        </w:rPr>
        <w:t>承销商减持</w:t>
      </w:r>
      <w:proofErr w:type="gramEnd"/>
      <w:r>
        <w:rPr>
          <w:rFonts w:hint="eastAsia"/>
        </w:rPr>
        <w:t>设置：</w:t>
      </w:r>
    </w:p>
    <w:p w:rsidR="00241E3F" w:rsidRDefault="00706113">
      <w:r>
        <w:rPr>
          <w:rFonts w:hint="eastAsia"/>
        </w:rPr>
        <w:t>所有承销商的增发业务的持仓信息。</w:t>
      </w:r>
    </w:p>
    <w:p w:rsidR="00241E3F" w:rsidRDefault="00706113">
      <w:r>
        <w:rPr>
          <w:rFonts w:hint="eastAsia"/>
        </w:rPr>
        <w:t>相应承</w:t>
      </w:r>
      <w:proofErr w:type="gramStart"/>
      <w:r>
        <w:rPr>
          <w:rFonts w:hint="eastAsia"/>
        </w:rPr>
        <w:t>销商减持</w:t>
      </w:r>
      <w:proofErr w:type="gramEnd"/>
      <w:r>
        <w:rPr>
          <w:rFonts w:hint="eastAsia"/>
        </w:rPr>
        <w:t>信息。</w:t>
      </w:r>
    </w:p>
    <w:p w:rsidR="00241E3F" w:rsidRDefault="00706113">
      <w:r>
        <w:rPr>
          <w:rFonts w:hint="eastAsia"/>
        </w:rPr>
        <w:t>客户减持设置：</w:t>
      </w:r>
    </w:p>
    <w:p w:rsidR="00241E3F" w:rsidRDefault="00706113">
      <w:r>
        <w:rPr>
          <w:rFonts w:hint="eastAsia"/>
        </w:rPr>
        <w:t>所有交易商的增发业务的持仓信息。</w:t>
      </w:r>
    </w:p>
    <w:p w:rsidR="00241E3F" w:rsidRDefault="00706113">
      <w:r>
        <w:rPr>
          <w:rFonts w:hint="eastAsia"/>
        </w:rPr>
        <w:t>相应</w:t>
      </w:r>
      <w:proofErr w:type="gramStart"/>
      <w:r>
        <w:rPr>
          <w:rFonts w:hint="eastAsia"/>
        </w:rPr>
        <w:t>交易商减持</w:t>
      </w:r>
      <w:proofErr w:type="gramEnd"/>
      <w:r>
        <w:rPr>
          <w:rFonts w:hint="eastAsia"/>
        </w:rPr>
        <w:t>信息。</w:t>
      </w:r>
    </w:p>
    <w:p w:rsidR="00241E3F" w:rsidRDefault="00241E3F"/>
    <w:p w:rsidR="00241E3F" w:rsidRDefault="00241E3F"/>
    <w:p w:rsidR="00241E3F" w:rsidRDefault="00706113">
      <w:pPr>
        <w:pStyle w:val="3"/>
        <w:numPr>
          <w:ilvl w:val="0"/>
          <w:numId w:val="4"/>
        </w:numPr>
      </w:pPr>
      <w:r>
        <w:rPr>
          <w:rFonts w:hint="eastAsia"/>
        </w:rPr>
        <w:t>数据来源：</w:t>
      </w:r>
    </w:p>
    <w:p w:rsidR="00241E3F" w:rsidRDefault="00706113">
      <w:r>
        <w:rPr>
          <w:rFonts w:hint="eastAsia"/>
        </w:rPr>
        <w:t>增发持仓表（？）</w:t>
      </w:r>
    </w:p>
    <w:p w:rsidR="00241E3F" w:rsidRDefault="00706113">
      <w:r>
        <w:rPr>
          <w:rFonts w:hint="eastAsia"/>
        </w:rPr>
        <w:t>减</w:t>
      </w:r>
      <w:proofErr w:type="gramStart"/>
      <w:r>
        <w:rPr>
          <w:rFonts w:hint="eastAsia"/>
        </w:rPr>
        <w:t>持设置表</w:t>
      </w:r>
      <w:proofErr w:type="gramEnd"/>
      <w:r>
        <w:rPr>
          <w:rFonts w:hint="eastAsia"/>
        </w:rPr>
        <w:t>（未建）。</w:t>
      </w:r>
    </w:p>
    <w:p w:rsidR="00241E3F" w:rsidRDefault="00241E3F"/>
    <w:p w:rsidR="00241E3F" w:rsidRDefault="00706113">
      <w:pPr>
        <w:pStyle w:val="3"/>
        <w:numPr>
          <w:ilvl w:val="0"/>
          <w:numId w:val="4"/>
        </w:numPr>
      </w:pPr>
      <w:r>
        <w:rPr>
          <w:rFonts w:hint="eastAsia"/>
        </w:rPr>
        <w:t>数据归属：</w:t>
      </w:r>
    </w:p>
    <w:p w:rsidR="00241E3F" w:rsidRDefault="00706113">
      <w:r>
        <w:rPr>
          <w:rFonts w:hint="eastAsia"/>
        </w:rPr>
        <w:t>减</w:t>
      </w:r>
      <w:proofErr w:type="gramStart"/>
      <w:r>
        <w:rPr>
          <w:rFonts w:hint="eastAsia"/>
        </w:rPr>
        <w:t>持设置表</w:t>
      </w:r>
      <w:proofErr w:type="gramEnd"/>
      <w:r>
        <w:rPr>
          <w:rFonts w:hint="eastAsia"/>
        </w:rPr>
        <w:t>（未建）。</w:t>
      </w:r>
    </w:p>
    <w:p w:rsidR="00241E3F" w:rsidRDefault="00706113">
      <w:pPr>
        <w:pStyle w:val="2"/>
        <w:numPr>
          <w:ilvl w:val="0"/>
          <w:numId w:val="4"/>
        </w:numPr>
      </w:pPr>
      <w:r>
        <w:rPr>
          <w:rFonts w:hint="eastAsia"/>
        </w:rPr>
        <w:t>流程：</w:t>
      </w:r>
    </w:p>
    <w:p w:rsidR="00241E3F" w:rsidRDefault="00706113">
      <w:r>
        <w:rPr>
          <w:rFonts w:hint="eastAsia"/>
        </w:rPr>
        <w:t>查询</w:t>
      </w:r>
      <w:commentRangeStart w:id="2"/>
      <w:r>
        <w:rPr>
          <w:rFonts w:hint="eastAsia"/>
        </w:rPr>
        <w:t>增发持仓信息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。</w:t>
      </w:r>
    </w:p>
    <w:p w:rsidR="00241E3F" w:rsidRDefault="00706113">
      <w:r>
        <w:rPr>
          <w:rFonts w:hint="eastAsia"/>
        </w:rPr>
        <w:t>点击对应客户的减持设置，进入该交易商的减持设置。</w:t>
      </w:r>
    </w:p>
    <w:p w:rsidR="00241E3F" w:rsidRDefault="00706113">
      <w:r>
        <w:rPr>
          <w:rFonts w:hint="eastAsia"/>
        </w:rPr>
        <w:t>查询相应的减持设置。（减</w:t>
      </w:r>
      <w:proofErr w:type="gramStart"/>
      <w:r>
        <w:rPr>
          <w:rFonts w:hint="eastAsia"/>
        </w:rPr>
        <w:t>持设置</w:t>
      </w:r>
      <w:proofErr w:type="gramEnd"/>
      <w:r>
        <w:rPr>
          <w:rFonts w:hint="eastAsia"/>
        </w:rPr>
        <w:t>中可添加修改删除，不可删除，所有减</w:t>
      </w:r>
      <w:proofErr w:type="gramStart"/>
      <w:r>
        <w:rPr>
          <w:rFonts w:hint="eastAsia"/>
        </w:rPr>
        <w:t>持数量</w:t>
      </w:r>
      <w:proofErr w:type="gramEnd"/>
      <w:r>
        <w:rPr>
          <w:rFonts w:hint="eastAsia"/>
        </w:rPr>
        <w:t>不可以超过持仓冻结数量）。</w:t>
      </w:r>
    </w:p>
    <w:p w:rsidR="00241E3F" w:rsidRDefault="00706113">
      <w:commentRangeStart w:id="3"/>
      <w:r>
        <w:rPr>
          <w:rFonts w:hint="eastAsia"/>
        </w:rPr>
        <w:t>到减持日期系统自动进行减</w:t>
      </w:r>
      <w:proofErr w:type="gramStart"/>
      <w:r>
        <w:rPr>
          <w:rFonts w:hint="eastAsia"/>
        </w:rPr>
        <w:t>持操作</w:t>
      </w:r>
      <w:commentRangeEnd w:id="3"/>
      <w:proofErr w:type="gramEnd"/>
      <w:r>
        <w:rPr>
          <w:rStyle w:val="a5"/>
        </w:rPr>
        <w:commentReference w:id="3"/>
      </w:r>
      <w:r>
        <w:rPr>
          <w:rFonts w:hint="eastAsia"/>
        </w:rPr>
        <w:t>。</w:t>
      </w:r>
    </w:p>
    <w:p w:rsidR="00241E3F" w:rsidRDefault="00706113">
      <w:r>
        <w:rPr>
          <w:rFonts w:hint="eastAsia"/>
        </w:rPr>
        <w:t>点击对应交易商代码可做减持修改。（减</w:t>
      </w:r>
      <w:proofErr w:type="gramStart"/>
      <w:r>
        <w:rPr>
          <w:rFonts w:hint="eastAsia"/>
        </w:rPr>
        <w:t>持状态</w:t>
      </w:r>
      <w:proofErr w:type="gramEnd"/>
      <w:r>
        <w:rPr>
          <w:rFonts w:hint="eastAsia"/>
        </w:rPr>
        <w:t>为已减持的减持信息不可以修改）</w:t>
      </w:r>
    </w:p>
    <w:p w:rsidR="00241E3F" w:rsidRDefault="00706113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涉及操作：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查询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插入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修改</w:t>
      </w:r>
    </w:p>
    <w:p w:rsidR="00241E3F" w:rsidRDefault="00706113">
      <w:pPr>
        <w:numPr>
          <w:ilvl w:val="0"/>
          <w:numId w:val="2"/>
        </w:numPr>
      </w:pPr>
      <w:r>
        <w:rPr>
          <w:rFonts w:hint="eastAsia"/>
        </w:rPr>
        <w:t>添加</w:t>
      </w:r>
    </w:p>
    <w:p w:rsidR="00241E3F" w:rsidRDefault="00241E3F"/>
    <w:p w:rsidR="00241E3F" w:rsidRDefault="00241E3F"/>
    <w:p w:rsidR="00241E3F" w:rsidRDefault="00241E3F"/>
    <w:sectPr w:rsidR="0024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xx" w:date="2016-01-17T18:10:00Z" w:initials="h">
    <w:p w:rsidR="00706113" w:rsidRDefault="00706113">
      <w:pPr>
        <w:pStyle w:val="a6"/>
      </w:pPr>
      <w:r>
        <w:rPr>
          <w:rStyle w:val="a5"/>
        </w:rPr>
        <w:annotationRef/>
      </w:r>
    </w:p>
  </w:comment>
  <w:comment w:id="1" w:author="hxx" w:date="2016-01-17T18:11:00Z" w:initials="h">
    <w:p w:rsidR="00706113" w:rsidRDefault="00706113">
      <w:pPr>
        <w:pStyle w:val="a6"/>
      </w:pPr>
      <w:r>
        <w:rPr>
          <w:rStyle w:val="a5"/>
        </w:rPr>
        <w:annotationRef/>
      </w:r>
    </w:p>
  </w:comment>
  <w:comment w:id="2" w:author="hxx" w:date="2016-01-17T18:12:00Z" w:initials="h">
    <w:p w:rsidR="00706113" w:rsidRDefault="00706113">
      <w:pPr>
        <w:pStyle w:val="a6"/>
      </w:pPr>
      <w:r>
        <w:rPr>
          <w:rStyle w:val="a5"/>
        </w:rPr>
        <w:annotationRef/>
      </w:r>
    </w:p>
  </w:comment>
  <w:comment w:id="3" w:author="hxx" w:date="2016-01-17T18:12:00Z" w:initials="h">
    <w:p w:rsidR="00706113" w:rsidRDefault="00706113">
      <w:pPr>
        <w:pStyle w:val="a6"/>
      </w:pPr>
      <w:r>
        <w:rPr>
          <w:rStyle w:val="a5"/>
        </w:rPr>
        <w:annotationRef/>
      </w: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A253A"/>
    <w:multiLevelType w:val="singleLevel"/>
    <w:tmpl w:val="569A25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9A2982"/>
    <w:multiLevelType w:val="singleLevel"/>
    <w:tmpl w:val="569A2982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69A29B2"/>
    <w:multiLevelType w:val="singleLevel"/>
    <w:tmpl w:val="569A29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9A4BAF"/>
    <w:multiLevelType w:val="singleLevel"/>
    <w:tmpl w:val="569A4B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3F"/>
    <w:rsid w:val="00241E3F"/>
    <w:rsid w:val="00706113"/>
    <w:rsid w:val="0201198D"/>
    <w:rsid w:val="02A47361"/>
    <w:rsid w:val="09C1778E"/>
    <w:rsid w:val="0C846098"/>
    <w:rsid w:val="0D19658C"/>
    <w:rsid w:val="12E2190B"/>
    <w:rsid w:val="16124FC5"/>
    <w:rsid w:val="1616144D"/>
    <w:rsid w:val="1CF76192"/>
    <w:rsid w:val="2085546A"/>
    <w:rsid w:val="216A315E"/>
    <w:rsid w:val="21D21888"/>
    <w:rsid w:val="25396722"/>
    <w:rsid w:val="27994F87"/>
    <w:rsid w:val="280136B2"/>
    <w:rsid w:val="2D832A39"/>
    <w:rsid w:val="2E7013BD"/>
    <w:rsid w:val="30216B85"/>
    <w:rsid w:val="38276F30"/>
    <w:rsid w:val="3BBA6E0C"/>
    <w:rsid w:val="43636E1D"/>
    <w:rsid w:val="46E644E0"/>
    <w:rsid w:val="49395C2E"/>
    <w:rsid w:val="53FF00DB"/>
    <w:rsid w:val="58525AD5"/>
    <w:rsid w:val="5B486DCE"/>
    <w:rsid w:val="61082B42"/>
    <w:rsid w:val="612C0778"/>
    <w:rsid w:val="644F5E22"/>
    <w:rsid w:val="65367019"/>
    <w:rsid w:val="67996803"/>
    <w:rsid w:val="6A34524E"/>
    <w:rsid w:val="70951A45"/>
    <w:rsid w:val="731F10EE"/>
    <w:rsid w:val="7A6300D6"/>
    <w:rsid w:val="7AAC17CF"/>
    <w:rsid w:val="7C12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06113"/>
    <w:rPr>
      <w:sz w:val="18"/>
      <w:szCs w:val="18"/>
    </w:rPr>
  </w:style>
  <w:style w:type="character" w:customStyle="1" w:styleId="Char">
    <w:name w:val="批注框文本 Char"/>
    <w:basedOn w:val="a0"/>
    <w:link w:val="a3"/>
    <w:rsid w:val="00706113"/>
    <w:rPr>
      <w:kern w:val="2"/>
      <w:sz w:val="18"/>
      <w:szCs w:val="18"/>
    </w:rPr>
  </w:style>
  <w:style w:type="paragraph" w:styleId="a4">
    <w:name w:val="Revision"/>
    <w:hidden/>
    <w:uiPriority w:val="99"/>
    <w:unhideWhenUsed/>
    <w:rsid w:val="00706113"/>
    <w:rPr>
      <w:kern w:val="2"/>
      <w:sz w:val="21"/>
      <w:szCs w:val="24"/>
    </w:rPr>
  </w:style>
  <w:style w:type="character" w:styleId="a5">
    <w:name w:val="annotation reference"/>
    <w:basedOn w:val="a0"/>
    <w:rsid w:val="00706113"/>
    <w:rPr>
      <w:sz w:val="21"/>
      <w:szCs w:val="21"/>
    </w:rPr>
  </w:style>
  <w:style w:type="paragraph" w:styleId="a6">
    <w:name w:val="annotation text"/>
    <w:basedOn w:val="a"/>
    <w:link w:val="Char0"/>
    <w:rsid w:val="00706113"/>
    <w:pPr>
      <w:jc w:val="left"/>
    </w:pPr>
  </w:style>
  <w:style w:type="character" w:customStyle="1" w:styleId="Char0">
    <w:name w:val="批注文字 Char"/>
    <w:basedOn w:val="a0"/>
    <w:link w:val="a6"/>
    <w:rsid w:val="00706113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706113"/>
    <w:rPr>
      <w:b/>
      <w:bCs/>
    </w:rPr>
  </w:style>
  <w:style w:type="character" w:customStyle="1" w:styleId="Char1">
    <w:name w:val="批注主题 Char"/>
    <w:basedOn w:val="Char0"/>
    <w:link w:val="a7"/>
    <w:rsid w:val="00706113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06113"/>
    <w:rPr>
      <w:sz w:val="18"/>
      <w:szCs w:val="18"/>
    </w:rPr>
  </w:style>
  <w:style w:type="character" w:customStyle="1" w:styleId="Char">
    <w:name w:val="批注框文本 Char"/>
    <w:basedOn w:val="a0"/>
    <w:link w:val="a3"/>
    <w:rsid w:val="00706113"/>
    <w:rPr>
      <w:kern w:val="2"/>
      <w:sz w:val="18"/>
      <w:szCs w:val="18"/>
    </w:rPr>
  </w:style>
  <w:style w:type="paragraph" w:styleId="a4">
    <w:name w:val="Revision"/>
    <w:hidden/>
    <w:uiPriority w:val="99"/>
    <w:unhideWhenUsed/>
    <w:rsid w:val="00706113"/>
    <w:rPr>
      <w:kern w:val="2"/>
      <w:sz w:val="21"/>
      <w:szCs w:val="24"/>
    </w:rPr>
  </w:style>
  <w:style w:type="character" w:styleId="a5">
    <w:name w:val="annotation reference"/>
    <w:basedOn w:val="a0"/>
    <w:rsid w:val="00706113"/>
    <w:rPr>
      <w:sz w:val="21"/>
      <w:szCs w:val="21"/>
    </w:rPr>
  </w:style>
  <w:style w:type="paragraph" w:styleId="a6">
    <w:name w:val="annotation text"/>
    <w:basedOn w:val="a"/>
    <w:link w:val="Char0"/>
    <w:rsid w:val="00706113"/>
    <w:pPr>
      <w:jc w:val="left"/>
    </w:pPr>
  </w:style>
  <w:style w:type="character" w:customStyle="1" w:styleId="Char0">
    <w:name w:val="批注文字 Char"/>
    <w:basedOn w:val="a0"/>
    <w:link w:val="a6"/>
    <w:rsid w:val="00706113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706113"/>
    <w:rPr>
      <w:b/>
      <w:bCs/>
    </w:rPr>
  </w:style>
  <w:style w:type="character" w:customStyle="1" w:styleId="Char1">
    <w:name w:val="批注主题 Char"/>
    <w:basedOn w:val="Char0"/>
    <w:link w:val="a7"/>
    <w:rsid w:val="0070611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hxx</cp:lastModifiedBy>
  <cp:revision>1</cp:revision>
  <dcterms:created xsi:type="dcterms:W3CDTF">2014-10-29T12:08:00Z</dcterms:created>
  <dcterms:modified xsi:type="dcterms:W3CDTF">2016-01-17T10:13:00Z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