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odttf" ContentType="application/vnd.openxmlformats-officedocument.obfuscatedFont"/>
  <Default Extension="xlsx" ContentType="application/vnd.openxmlformats-officedocument.spreadsheetml.shee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sdt>
      <w:sdtPr>
        <w:alias w:val="資料の区分"/>
        <w:tag w:val="classification"/>
        <w:id w:val="4183856"/>
        <w:text/>
      </w:sdtPr>
      <w:sdtContent>
        <w:p>
          <w:pPr>
            <w:pStyle w:val="Caption"/>
          </w:pPr>
          <w:r>
            <w:t xml:space="preserve">公開用 ｜ ドラフト</w:t>
          </w:r>
        </w:p>
      </w:sdtContent>
    </w:sdt>
    <w:sdt>
      <w:sdtPr>
        <w:alias w:val="宛先"/>
        <w:tag w:val="recipient"/>
        <w:id w:val="68778762"/>
        <w:text/>
      </w:sdtPr>
      <w:sdtContent>
        <w:p>
          <w:pPr>
            <w:pStyle w:val="Normal"/>
          </w:pPr>
          <w:r>
            <w:t xml:space="preserve">だいきの試作室　読者のみなさまへ</w:t>
          </w:r>
        </w:p>
      </w:sdtContent>
    </w:sdt>
    <w:sdt>
      <w:sdtPr>
        <w:alias w:val="タイトル"/>
        <w:tag w:val="title"/>
        <w:id w:val="54503829"/>
        <w:text/>
      </w:sdtPr>
      <w:sdtContent>
        <w:p>
          <w:pPr>
            <w:pStyle w:val="Title"/>
          </w:pPr>
          <w:r>
            <w:t xml:space="preserve">note トラフィックレポート</w:t>
          </w:r>
        </w:p>
      </w:sdtContent>
    </w:sdt>
    <w:sdt>
      <w:sdtPr>
        <w:alias w:val="サブタイトル"/>
        <w:tag w:val="subtitle"/>
        <w:id w:val="60730378"/>
        <w:text/>
      </w:sdtPr>
      <w:sdtContent>
        <w:p>
          <w:pPr>
            <w:pStyle w:val="Subtitle"/>
          </w:pPr>
          <w:r>
            <w:t xml:space="preserve">2026年9月の読まれ方と次の一手</w:t>
          </w:r>
        </w:p>
      </w:sdtContent>
    </w:sdt>
    <w:sdt>
      <w:sdtPr>
        <w:alias w:val="日付・作成者"/>
        <w:tag w:val="meta"/>
        <w:id w:val="88850529"/>
        <w:text/>
      </w:sdtPr>
      <w:sdtContent>
        <w:p>
          <w:pPr>
            <w:pStyle w:val="Caption"/>
          </w:pPr>
          <w:r>
            <w:t xml:space="preserve">2026-09-20 ｜ Bigtree Lab ｜ だいき君</w:t>
          </w:r>
        </w:p>
      </w:sdtContent>
    </w:sdt>
    <w:p>
      <w:pPr>
        <w:pStyle w:val="TOCHeading"/>
      </w:pPr>
      <w:r>
        <w:t xml:space="preserve">目次</w:t>
      </w:r>
    </w:p>
    <w:p>
      <w:pPr>
        <w:pStyle w:val="TOC1"/>
      </w:pPr>
      <w:r>
        <w:fldChar w:fldCharType="begin"/>
      </w:r>
      <w:r>
        <w:instrText xml:space="preserve">  TOC \o "1-2" \h \z \u \n </w:instrText>
      </w:r>
      <w:r>
        <w:fldChar w:fldCharType="separate"/>
      </w:r>
      <w:r>
        <w:t>［ここに目次が入ります。右クリック →「フィールド更新」］</w:t>
      </w:r>
      <w:r>
        <w:fldChar w:fldCharType="end"/>
      </w:r>
    </w:p>
    <w:p>
      <w:pPr>
        <w:pStyle w:val="Heading1"/>
      </w:pPr>
      <w:r>
        <w:t xml:space="preserve">背景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r>
        <w:t xml:space="preserve">この段落には文字スタイルを当てている。</w:t>
      </w:r>
      <w:r>
        <w:rPr>
          <w:rStyle w:val="Emph"/>
        </w:rPr>
        <w:t xml:space="preserve">強調したい語句</w:t>
      </w:r>
      <w:r>
        <w:t xml:space="preserve">、</w:t>
      </w:r>
      <w:r>
        <w:rPr>
          <w:rStyle w:val="Caution"/>
        </w:rPr>
        <w:t xml:space="preserve">注意喚起</w:t>
      </w:r>
      <w:r>
        <w:t xml:space="preserve">、そして KPI の </w:t>
      </w:r>
      <w:r>
        <w:rPr>
          <w:rStyle w:val="Figure"/>
        </w:rPr>
        <w:t xml:space="preserve">ROAS 412%</w:t>
      </w:r>
      <w:r>
        <w:t xml:space="preserve"> のような数値。リンクは </w:t>
      </w:r>
      <w:hyperlink r:id="rIdLink" w:history="1">
        <w:r>
          <w:rPr>
            <w:rStyle w:val="Hyperlink"/>
          </w:rPr>
          <w:t xml:space="preserve">note「だいきの試作室」</w:t>
        </w:r>
      </w:hyperlink>
      <w:r>
        <w:t xml:space="preserve"> のように組み込みのスタイルを使う。</w:t>
      </w:r>
    </w:p>
    <w:p>
      <w:pPr>
        <w:pStyle w:val="Heading2"/>
      </w:pPr>
      <w:r>
        <w:t xml:space="preserve">箇条書き</w:t>
      </w:r>
    </w:p>
    <w:p>
      <w:pPr>
        <w:pStyle w:val="ListBullet"/>
      </w:pPr>
      <w:r>
        <w:t xml:space="preserve">箇条書きの第1レベル</w:t>
      </w:r>
    </w:p>
    <w:p>
      <w:pPr>
        <w:pStyle w:val="ListBullet"/>
        <w:numPr>
          <w:ilvl w:val="1"/>
        </w:numPr>
      </w:pPr>
      <w:r>
        <w:t xml:space="preserve">Tab を押すとここ（第2レベル）に下がる</w:t>
      </w:r>
    </w:p>
    <w:p>
      <w:pPr>
        <w:pStyle w:val="ListBullet"/>
        <w:numPr>
          <w:ilvl w:val="2"/>
        </w:numPr>
      </w:pPr>
      <w:r>
        <w:t xml:space="preserve">第3レベル</w:t>
      </w:r>
    </w:p>
    <w:p>
      <w:pPr>
        <w:pStyle w:val="ListBullet"/>
      </w:pPr>
      <w:r>
        <w:t xml:space="preserve">第1レベルに戻る</w:t>
      </w:r>
    </w:p>
    <w:p>
      <w:pPr>
        <w:pStyle w:val="Heading2"/>
      </w:pPr>
      <w:r>
        <w:t xml:space="preserve">番号付きリスト</w:t>
      </w:r>
    </w:p>
    <w:p>
      <w:pPr>
        <w:pStyle w:val="ListNumber"/>
      </w:pPr>
      <w:r>
        <w:t xml:space="preserve">手順その1</w:t>
      </w:r>
    </w:p>
    <w:p>
      <w:pPr>
        <w:pStyle w:val="ListNumber"/>
      </w:pPr>
      <w:r>
        <w:t xml:space="preserve">手順その2</w:t>
      </w:r>
    </w:p>
    <w:p>
      <w:pPr>
        <w:pStyle w:val="ListNumber"/>
      </w:pPr>
      <w:r>
        <w:t xml:space="preserve">手順その3</w:t>
      </w:r>
    </w:p>
    <w:p>
      <w:pPr>
        <w:pStyle w:val="Heading1"/>
      </w:pPr>
      <w:r>
        <w:t xml:space="preserve">検証結果</w:t>
      </w:r>
    </w:p>
    <w:p>
      <w:pPr>
        <w:pStyle w:val="Heading2"/>
      </w:pPr>
      <w:r>
        <w:t xml:space="preserve">週次の主要指標</w:t>
      </w:r>
    </w:p>
    <w:p>
      <w:r>
        <w:t xml:space="preserve">見出し番号（1. / 1.1）はすべて自動採番で、手では打っていない。</w:t>
      </w:r>
    </w:p>
    <w:tbl>
      <w:tblPr>
        <w:tblStyle w:val="ReportTable"/>
        <w:tblW w:w="9638" w:type="dxa"/>
        <w:tblLook w:val="04A0" w:firstRow="1" w:lastRow="0" w:firstColumn="0" w:lastColumn="0" w:noHBand="0" w:noVBand="1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週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セッション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CVR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ROAS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W35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12,480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2.1%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388%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W36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13,102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2.3%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401%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W37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12,955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2.4%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412%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W38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14,230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2.2%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395%</w:t>
            </w:r>
          </w:p>
        </w:tc>
      </w:tr>
    </w:tbl>
    <w:p>
      <w:pPr>
        <w:pStyle w:val="Caption"/>
      </w:pPr>
      <w:r>
        <w:t xml:space="preserve"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1</w:t>
      </w:r>
      <w:r>
        <w:fldChar w:fldCharType="end"/>
      </w:r>
      <w:r>
        <w:t xml:space="preserve">：週次の主要指標（ダミー）</w:t>
      </w:r>
    </w:p>
    <w:p>
      <w:pPr>
        <w:pStyle w:val="Heading2"/>
      </w:pPr>
      <w:r>
        <w:t xml:space="preserve">挿絵</w:t>
      </w:r>
    </w:p>
    <w:p>
      <w:r>
        <w:t xml:space="preserve">挿絵は行内配置にしている。文章を加筆しても、画像は段落と一緒に流れる。</w:t>
      </w:r>
    </w:p>
    <w:p>
      <w:pPr>
        <w:pStyle w:val="FigureBlock"/>
      </w:pPr>
      <w:r>
        <w:drawing>
          <wp:inline distT="0" distB="0" distL="0" distR="0">
            <wp:extent cx="4896104" cy="3723408"/>
            <wp:docPr id="1" name="Figure 1"/>
            <a:graphic>
              <a:graphicData uri="http://schemas.openxmlformats.org/drawingml/2006/picture">
                <pic:pic>
                  <pic:nvPicPr>
                    <pic:cNvPr id="1" name="Figure 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4896104" cy="3723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1</w:t>
      </w:r>
      <w:r>
        <w:fldChar w:fldCharType="end"/>
      </w:r>
      <w:r>
        <w:t xml:space="preserve">：note 用に作った挿絵を Word に流用</w:t>
      </w:r>
    </w:p>
    <w:p>
      <w:pPr>
        <w:pStyle w:val="Heading3"/>
      </w:pPr>
      <w:r>
        <w:t xml:space="preserve">行間の確認用（英数字混じり）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pPr>
        <w:pStyle w:val="Heading1"/>
      </w:pPr>
      <w:r>
        <w:t xml:space="preserve">まとめ</w:t>
      </w:r>
    </w:p>
    <w:p>
      <w:r>
        <w:t xml:space="preserve">フッターの「ページ / 総ページ」は自動で更新される。Web レイアウトでは表示されず、印刷・PDF 化したときに効く。</w:t>
      </w:r>
    </w:p>
    <w:p>
      <w:pPr>
        <w:pStyle w:val="Heading1"/>
      </w:pPr>
      <w:r>
        <w:t>グラフ</w:t>
      </w:r>
    </w:p>
    <w:p>
      <w:r>
        <w:t xml:space="preserve">ネイティブグラフ。右クリック →「データの編集」で埋め込みの Excel が開く。正は横に置いた report_charts.xlsx。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1" name="graph1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1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2</w:t>
      </w:r>
      <w:r>
        <w:fldChar w:fldCharType="end"/>
      </w:r>
      <w:r>
        <w:t xml:space="preserve">：週次セッション（流入経路別）（graph1）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2" name="graph2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2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3</w:t>
      </w:r>
      <w:r>
        <w:fldChar w:fldCharType="end"/>
      </w:r>
      <w:r>
        <w:t xml:space="preserve">：ROAS（チャネル別）（graph2）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3" name="graph3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3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4</w:t>
      </w:r>
      <w:r>
        <w:fldChar w:fldCharType="end"/>
      </w:r>
      <w:r>
        <w:t xml:space="preserve">：週次セッション（W38 の広告経由だけ強調）（graph3）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4" name="graph4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4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5</w:t>
      </w:r>
      <w:r>
        <w:fldChar w:fldCharType="end"/>
      </w:r>
      <w:r>
        <w:t xml:space="preserve">：流入元の構成比（2026/09）（graph4）</w:t>
      </w:r>
    </w:p>
    <w:sectPr>
      <w:footerReference w:type="default" r:id="rIdFooter"/>
      <w:pgSz w:w="11906" w:h="16838"/>
      <w:pgMar w:top="1134" w:right="1134" w:bottom="1134" w:left="1134" w:header="567" w:footer="567" w:gutter="0"/>
      <w:cols w:space="425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Noto Sans JP">
    <w:charset w:val="80"/>
    <w:family w:val="swiss"/>
    <w:pitch w:val="variable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© 2026 Bigtree Lab</w:t>
    </w:r>
    <w:r>
      <w:tab/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/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multilevel"/>
    <w:lvl w:ilvl="0">
      <w:start w:val="1"/>
      <w:numFmt w:val="decimal"/>
      <w:pStyle w:val="Heading1"/>
      <w:lvlText w:val="%1."/>
      <w:lvlJc w:val="left"/>
      <w:pPr>
        <w:ind w:left="425" w:hanging="425"/>
      </w:pPr>
    </w:lvl>
    <w:lvl w:ilvl="1">
      <w:start w:val="1"/>
      <w:numFmt w:val="decimal"/>
      <w:pStyle w:val="Heading2"/>
      <w:lvlText w:val="%1.%2"/>
      <w:lvlJc w:val="left"/>
      <w:pPr>
        <w:ind w:left="567" w:hanging="567"/>
      </w:pPr>
    </w:lvl>
    <w:lvl w:ilvl="2">
      <w:start w:val="1"/>
      <w:numFmt w:val="decimal"/>
      <w:pStyle w:val="Heading3"/>
      <w:lvlText w:val="%1.%2.%3"/>
      <w:lvlJc w:val="left"/>
      <w:pPr>
        <w:ind w:left="709" w:hanging="709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420" w:hanging="210"/>
      </w:pPr>
      <w:rPr>
        <w:rFonts w:ascii="Noto Sans JP" w:hAnsi="Noto Sans JP" w:hint="default"/>
      </w:rPr>
    </w:lvl>
    <w:lvl w:ilvl="1">
      <w:start w:val="1"/>
      <w:numFmt w:val="bullet"/>
      <w:lvlText w:val="◦"/>
      <w:lvlJc w:val="left"/>
      <w:pPr>
        <w:ind w:left="840" w:hanging="210"/>
      </w:pPr>
      <w:rPr>
        <w:rFonts w:ascii="Noto Sans JP" w:hAnsi="Noto Sans JP" w:hint="default"/>
      </w:rPr>
    </w:lvl>
    <w:lvl w:ilvl="2">
      <w:start w:val="1"/>
      <w:numFmt w:val="bullet"/>
      <w:lvlText w:val="•"/>
      <w:lvlJc w:val="left"/>
      <w:pPr>
        <w:ind w:left="1260" w:hanging="210"/>
      </w:pPr>
      <w:rPr>
        <w:rFonts w:ascii="Noto Sans JP" w:hAnsi="Noto Sans JP" w:hint="default"/>
      </w:r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decimalEnclosedCircle"/>
      <w:lvlText w:val="%2"/>
      <w:lvlJc w:val="left"/>
      <w:pPr>
        <w:ind w:left="840" w:hanging="420"/>
      </w:pPr>
    </w:lvl>
    <w:lvl w:ilvl="2">
      <w:start w:val="1"/>
      <w:numFmt w:val="aiueoFullWidth"/>
      <w:lvlText w:val="%3"/>
      <w:lvlJc w:val="left"/>
      <w:pPr>
        <w:ind w:left="1260" w:hanging="42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r="http://schemas.openxmlformats.org/officeDocument/2006/relationships">
  <w:view w:val="web"/>
  <w:zoom w:percent="100"/>
  <w:embedTrueTypeFonts/>
  <w:defaultTabStop w:val="420"/>
  <w:characterSpacingControl w:val="compressPunctuation"/>
  <w:compat>
    <w:compatSetting w:name="compatibilityMode" w:uri="http://schemas.microsoft.com/office/word" w:val="15"/>
  </w:compat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Theme="minorHAnsi" w:hAnsiTheme="minorHAnsi" w:eastAsiaTheme="minorEastAsia" w:cstheme="minorBidi"/>
        <w:kern w:val="2"/>
        <w:sz w:val="21"/>
        <w:szCs w:val="21"/>
        <w:lang w:val="en-US" w:eastAsia="ja-JP" w:bidi="ar-SA"/>
      </w:rPr>
    </w:rPrDefault>
    <w:pPrDefault>
      <w:pPr>
        <w:widowControl w:val="0"/>
      </w:pPr>
    </w:pPrDefault>
  </w:docDefaults>
  <w:style w:type="paragraph" w:default="1" w:styleId="Normal">
    <w:name w:val="Normal"/>
    <w:qFormat/>
    <w:pPr>
      <w:snapToGrid w:val="0"/>
      <w:spacing w:after="160" w:line="357" w:lineRule="exact"/>
      <w:jc w:val="both"/>
    </w:pPr>
    <w:rPr>
      <w:rFonts w:asciiTheme="minorHAnsi" w:hAnsiTheme="minorHAnsi" w:eastAsiaTheme="minorEastAsia" w:cstheme="minorBidi"/>
      <w:color w:val="1F4437" w:themeColor="text1"/>
      <w:sz w:val="21"/>
      <w:szCs w:val="21"/>
    </w:rPr>
  </w:style>
  <w:style w:type="paragraph" w:styleId="Title">
    <w:name w:val="Title"/>
    <w:basedOn w:val="Normal"/>
    <w:next w:val="Normal"/>
    <w:uiPriority w:val="1"/>
    <w:qFormat/>
    <w:pPr>
      <w:snapToGrid w:val="0"/>
      <w:spacing w:after="120" w:line="624" w:lineRule="exact"/>
    </w:pPr>
    <w:rPr>
      <w:rFonts w:asciiTheme="majorHAnsi" w:hAnsiTheme="majorHAnsi" w:eastAsiaTheme="majorEastAsia" w:cstheme="majorBidi"/>
      <w:b/>
      <w:bCs/>
      <w:color w:val="1F4437" w:themeColor="text1"/>
      <w:sz w:val="48"/>
      <w:szCs w:val="48"/>
      <w:kern w:val="28"/>
    </w:rPr>
  </w:style>
  <w:style w:type="paragraph" w:styleId="Subtitle">
    <w:name w:val="Subtitle"/>
    <w:basedOn w:val="Normal"/>
    <w:next w:val="Normal"/>
    <w:uiPriority w:val="1"/>
    <w:qFormat/>
    <w:pPr>
      <w:snapToGrid w:val="0"/>
      <w:spacing w:after="480" w:line="390" w:lineRule="exact"/>
    </w:pPr>
    <w:rPr>
      <w:rFonts w:asciiTheme="minorHAnsi" w:hAnsiTheme="minorHAnsi" w:eastAsiaTheme="minorEastAsia" w:cstheme="minorBidi"/>
      <w:color w:val="66776F" w:themeColor="text2"/>
      <w:sz w:val="26"/>
      <w:szCs w:val="26"/>
    </w:rPr>
  </w:style>
  <w:style w:type="paragraph" w:styleId="Heading1">
    <w:name w:val="heading 1"/>
    <w:basedOn w:val="Normal"/>
    <w:next w:val="Normal"/>
    <w:uiPriority w:val="1"/>
    <w:qFormat/>
    <w:pPr>
      <w:keepNext/>
      <w:snapToGrid w:val="0"/>
      <w:numPr>
        <w:ilvl w:val="0"/>
        <w:numId w:val="1"/>
      </w:numPr>
      <w:spacing w:before="480" w:after="120" w:line="504" w:lineRule="exact"/>
      <w:outlineLvl w:val="0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Heading2">
    <w:name w:val="heading 2"/>
    <w:basedOn w:val="Normal"/>
    <w:next w:val="Normal"/>
    <w:uiPriority w:val="1"/>
    <w:qFormat/>
    <w:pPr>
      <w:keepNext/>
      <w:snapToGrid w:val="0"/>
      <w:numPr>
        <w:ilvl w:val="1"/>
        <w:numId w:val="1"/>
      </w:numPr>
      <w:spacing w:before="360" w:after="120" w:line="420" w:lineRule="exact"/>
      <w:outlineLvl w:val="1"/>
    </w:pPr>
    <w:rPr>
      <w:rFonts w:asciiTheme="majorHAnsi" w:hAnsiTheme="majorHAnsi" w:eastAsiaTheme="majorEastAsia" w:cstheme="majorBidi"/>
      <w:b/>
      <w:bCs/>
      <w:color w:val="1F4437" w:themeColor="text1"/>
      <w:sz w:val="30"/>
      <w:szCs w:val="30"/>
    </w:rPr>
  </w:style>
  <w:style w:type="paragraph" w:styleId="Heading3">
    <w:name w:val="heading 3"/>
    <w:basedOn w:val="Normal"/>
    <w:next w:val="Normal"/>
    <w:uiPriority w:val="1"/>
    <w:qFormat/>
    <w:pPr>
      <w:keepNext/>
      <w:snapToGrid w:val="0"/>
      <w:numPr>
        <w:ilvl w:val="2"/>
        <w:numId w:val="1"/>
      </w:numPr>
      <w:spacing w:before="240" w:after="120" w:line="350" w:lineRule="exact"/>
      <w:outlineLvl w:val="2"/>
    </w:pPr>
    <w:rPr>
      <w:rFonts w:asciiTheme="majorHAnsi" w:hAnsiTheme="majorHAnsi" w:eastAsiaTheme="majorEastAsia" w:cstheme="majorBidi"/>
      <w:b/>
      <w:bCs/>
      <w:color w:val="1F4437" w:themeColor="text1"/>
      <w:sz w:val="25"/>
      <w:szCs w:val="25"/>
    </w:rPr>
  </w:style>
  <w:style w:type="paragraph" w:styleId="ListBullet">
    <w:name w:val="List Bullet"/>
    <w:basedOn w:val="Normal"/>
    <w:next w:val="Normal"/>
    <w:uiPriority w:val="1"/>
    <w:qFormat/>
    <w:pPr>
      <w:numPr>
        <w:numId w:val="2"/>
      </w:numPr>
      <w:spacing w:after="60" w:line="357" w:lineRule="exact"/>
    </w:pPr>
    <w:rPr/>
  </w:style>
  <w:style w:type="paragraph" w:styleId="ListNumber">
    <w:name w:val="List Number"/>
    <w:basedOn w:val="Normal"/>
    <w:next w:val="Normal"/>
    <w:uiPriority w:val="1"/>
    <w:qFormat/>
    <w:pPr>
      <w:numPr>
        <w:numId w:val="3"/>
      </w:numPr>
      <w:spacing w:after="60" w:line="357" w:lineRule="exact"/>
    </w:pPr>
    <w:rPr/>
  </w:style>
  <w:style w:type="paragraph" w:styleId="Caption">
    <w:name w:val="caption"/>
    <w:basedOn w:val="Normal"/>
    <w:next w:val="Normal"/>
    <w:uiPriority w:val="1"/>
    <w:qFormat/>
    <w:pPr>
      <w:snapToGrid w:val="0"/>
      <w:spacing w:before="60" w:after="240" w:line="270" w:lineRule="exact"/>
      <w:jc w:val="center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Footer">
    <w:name w:val="footer"/>
    <w:basedOn w:val="Normal"/>
    <w:uiPriority w:val="1"/>
    <w:qFormat/>
    <w:pPr>
      <w:tabs>
        <w:tab w:val="right" w:pos="9638"/>
      </w:tabs>
      <w:spacing w:after="0" w:line="270" w:lineRule="exact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TOCHeading">
    <w:name w:val="TOC Heading"/>
    <w:basedOn w:val="Normal"/>
    <w:next w:val="Normal"/>
    <w:uiPriority w:val="1"/>
    <w:qFormat/>
    <w:pPr>
      <w:snapToGrid w:val="0"/>
      <w:spacing w:before="240" w:after="120" w:line="504" w:lineRule="exact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TOC1">
    <w:name w:val="toc 1"/>
    <w:basedOn w:val="Normal"/>
    <w:next w:val="Normal"/>
    <w:uiPriority w:val="1"/>
    <w:qFormat/>
    <w:pPr>
      <w:snapToGrid w:val="0"/>
      <w:spacing w:after="60" w:line="357" w:lineRule="exact"/>
      <w:tabs>
        <w:tab w:val="right" w:leader="dot" w:pos="9638"/>
      </w:tabs>
    </w:pPr>
    <w:rPr/>
  </w:style>
  <w:style w:type="paragraph" w:styleId="TOC2">
    <w:name w:val="toc 2"/>
    <w:basedOn w:val="Normal"/>
    <w:next w:val="Normal"/>
    <w:uiPriority w:val="1"/>
    <w:qFormat/>
    <w:pPr>
      <w:snapToGrid w:val="0"/>
      <w:spacing w:after="40" w:line="357" w:lineRule="exact"/>
      <w:ind w:left="420"/>
    </w:pPr>
    <w:rPr/>
  </w:style>
  <w:style w:type="paragraph" w:styleId="TOC3">
    <w:name w:val="toc 3"/>
    <w:basedOn w:val="Normal"/>
    <w:next w:val="Normal"/>
    <w:uiPriority w:val="1"/>
    <w:qFormat/>
    <w:pPr>
      <w:snapToGrid w:val="0"/>
      <w:spacing w:after="40" w:line="357" w:lineRule="exact"/>
      <w:ind w:left="840"/>
    </w:pPr>
    <w:rPr/>
  </w:style>
  <w:style w:type="paragraph" w:styleId="FigureBlock">
    <w:name w:val="図"/>
    <w:basedOn w:val="Normal"/>
    <w:next w:val="Caption"/>
    <w:uiPriority w:val="1"/>
    <w:qFormat/>
    <w:pPr>
      <w:snapToGrid w:val="0"/>
      <w:keepNext/>
      <w:spacing w:before="120" w:after="0" w:line="240" w:lineRule="auto"/>
      <w:jc w:val="center"/>
    </w:pPr>
    <w:rPr/>
  </w:style>
  <w:style w:type="paragraph" w:styleId="TableText">
    <w:name w:val="表内テキスト"/>
    <w:basedOn w:val="Normal"/>
    <w:next w:val="TableText"/>
    <w:uiPriority w:val="1"/>
    <w:qFormat/>
    <w:pPr>
      <w:snapToGrid w:val="0"/>
      <w:spacing w:after="0" w:line="266" w:lineRule="exact"/>
      <w:jc w:val="left"/>
    </w:pPr>
    <w:rPr>
      <w:rFonts w:asciiTheme="minorHAnsi" w:hAnsiTheme="minorHAnsi" w:eastAsiaTheme="minorEastAsia" w:cstheme="minorBidi"/>
      <w:color w:val="1F4437" w:themeColor="text1"/>
      <w:sz w:val="19"/>
      <w:szCs w:val="19"/>
    </w:rPr>
  </w:style>
  <w:style w:type="character" w:customStyle="1" w:styleId="Emph">
    <w:name w:val="強調"/>
    <w:uiPriority w:val="2"/>
    <w:qFormat/>
    <w:rPr>
      <w:b/>
      <w:bCs/>
      <w:color w:val="2F6B55" w:themeColor="accent1"/>
    </w:rPr>
  </w:style>
  <w:style w:type="character" w:customStyle="1" w:styleId="Caution">
    <w:name w:val="注意"/>
    <w:uiPriority w:val="2"/>
    <w:qFormat/>
    <w:rPr>
      <w:b/>
      <w:bCs/>
      <w:color w:val="E2773A" w:themeColor="accent6"/>
    </w:rPr>
  </w:style>
  <w:style w:type="character" w:customStyle="1" w:styleId="Figure">
    <w:name w:val="数値"/>
    <w:uiPriority w:val="2"/>
    <w:qFormat/>
    <w:rPr>
      <w:b/>
      <w:bCs/>
      <w:sz w:val="25"/>
      <w:szCs w:val="25"/>
    </w:rPr>
  </w:style>
  <w:style w:type="character" w:styleId="Hyperlink">
    <w:name w:val="Hyperlink"/>
    <w:uiPriority w:val="99"/>
    <w:unhideWhenUsed/>
    <w:rPr>
      <w:color w:val="2F6B55" w:themeColor="hyperlink"/>
      <w:u w:val="single"/>
    </w:rPr>
  </w:style>
  <w:style w:type="character" w:styleId="PlaceholderText">
    <w:name w:val="Placeholder Text"/>
    <w:semiHidden/>
    <w:rPr>
      <w:color w:val="66776F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ReportTable">
    <w:name w:val="レポート表"/>
    <w:basedOn w:val="TableNormal"/>
    <w:uiPriority w:val="3"/>
    <w:qFormat/>
    <w:pPr>
      <w:spacing w:after="0" w:line="266" w:lineRule="exact"/>
      <w:jc w:val="left"/>
      <w:snapToGrid w:val="0"/>
    </w:pPr>
    <w:rPr>
      <w:sz w:val="19"/>
      <w:szCs w:val="19"/>
    </w:rPr>
    <w:tblPr>
      <w:tblStyleRowBandSize w:val="1"/>
      <w:tblBorders>
        <w:top w:val="none" w:sz="0" w:space="0" w:color="auto"/>
        <w:left w:val="none" w:sz="0" w:space="0" w:color="auto"/>
        <w:right w:val="none" w:sz="0" w:space="0" w:color="auto"/>
        <w:bottom w:val="single" w:sz="8" w:space="0" w:color="2F6B55" w:themeColor="accent1"/>
        <w:insideH w:val="single" w:sz="4" w:space="0" w:color="C2C9C5" w:themeColor="accent5"/>
        <w:insideV w:val="none" w:sz="0" w:space="0" w:color="auto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rPr>
        <w:b/>
        <w:bCs/>
        <w:color w:val="FFFFFF" w:themeColor="background1"/>
      </w:rPr>
      <w:tcPr>
        <w:shd w:val="clear" w:color="auto" w:fill="2F6B55" w:themeFill="accent1"/>
      </w:tcPr>
    </w:tblStylePr>
    <w:tblStylePr w:type="band2Horz">
      <w:tcPr>
        <w:shd w:val="clear" w:color="auto" w:fill="F7F4EE" w:themeFill="background2"/>
      </w:tcPr>
    </w:tblStylePr>
    <w:tblStylePr w:type="firstCol">
      <w:rPr>
        <w:b/>
        <w:bCs/>
      </w:rPr>
    </w:tblStyle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webSettings" Target="webSettings.xml"/><Relationship Id="rIdFooter" Type="http://schemas.openxmlformats.org/officeDocument/2006/relationships/footer" Target="footer1.xml"/><Relationship Id="rIdImg1" Type="http://schemas.openxmlformats.org/officeDocument/2006/relationships/image" Target="media/image1.png"/><Relationship Id="rIdLink" Type="http://schemas.openxmlformats.org/officeDocument/2006/relationships/hyperlink" Target="https://note.com/bigtree_lab" TargetMode="Externa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Chart3" Type="http://schemas.openxmlformats.org/officeDocument/2006/relationships/chart" Target="charts/chart3.xml"/><Relationship Id="rIdChart4" Type="http://schemas.openxmlformats.org/officeDocument/2006/relationships/chart" Target="charts/chart4.xml"/></Relationships>
</file>

<file path=word/charts/_rels/chart1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1.xlsx"/></Relationships>
</file>

<file path=word/charts/_rels/chart2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2.xlsx"/></Relationships>
</file>

<file path=word/charts/_rels/chart3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3.xlsx"/></Relationships>
</file>

<file path=word/charts/_rels/chart4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4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広告経由</c:v>
                </c:pt>
              </c:strCache>
            </c:strRef>
          </c:tx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5200</c:v>
                </c:pt>
                <c:pt idx="1">
                  <c:v>5600</c:v>
                </c:pt>
                <c:pt idx="2">
                  <c:v>5400</c:v>
                </c:pt>
                <c:pt idx="3">
                  <c:v>6100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自然流入</c:v>
                </c:pt>
              </c:strCache>
            </c:strRef>
          </c:tx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#,##0</c:formatCode>
                <c:ptCount val="4"/>
                <c:pt idx="0">
                  <c:v>7280</c:v>
                </c:pt>
                <c:pt idx="1">
                  <c:v>7502</c:v>
                </c:pt>
                <c:pt idx="2">
                  <c:v>7555</c:v>
                </c:pt>
                <c:pt idx="3">
                  <c:v>8130</c:v>
                </c:pt>
              </c:numCache>
            </c:numRef>
          </c:val>
        </c:ser>
        <c:gapWidth val="80"/>
        <c:overlap val="-10"/>
        <c:axId val="1001"/>
        <c:axId val="1002"/>
      </c:bar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0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</c:scaling>
        <c:delete val="0"/>
        <c:axPos val="l"/>
        <c:majorGridlines>
          <c:spPr>
            <a:ln w="6350">
              <a:solidFill>
                <a:schemeClr val="bg2">
                  <a:lumMod val="90000"/>
                </a:schemeClr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0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10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0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Google</c:v>
                </c:pt>
              </c:strCache>
            </c:strRef>
          </c:tx>
          <c:spPr>
            <a:ln w="19050" cap="rnd">
              <a:solidFill>
                <a:schemeClr val="tx2"/>
              </a:solidFill>
              <a:round/>
            </a:ln>
          </c:spPr>
          <c:marker>
            <c:symbol val="none"/>
          </c:marker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0%</c:formatCode>
                <c:ptCount val="4"/>
                <c:pt idx="0">
                  <c:v>3.88</c:v>
                </c:pt>
                <c:pt idx="1">
                  <c:v>4.01</c:v>
                </c:pt>
                <c:pt idx="2">
                  <c:v>4.12</c:v>
                </c:pt>
                <c:pt idx="3">
                  <c:v>3.95</c:v>
                </c:pt>
              </c:numCache>
            </c:numRef>
          </c:val>
          <c:smooth val="0"/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Meta</c:v>
                </c:pt>
              </c:strCache>
            </c:strRef>
          </c:tx>
          <c:spPr>
            <a:ln w="19050" cap="rnd">
              <a:solidFill>
                <a:schemeClr val="tx2"/>
              </a:solidFill>
              <a:round/>
            </a:ln>
          </c:spPr>
          <c:marker>
            <c:symbol val="none"/>
          </c:marker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0%</c:formatCode>
                <c:ptCount val="4"/>
                <c:pt idx="0">
                  <c:v>2.9</c:v>
                </c:pt>
                <c:pt idx="1">
                  <c:v>3.1</c:v>
                </c:pt>
                <c:pt idx="2">
                  <c:v>2.7</c:v>
                </c:pt>
                <c:pt idx="3">
                  <c:v>3.3</c:v>
                </c:pt>
              </c:numCache>
            </c:numRef>
          </c:val>
          <c:smooth val="0"/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楽天RPP</c:v>
                </c:pt>
              </c:strCache>
            </c:strRef>
          </c:tx>
          <c:spPr>
            <a:ln w="34925" cap="rnd">
              <a:solidFill>
                <a:schemeClr val="accent6"/>
              </a:solidFill>
              <a:round/>
            </a:ln>
          </c:spPr>
          <c:marker>
            <c:symbol val="none"/>
          </c:marker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Sheet1!$D$2:$D$5</c:f>
              <c:numCache>
                <c:formatCode>0%</c:formatCode>
                <c:ptCount val="4"/>
                <c:pt idx="0">
                  <c:v>4.5</c:v>
                </c:pt>
                <c:pt idx="1">
                  <c:v>4.2</c:v>
                </c:pt>
                <c:pt idx="2">
                  <c:v>4.8</c:v>
                </c:pt>
                <c:pt idx="3">
                  <c:v>5.1</c:v>
                </c:pt>
              </c:numCache>
            </c:numRef>
          </c:val>
          <c:smooth val="0"/>
        </c:ser>
        <c:marker val="1"/>
        <c:axId val="1001"/>
        <c:axId val="1002"/>
      </c:line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0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</c:scaling>
        <c:delete val="0"/>
        <c:axPos val="l"/>
        <c:majorGridlines>
          <c:spPr>
            <a:ln w="6350">
              <a:solidFill>
                <a:schemeClr val="bg2">
                  <a:lumMod val="90000"/>
                </a:schemeClr>
              </a:solidFill>
            </a:ln>
          </c:spPr>
        </c:majorGridlines>
        <c:numFmt formatCode="0%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0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10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0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広告経由</c:v>
                </c:pt>
              </c:strCache>
            </c:strRef>
          </c:tx>
          <c:spPr>
            <a:solidFill>
              <a:schemeClr val="accent1">
                <a:lumMod val="40000"/>
                <a:lumOff val="60000"/>
              </a:schemeClr>
            </a:solidFill>
            <a:ln>
              <a:noFill/>
            </a:ln>
          </c:spPr>
          <c:invertIfNegative val="0"/>
          <c:dPt>
            <c:idx val="3"/>
            <c:invertIfNegative val="0"/>
            <c:bubble3D val="0"/>
            <c:spPr>
              <a:solidFill>
                <a:schemeClr val="accent1"/>
              </a:solidFill>
              <a:ln w="28575">
                <a:solidFill>
                  <a:schemeClr val="accent6"/>
                </a:solidFill>
              </a:ln>
            </c:spPr>
          </c:dPt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5200</c:v>
                </c:pt>
                <c:pt idx="1">
                  <c:v>5600</c:v>
                </c:pt>
                <c:pt idx="2">
                  <c:v>5400</c:v>
                </c:pt>
                <c:pt idx="3">
                  <c:v>6100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自然流入</c:v>
                </c:pt>
              </c:strCache>
            </c:strRef>
          </c:tx>
          <c:spPr>
            <a:solidFill>
              <a:schemeClr val="accent2">
                <a:lumMod val="40000"/>
                <a:lumOff val="60000"/>
              </a:schemeClr>
            </a:solidFill>
            <a:ln>
              <a:noFill/>
            </a:ln>
          </c:spPr>
          <c:invertIfNegative val="0"/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#,##0</c:formatCode>
                <c:ptCount val="4"/>
                <c:pt idx="0">
                  <c:v>7280</c:v>
                </c:pt>
                <c:pt idx="1">
                  <c:v>7502</c:v>
                </c:pt>
                <c:pt idx="2">
                  <c:v>7555</c:v>
                </c:pt>
                <c:pt idx="3">
                  <c:v>8130</c:v>
                </c:pt>
              </c:numCache>
            </c:numRef>
          </c:val>
        </c:ser>
        <c:gapWidth val="80"/>
        <c:overlap val="-10"/>
        <c:axId val="1001"/>
        <c:axId val="1002"/>
      </c:bar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0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</c:scaling>
        <c:delete val="0"/>
        <c:axPos val="l"/>
        <c:majorGridlines>
          <c:spPr>
            <a:ln w="6350">
              <a:solidFill>
                <a:schemeClr val="bg2">
                  <a:lumMod val="90000"/>
                </a:schemeClr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0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10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0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bar"/>
        <c:grouping val="percent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検索</c:v>
                </c:pt>
              </c:strCache>
            </c:strRef>
          </c:tx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Sheet1!$B$2:$B$2</c:f>
              <c:numCache>
                <c:formatCode>0%</c:formatCode>
                <c:ptCount val="1"/>
                <c:pt idx="0">
                  <c:v>0.58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SNS</c:v>
                </c:pt>
              </c:strCache>
            </c:strRef>
          </c:tx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Sheet1!$C$2:$C$2</c:f>
              <c:numCache>
                <c:formatCode>0%</c:formatCode>
                <c:ptCount val="1"/>
                <c:pt idx="0">
                  <c:v>0.21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note 内</c:v>
                </c:pt>
              </c:strCache>
            </c:strRef>
          </c:tx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Sheet1!$D$2:$D$2</c:f>
              <c:numCache>
                <c:formatCode>0%</c:formatCode>
                <c:ptCount val="1"/>
                <c:pt idx="0">
                  <c:v>0.13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その他</c:v>
                </c:pt>
              </c:strCache>
            </c:strRef>
          </c:tx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Sheet1!$E$2:$E$2</c:f>
              <c:numCache>
                <c:formatCode>0%</c:formatCode>
                <c:ptCount val="1"/>
                <c:pt idx="0">
                  <c:v>0.08</c:v>
                </c:pt>
              </c:numCache>
            </c:numRef>
          </c:val>
        </c:ser>
        <c:gapWidth val="60"/>
        <c:overlap val="100"/>
        <c:axId val="1001"/>
        <c:axId val="1002"/>
      </c:barChart>
      <c:catAx>
        <c:axId val="1001"/>
        <c:scaling>
          <c:orientation val="minMax"/>
        </c:scaling>
        <c:delete val="1"/>
        <c:axPos val="l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0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</c:scaling>
        <c:delete val="0"/>
        <c:axPos val="b"/>
        <c:majorGridlines>
          <c:spPr>
            <a:ln w="6350">
              <a:solidFill>
                <a:schemeClr val="bg2">
                  <a:lumMod val="90000"/>
                </a:schemeClr>
              </a:solidFill>
            </a:ln>
          </c:spPr>
        </c:majorGridlines>
        <c:numFmt formatCode="0%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0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10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0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Bigtree Lab">
  <a:themeElements>
    <a:clrScheme name="Bigtree Lab">
      <a:dk1>
        <a:srgbClr val="1F4437"/>
      </a:dk1>
      <a:lt1>
        <a:srgbClr val="FFFFFF"/>
      </a:lt1>
      <a:dk2>
        <a:srgbClr val="66776F"/>
      </a:dk2>
      <a:lt2>
        <a:srgbClr val="F7F4EE"/>
      </a:lt2>
      <a:accent1>
        <a:srgbClr val="2F6B55"/>
      </a:accent1>
      <a:accent2>
        <a:srgbClr val="FFCB68"/>
      </a:accent2>
      <a:accent3>
        <a:srgbClr val="66776F"/>
      </a:accent3>
      <a:accent4>
        <a:srgbClr val="94A09A"/>
      </a:accent4>
      <a:accent5>
        <a:srgbClr val="C2C9C5"/>
      </a:accent5>
      <a:accent6>
        <a:srgbClr val="E2773A"/>
      </a:accent6>
      <a:hlink>
        <a:srgbClr val="2F6B55"/>
      </a:hlink>
      <a:folHlink>
        <a:srgbClr val="66776F"/>
      </a:folHlink>
    </a:clrScheme>
    <a:fontScheme name="Noto Sans JP">
      <a:majorFont>
        <a:latin typeface="Noto Sans JP"/>
        <a:ea typeface="Noto Sans JP"/>
        <a:cs typeface="Noto Sans JP"/>
        <a:font script="Jpan" typeface="Noto Sans JP"/>
      </a:majorFont>
      <a:minorFont>
        <a:latin typeface="Noto Sans JP"/>
        <a:ea typeface="Noto Sans JP"/>
        <a:cs typeface="Noto Sans JP"/>
        <a:font script="Jpan" typeface="Noto Sans JP"/>
      </a:minorFont>
    </a:fontScheme>
    <a:fmtScheme name="Bigtree La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12700">
          <a:solidFill>
            <a:schemeClr val="phClr"/>
          </a:solidFill>
        </a:ln>
        <a:ln w="19050">
          <a:solidFill>
            <a:schemeClr val="phClr"/>
          </a:solidFill>
        </a:ln>
      </a:lnStyleLst>
      <a:effectStyleLst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>
  <Application>Claude Code</Application>
</Properties>
</file>

<file path=docProps/core.xml><?xml version="1.0" encoding="utf-8"?>
<cp:coreProperties xmlns:cp="http://schemas.openxmlformats.org/package/2006/metadata/core-properties" xmlns:dc="http://purl.org/dc/elements/1.1/">
  <dc:title>DOTX capability test</dc:title>
  <dc:creator>Claude Code</dc:creator>
</cp:coreProperties>
</file>