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ms-office.chartex+xml"/>
  <Override PartName="/word/charts/colors7.xml" ContentType="application/vnd.ms-office.chartcolorstyle+xml"/>
  <Override PartName="/word/charts/style7.xml" ContentType="application/vnd.ms-office.chartstyle+xml"/>
  <Override PartName="/word/charts/chart8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72551211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61077483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73249314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39999236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62236598"/>
        <w:text/>
      </w:sdtPr>
      <w:sdtContent>
        <w:p>
          <w:pPr>
            <w:pStyle w:val="Caption"/>
          </w:pPr>
          <w:r>
            <w:t xml:space="preserve">0000-00-00 ｜ サンプル ｜ 作成者名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5" name="graph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5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6</w:t>
      </w:r>
      <w:r>
        <w:fldChar w:fldCharType="end"/>
      </w:r>
      <w:r>
        <w:t xml:space="preserve">：セッションと CVR（graph5）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6" name="graph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6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7</w:t>
      </w:r>
      <w:r>
        <w:fldChar w:fldCharType="end"/>
      </w:r>
      <w:r>
        <w:t xml:space="preserve">：流入経路の前年との差（graph7）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7" name="graph8"/>
            <a:graphic xmlns:a="http://schemas.openxmlformats.org/drawingml/2006/main">
              <a:graphicData uri="http://schemas.microsoft.com/office/drawing/2014/chartex">
                <cx:chart xmlns:cx="http://schemas.microsoft.com/office/drawing/2014/chartex" xmlns:r="http://schemas.openxmlformats.org/officeDocument/2006/relationships" r:id="rIdChart7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8</w:t>
      </w:r>
      <w:r>
        <w:fldChar w:fldCharType="end"/>
      </w:r>
      <w:r>
        <w:t xml:space="preserve">：セッションの増減内訳（Excel 純正のウォーターフォール）（graph8）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8" name="graph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8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9</w:t>
      </w:r>
      <w:r>
        <w:fldChar w:fldCharType="end"/>
      </w:r>
      <w:r>
        <w:t xml:space="preserve">：セッションの増減内訳（8月→9月）（graph6）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microsoft.com/office/2014/relationships/chartEx" Target="charts/chart7.xml"/><Relationship Id="rIdChart8" Type="http://schemas.openxmlformats.org/officeDocument/2006/relationships/chart" Target="charts/chart8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7.xlsx"/><Relationship Id="rId2" Type="http://schemas.microsoft.com/office/2011/relationships/chartColorStyle" Target="colors7.xml"/><Relationship Id="rId3" Type="http://schemas.microsoft.com/office/2011/relationships/chartStyle" Target="style7.xml"/></Relationships>
</file>

<file path=word/charts/_rels/chart8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ax val="1"/>
          <c:min val="0"/>
        </c:scaling>
        <c:delete val="0"/>
        <c:axPos val="b"/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セッション（件）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12480</c:v>
                </c:pt>
                <c:pt idx="1">
                  <c:v>13102</c:v>
                </c:pt>
                <c:pt idx="2">
                  <c:v>12955</c:v>
                </c:pt>
                <c:pt idx="3">
                  <c:v>14230</c:v>
                </c:pt>
              </c:numCache>
            </c:numRef>
          </c:val>
        </c:ser>
        <c:gapWidth val="80"/>
        <c:axId val="1001"/>
        <c:axId val="100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CVR（%）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0.0%</c:formatCode>
                <c:ptCount val="4"/>
                <c:pt idx="0">
                  <c:v>0.021</c:v>
                </c:pt>
                <c:pt idx="1">
                  <c:v>0.023</c:v>
                </c:pt>
                <c:pt idx="2">
                  <c:v>0.024</c:v>
                </c:pt>
                <c:pt idx="3">
                  <c:v>0.022</c:v>
                </c:pt>
              </c:numCache>
            </c:numRef>
          </c:val>
          <c:smooth val="0"/>
        </c:ser>
        <c:marker val="1"/>
        <c:axId val="1003"/>
        <c:axId val="1004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  <c:valAx>
        <c:axId val="1004"/>
        <c:scaling>
          <c:orientation val="minMax"/>
        </c:scaling>
        <c:delete val="0"/>
        <c:axPos val="l"/>
        <c:numFmt formatCode="0.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3"/>
        <c:crosses val="max"/>
        <c:crossBetween val="between"/>
        <c:majorUnit val="0.005"/>
      </c:valAx>
      <c:catAx>
        <c:axId val="100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4"/>
        <c:crosses val="autoZero"/>
        <c:auto val="1"/>
        <c:lblAlgn val="ctr"/>
        <c:lblOffset val="100"/>
      </c:cat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前年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2140</c:v>
                </c:pt>
                <c:pt idx="1">
                  <c:v>1280</c:v>
                </c:pt>
                <c:pt idx="2">
                  <c:v>640</c:v>
                </c:pt>
                <c:pt idx="3">
                  <c:v>320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今年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3480</c:v>
                </c:pt>
                <c:pt idx="1">
                  <c:v>1020</c:v>
                </c:pt>
                <c:pt idx="2">
                  <c:v>980</c:v>
                </c:pt>
                <c:pt idx="3">
                  <c:v>410</c:v>
                </c:pt>
              </c:numCache>
            </c:numRef>
          </c:val>
        </c:ser>
        <c:gapWidth val="60"/>
        <c:overlap val="-1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b"/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7.xml><?xml version="1.0" encoding="utf-8"?>
<cx:chartSpace xmlns:cx="http://schemas.microsoft.com/office/drawing/2014/chartex" xmlns:a="http://schemas.openxmlformats.org/drawingml/2006/main" xmlns:r="http://schemas.openxmlformats.org/officeDocument/2006/relationships">
  <cx:chartData>
    <cx:externalData r:id="rId1" cx:autoUpdate="0"/>
    <cx:data id="0">
      <cx:strDim type="cat">
        <cx:f>Sheet1!$A$2:$A$7</cx:f>
        <cx:lvl ptCount="6">
          <cx:pt idx="0">8月</cx:pt>
          <cx:pt idx="1">検索</cx:pt>
          <cx:pt idx="2">その他</cx:pt>
          <cx:pt idx="3">内部リンク</cx:pt>
          <cx:pt idx="4">SNS</cx:pt>
          <cx:pt idx="5">9月</cx:pt>
        </cx:lvl>
      </cx:strDim>
      <cx:numDim type="val">
        <cx:f>Sheet1!$B$2:$B$7</cx:f>
        <cx:lvl ptCount="6" formatCode="#,##0">
          <cx:pt idx="0">12480</cx:pt>
          <cx:pt idx="1">1340</cx:pt>
          <cx:pt idx="2">690</cx:pt>
          <cx:pt idx="3">340</cx:pt>
          <cx:pt idx="4">-620</cx:pt>
          <cx:pt idx="5">14230</cx:pt>
        </cx:lvl>
      </cx:numDim>
    </cx:data>
  </cx:chartData>
  <cx:chart>
    <cx:plotArea>
      <cx:plotAreaRegion>
        <cx:series layoutId="waterfall" uniqueId="{00000000-1111-2222-3333-444444444444}">
          <cx:tx>
            <cx:txData>
              <cx:f>Sheet1!$B$1</cx:f>
              <cx:v>増減</cx:v>
            </cx:txData>
          </cx:tx>
          <cx:dataLabels pos="outEnd">
            <cx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</a:p>
            </cx:txPr>
            <cx:visibility seriesName="0" categoryName="0" value="1"/>
          </cx:dataLabels>
          <cx:dataId val="0"/>
          <cx:layoutPr>
            <cx:subtotals>
              <cx:idx val="0"/>
              <cx:idx val="5"/>
            </cx:subtotals>
          </cx:layoutPr>
        </cx:series>
      </cx:plotAreaRegion>
      <cx:axis id="0">
        <cx:catScaling gapWidth="0.5"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  <cx:axis id="1">
        <cx:valScaling/>
        <cx:majorGridlines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</cx:plotArea>
  </cx:chart>
  <cx:spPr>
    <a:noFill/>
    <a:ln>
      <a:noFill/>
    </a:ln>
  </cx:spPr>
</cx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土台</c:v>
                </c:pt>
              </c:strCache>
            </c:strRef>
          </c:tx>
          <c:spPr>
            <a:noFill/>
            <a:ln>
              <a:noFill/>
            </a:ln>
          </c:spPr>
          <c:invertIfNegative val="0"/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0</c:v>
                </c:pt>
                <c:pt idx="1">
                  <c:v>12480</c:v>
                </c:pt>
                <c:pt idx="2">
                  <c:v>13820</c:v>
                </c:pt>
                <c:pt idx="3">
                  <c:v>14510</c:v>
                </c:pt>
                <c:pt idx="4">
                  <c:v>14230</c:v>
                </c:pt>
                <c:pt idx="5">
                  <c:v>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増加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Sheet1!$C$2:$C$7</c:f>
              <c:numCache>
                <c:formatCode>#,##0</c:formatCode>
                <c:ptCount val="6"/>
                <c:pt idx="1">
                  <c:v>1340</c:v>
                </c:pt>
                <c:pt idx="2">
                  <c:v>690</c:v>
                </c:pt>
                <c:pt idx="3">
                  <c:v>340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減少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Sheet1!$D$2:$D$7</c:f>
              <c:numCache>
                <c:formatCode>#,##0</c:formatCode>
                <c:ptCount val="6"/>
                <c:pt idx="4">
                  <c:v>620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合計</c:v>
                </c:pt>
              </c:strCache>
            </c:strRef>
          </c:tx>
          <c:spPr>
            <a:solidFill>
              <a:schemeClr val="tx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Sheet1!$E$2:$E$7</c:f>
              <c:numCache>
                <c:formatCode>#,##0</c:formatCode>
                <c:ptCount val="6"/>
                <c:pt idx="0">
                  <c:v>12480</c:v>
                </c:pt>
                <c:pt idx="5">
                  <c:v>14230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1100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3"/>
  <a:schemeClr val="tx1"/>
  <a:schemeClr val="accent4"/>
  <a:schemeClr val="accent5"/>
  <a:schemeClr val="accent2"/>
  <cs:variation/>
  <cs:variation>
    <a:lumMod val="60000"/>
  </cs:variation>
  <cs:variation>
    <a:lumMod val="80000"/>
    <a:lumOff val="20000"/>
  </cs:variation>
</cs:color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/>
    </cs:fontRef>
    <cs:defRPr/>
  </cs:axisTitle>
  <cs:categoryAxis>
    <cs:lnRef idx="0"/>
    <cs:fillRef idx="0"/>
    <cs:effectRef idx="0"/>
    <cs:fontRef idx="minor">
      <a:schemeClr val="tx1"/>
    </cs:fontRef>
    <cs:defRPr/>
  </cs:categoryAxis>
  <cs:chartArea>
    <cs:lnRef idx="0"/>
    <cs:fillRef idx="0"/>
    <cs:effectRef idx="0"/>
    <cs:fontRef idx="minor">
      <a:schemeClr val="tx1"/>
    </cs:fontRef>
  </cs:chartArea>
  <cs:dataLabel>
    <cs:lnRef idx="0"/>
    <cs:fillRef idx="0"/>
    <cs:effectRef idx="0"/>
    <cs:fontRef idx="minor">
      <a:schemeClr val="tx1"/>
    </cs:fontRef>
    <cs:defRPr/>
  </cs:dataLabel>
  <cs:dataLabelCallout>
    <cs:lnRef idx="0"/>
    <cs:fillRef idx="0"/>
    <cs:effectRef idx="0"/>
    <cs:fontRef idx="minor">
      <a:schemeClr val="tx1"/>
    </cs:fontRef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/>
    <cs:fillRef idx="1">
      <cs:styleClr val="auto"/>
    </cs:fillRef>
    <cs:effectRef idx="0"/>
    <cs:fontRef idx="minor">
      <a:schemeClr val="tx1"/>
    </cs:fontRef>
  </cs:dataPointLine>
  <cs:dataPointMarker>
    <cs:lnRef idx="0"/>
    <cs:fillRef idx="1">
      <cs:styleClr val="auto"/>
    </cs:fillRef>
    <cs:effectRef idx="0"/>
    <cs:fontRef idx="minor">
      <a:schemeClr val="tx1"/>
    </cs:fontRef>
  </cs:dataPointMarker>
  <cs:dataPointWireframe>
    <cs:lnRef idx="0"/>
    <cs:fillRef idx="1">
      <cs:styleClr val="auto"/>
    </cs:fillRef>
    <cs:effectRef idx="0"/>
    <cs:fontRef idx="minor">
      <a:schemeClr val="tx1"/>
    </cs:fontRef>
  </cs:dataPointWireframe>
  <cs:dataTable>
    <cs:lnRef idx="0"/>
    <cs:fillRef idx="0"/>
    <cs:effectRef idx="0"/>
    <cs:fontRef idx="minor">
      <a:schemeClr val="tx1"/>
    </cs:fontRef>
    <cs:defRPr/>
  </cs:dataTable>
  <cs:downBar>
    <cs:lnRef idx="0"/>
    <cs:fillRef idx="0"/>
    <cs:effectRef idx="0"/>
    <cs:fontRef idx="minor">
      <a:schemeClr val="tx1"/>
    </cs:fontRef>
  </cs:downBar>
  <cs:dropLine>
    <cs:lnRef idx="0"/>
    <cs:fillRef idx="0"/>
    <cs:effectRef idx="0"/>
    <cs:fontRef idx="minor">
      <a:schemeClr val="tx1"/>
    </cs:fontRef>
  </cs:dropLine>
  <cs:errorBar>
    <cs:lnRef idx="0"/>
    <cs:fillRef idx="0"/>
    <cs:effectRef idx="0"/>
    <cs:fontRef idx="minor">
      <a:schemeClr val="tx1"/>
    </cs:fontRef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</cs:gridlineMajor>
  <cs:gridlineMinor>
    <cs:lnRef idx="0"/>
    <cs:fillRef idx="0"/>
    <cs:effectRef idx="0"/>
    <cs:fontRef idx="minor">
      <a:schemeClr val="tx1"/>
    </cs:fontRef>
  </cs:gridlineMinor>
  <cs:hiLoLine>
    <cs:lnRef idx="0"/>
    <cs:fillRef idx="0"/>
    <cs:effectRef idx="0"/>
    <cs:fontRef idx="minor">
      <a:schemeClr val="tx1"/>
    </cs:fontRef>
  </cs:hiLoLine>
  <cs:leaderLine>
    <cs:lnRef idx="0"/>
    <cs:fillRef idx="0"/>
    <cs:effectRef idx="0"/>
    <cs:fontRef idx="minor">
      <a:schemeClr val="tx1"/>
    </cs:fontRef>
  </cs:leaderLine>
  <cs:legend>
    <cs:lnRef idx="0"/>
    <cs:fillRef idx="0"/>
    <cs:effectRef idx="0"/>
    <cs:fontRef idx="minor">
      <a:schemeClr val="tx1"/>
    </cs:fontRef>
    <cs:defRPr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/>
    </cs:fontRef>
    <cs:defRPr/>
  </cs:seriesAxis>
  <cs:seriesLine>
    <cs:lnRef idx="0"/>
    <cs:fillRef idx="0"/>
    <cs:effectRef idx="0"/>
    <cs:fontRef idx="minor">
      <a:schemeClr val="tx1"/>
    </cs:fontRef>
  </cs:seriesLine>
  <cs:title>
    <cs:lnRef idx="0"/>
    <cs:fillRef idx="0"/>
    <cs:effectRef idx="0"/>
    <cs:fontRef idx="minor">
      <a:schemeClr val="tx1"/>
    </cs:fontRef>
    <cs:defRPr/>
  </cs:title>
  <cs:trendline>
    <cs:lnRef idx="0"/>
    <cs:fillRef idx="0"/>
    <cs:effectRef idx="0"/>
    <cs:fontRef idx="minor">
      <a:schemeClr val="tx1"/>
    </cs:fontRef>
  </cs:trendline>
  <cs:trendlineLabel>
    <cs:lnRef idx="0"/>
    <cs:fillRef idx="0"/>
    <cs:effectRef idx="0"/>
    <cs:fontRef idx="minor">
      <a:schemeClr val="tx1"/>
    </cs:fontRef>
    <cs:defRPr/>
  </cs:trendlineLabel>
  <cs:upBar>
    <cs:lnRef idx="0"/>
    <cs:fillRef idx="0"/>
    <cs:effectRef idx="0"/>
    <cs:fontRef idx="minor">
      <a:schemeClr val="tx1"/>
    </cs:fontRef>
  </cs:upBar>
  <cs:valueAxis>
    <cs:lnRef idx="0"/>
    <cs:fillRef idx="0"/>
    <cs:effectRef idx="0"/>
    <cs:fontRef idx="minor">
      <a:schemeClr val="tx1"/>
    </cs:fontRef>
    <cs:defRPr/>
  </cs:valueAxis>
  <cs:wall>
    <cs:lnRef idx="0"/>
    <cs:fillRef idx="0"/>
    <cs:effectRef idx="0"/>
    <cs:fontRef idx="minor">
      <a:schemeClr val="tx1"/>
    </cs:fontRef>
  </cs:wall>
  <cs:dataPointMarkerLayout symbol="circle" size="5"/>
</cs:chartStyl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