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ms-office.chartex+xml"/>
  <Override PartName="/word/charts/colors7.xml" ContentType="application/vnd.ms-office.chartcolorstyle+xml"/>
  <Override PartName="/word/charts/style7.xml" ContentType="application/vnd.ms-office.chartstyle+xml"/>
  <Override PartName="/word/charts/chart8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igureBlock"/>
      </w:pPr>
      <w:r>
        <w:drawing>
          <wp:inline distT="0" distB="0" distL="0" distR="0">
            <wp:extent cx="734415" cy="968459"/>
            <wp:docPr id="1" name="Logo"/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734415" cy="96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資料の区分"/>
        <w:tag w:val="classification"/>
        <w:id w:val="25408006"/>
        <w:text/>
      </w:sdtPr>
      <w:sdtContent>
        <w:p>
          <w:pPr>
            <w:pStyle w:val="Caption"/>
          </w:pPr>
          <w:r>
            <w:t xml:space="preserve">公開用 ｜ ドラフト</w:t>
          </w:r>
        </w:p>
      </w:sdtContent>
    </w:sdt>
    <w:sdt>
      <w:sdtPr>
        <w:alias w:val="宛先"/>
        <w:tag w:val="recipient"/>
        <w:id w:val="19781800"/>
        <w:text/>
      </w:sdtPr>
      <w:sdtContent>
        <w:p>
          <w:pPr>
            <w:pStyle w:val="Normal"/>
          </w:pPr>
          <w:r>
            <w:t xml:space="preserve">サンプル宛先　テンプレート確認用</w:t>
          </w:r>
        </w:p>
      </w:sdtContent>
    </w:sdt>
    <w:sdt>
      <w:sdtPr>
        <w:alias w:val="タイトル"/>
        <w:tag w:val="title"/>
        <w:id w:val="85256438"/>
        <w:text/>
      </w:sdtPr>
      <w:sdtContent>
        <w:p>
          <w:pPr>
            <w:pStyle w:val="Title"/>
          </w:pPr>
          <w:r>
            <w:t xml:space="preserve">サンプル文書（表示確認用）</w:t>
          </w:r>
        </w:p>
      </w:sdtContent>
    </w:sdt>
    <w:sdt>
      <w:sdtPr>
        <w:alias w:val="サブタイトル"/>
        <w:tag w:val="subtitle"/>
        <w:id w:val="20660267"/>
        <w:text/>
      </w:sdtPr>
      <w:sdtContent>
        <w:p>
          <w:pPr>
            <w:pStyle w:val="Subtitle"/>
          </w:pPr>
          <w:r>
            <w:t xml:space="preserve">ダミーテキストのみ・実データではない</w:t>
          </w:r>
        </w:p>
      </w:sdtContent>
    </w:sdt>
    <w:sdt>
      <w:sdtPr>
        <w:alias w:val="日付・作成者"/>
        <w:tag w:val="meta"/>
        <w:id w:val="25800164"/>
        <w:text/>
      </w:sdtPr>
      <w:sdtContent>
        <w:p>
          <w:pPr>
            <w:pStyle w:val="Caption"/>
          </w:pPr>
          <w:r>
            <w:t xml:space="preserve">2026-09-18 ｜ Bigtree Lab ｜ だいき君</w:t>
          </w:r>
        </w:p>
      </w:sdtContent>
    </w:sdt>
    <w:p>
      <w:pPr>
        <w:pStyle w:val="TOCHeading"/>
      </w:pPr>
      <w:r>
        <w:t xml:space="preserve">目次</w:t>
      </w:r>
    </w:p>
    <w:p>
      <w:pPr>
        <w:pStyle w:val="TOC1"/>
      </w:pPr>
      <w:r>
        <w:fldChar w:fldCharType="begin"/>
      </w:r>
      <w:r>
        <w:instrText xml:space="preserve">  TOC \o "1-2" \h \z \u \n </w:instrText>
      </w:r>
      <w:r>
        <w:fldChar w:fldCharType="separate"/>
      </w:r>
      <w:r>
        <w:t>［ここに目次が入ります。右クリック →「フィールド更新」］</w:t>
      </w:r>
      <w:r>
        <w:fldChar w:fldCharType="end"/>
      </w:r>
    </w:p>
    <w:p>
      <w:pPr>
        <w:pStyle w:val="Heading1"/>
      </w:pPr>
      <w:r>
        <w:t xml:space="preserve">この文書について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この段落には文字スタイルを当てている。</w:t>
      </w:r>
      <w:r>
        <w:rPr>
          <w:rStyle w:val="Emph"/>
        </w:rPr>
        <w:t xml:space="preserve">強調したい語句</w:t>
      </w:r>
      <w:r>
        <w:t xml:space="preserve">、</w:t>
      </w:r>
      <w:r>
        <w:rPr>
          <w:rStyle w:val="Caution"/>
        </w:rPr>
        <w:t xml:space="preserve">注意喚起</w:t>
      </w:r>
      <w:r>
        <w:t xml:space="preserve">、そして数値の </w:t>
      </w:r>
      <w:r>
        <w:rPr>
          <w:rStyle w:val="Figure"/>
        </w:rPr>
        <w:t xml:space="preserve">サンプル指標 12.3%</w:t>
      </w:r>
      <w:r>
        <w:t xml:space="preserve"> のような例。リンクは </w:t>
      </w:r>
      <w:hyperlink r:id="rIdLink" w:history="1">
        <w:r>
          <w:rPr>
            <w:rStyle w:val="Hyperlink"/>
          </w:rPr>
          <w:t xml:space="preserve">サンプルのリンク先</w:t>
        </w:r>
      </w:hyperlink>
      <w:r>
        <w:t xml:space="preserve"> のように組み込みのスタイルを使う。</w:t>
      </w:r>
    </w:p>
    <w:p>
      <w:pPr>
        <w:pStyle w:val="Heading2"/>
      </w:pPr>
      <w:r>
        <w:t xml:space="preserve">箇条書き</w:t>
      </w:r>
    </w:p>
    <w:p>
      <w:pPr>
        <w:pStyle w:val="ListBullet"/>
      </w:pPr>
      <w:r>
        <w:t xml:space="preserve">箇条書きの第1レベル</w:t>
      </w:r>
    </w:p>
    <w:p>
      <w:pPr>
        <w:pStyle w:val="ListBullet"/>
        <w:numPr>
          <w:ilvl w:val="1"/>
        </w:numPr>
      </w:pPr>
      <w:r>
        <w:t xml:space="preserve">Tab を押すとここ（第2レベル）に下がる</w:t>
      </w:r>
    </w:p>
    <w:p>
      <w:pPr>
        <w:pStyle w:val="ListBullet"/>
        <w:numPr>
          <w:ilvl w:val="2"/>
        </w:numPr>
      </w:pPr>
      <w:r>
        <w:t xml:space="preserve">第3レベル</w:t>
      </w:r>
    </w:p>
    <w:p>
      <w:pPr>
        <w:pStyle w:val="ListBullet"/>
      </w:pPr>
      <w:r>
        <w:t xml:space="preserve">第1レベルに戻る</w:t>
      </w:r>
    </w:p>
    <w:p>
      <w:pPr>
        <w:pStyle w:val="Heading2"/>
      </w:pPr>
      <w:r>
        <w:t xml:space="preserve">番号付きリスト</w:t>
      </w:r>
    </w:p>
    <w:p>
      <w:pPr>
        <w:pStyle w:val="ListNumber"/>
      </w:pPr>
      <w:r>
        <w:t xml:space="preserve">手順その1</w:t>
      </w:r>
    </w:p>
    <w:p>
      <w:pPr>
        <w:pStyle w:val="ListNumber"/>
      </w:pPr>
      <w:r>
        <w:t xml:space="preserve">手順その2</w:t>
      </w:r>
    </w:p>
    <w:p>
      <w:pPr>
        <w:pStyle w:val="ListNumber"/>
      </w:pPr>
      <w:r>
        <w:t xml:space="preserve">手順その3</w:t>
      </w:r>
    </w:p>
    <w:p>
      <w:pPr>
        <w:pStyle w:val="Heading1"/>
      </w:pPr>
      <w:r>
        <w:t xml:space="preserve">表と挿絵</w:t>
      </w:r>
    </w:p>
    <w:p>
      <w:pPr>
        <w:pStyle w:val="Heading2"/>
      </w:pPr>
      <w:r>
        <w:t xml:space="preserve">サンプルの表</w:t>
      </w:r>
    </w:p>
    <w:p>
      <w:r>
        <w:t xml:space="preserve">見出し番号（1. / 1.1）はすべて自動採番で、手では打っていない。</w:t>
      </w:r>
    </w:p>
    <w:tbl>
      <w:tblPr>
        <w:tblStyle w:val="ReportTable"/>
        <w:tblW w:w="9638" w:type="dxa"/>
        <w:tblLook w:val="04A0" w:firstRow="1" w:lastRow="0" w:firstColumn="0" w:lastColumn="0" w:noHBand="0" w:noVBand="1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項目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サンプル指標A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サンプル指標B</w:t>
            </w:r>
          </w:p>
        </w:tc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サンプル指標C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行1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1,234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12.3%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123%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行2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2,345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23.4%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234%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行3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3,456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34.5%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345%</w:t>
            </w:r>
          </w:p>
        </w:tc>
      </w:tr>
      <w:tr>
        <w:tc>
          <w:tcPr>
            <w:tcW w:w="2409" w:type="dxa"/>
          </w:tcPr>
          <w:p>
            <w:pPr>
              <w:pStyle w:val="TableText"/>
              <w:jc w:val="left"/>
            </w:pPr>
            <w:r>
              <w:t xml:space="preserve">行4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4,567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45.6%</w:t>
            </w:r>
          </w:p>
        </w:tc>
        <w:tc>
          <w:tcPr>
            <w:tcW w:w="2409" w:type="dxa"/>
          </w:tcPr>
          <w:p>
            <w:pPr>
              <w:pStyle w:val="TableText"/>
              <w:jc w:val="right"/>
            </w:pPr>
            <w:r>
              <w:t xml:space="preserve">456%</w:t>
            </w:r>
          </w:p>
        </w:tc>
      </w:tr>
    </w:tbl>
    <w:p>
      <w:pPr>
        <w:pStyle w:val="Caption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 xml:space="preserve">：サンプルの表（ダミー）</w:t>
      </w:r>
    </w:p>
    <w:p>
      <w:pPr>
        <w:pStyle w:val="Heading2"/>
      </w:pPr>
      <w:r>
        <w:t xml:space="preserve">挿絵</w:t>
      </w:r>
    </w:p>
    <w:p>
      <w:r>
        <w:t xml:space="preserve">挿絵は行内配置にしている。文章を加筆しても、画像は段落と一緒に流れる。</w:t>
      </w:r>
    </w:p>
    <w:p>
      <w:pPr>
        <w:pStyle w:val="FigureBlock"/>
      </w:pPr>
      <w:r>
        <w:drawing>
          <wp:inline distT="0" distB="0" distL="0" distR="0">
            <wp:extent cx="4896104" cy="2121645"/>
            <wp:docPr id="1" name="Figure 1"/>
            <a:graphic>
              <a:graphicData uri="http://schemas.openxmlformats.org/drawingml/2006/picture">
                <pic:pic>
                  <pic:nvPicPr>
                    <pic:cNvPr id="1" name="Fig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96104" cy="21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1</w:t>
      </w:r>
      <w:r>
        <w:fldChar w:fldCharType="end"/>
      </w:r>
      <w:r>
        <w:t xml:space="preserve">：サンプルの挿絵（ダミー）</w:t>
      </w:r>
    </w:p>
    <w:p>
      <w:pPr>
        <w:pStyle w:val="Heading3"/>
      </w:pPr>
      <w:r>
        <w:t xml:space="preserve">行間の確認用（英数字混じり）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r>
        <w:t xml:space="preserve">これはテンプレートの表示を確かめるためのダミー文書である。項目名も数値もすべて架空のもので、実在のデータを示すものではない。本文の行間、見出しの間隔、表や挿絵の流れ方、段落の続き方を確かめるために、同じ長さの段落を繰り返し置いている。</w:t>
      </w:r>
    </w:p>
    <w:p>
      <w:pPr>
        <w:pStyle w:val="Heading1"/>
      </w:pPr>
      <w:r>
        <w:t xml:space="preserve">まとめ</w:t>
      </w:r>
    </w:p>
    <w:p>
      <w:r>
        <w:t xml:space="preserve">フッターの「ページ / 総ページ」は自動で更新される。Web レイアウトでは表示されず、印刷・PDF 化したときに効く。</w:t>
      </w:r>
    </w:p>
    <w:p>
      <w:pPr>
        <w:pStyle w:val="Heading1"/>
      </w:pPr>
      <w:r>
        <w:t>グラフ</w:t>
      </w:r>
    </w:p>
    <w:p>
      <w:r>
        <w:t xml:space="preserve">ネイティブグラフ。右クリック →「データの編集」で埋め込みの Excel が開く。正は横に置いた report_charts.xlsx。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1" name="graph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2</w:t>
      </w:r>
      <w:r>
        <w:fldChar w:fldCharType="end"/>
      </w:r>
      <w:r>
        <w:t xml:space="preserve">：週次セッション（流入経路別）（graph1）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2" name="graph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2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3</w:t>
      </w:r>
      <w:r>
        <w:fldChar w:fldCharType="end"/>
      </w:r>
      <w:r>
        <w:t xml:space="preserve">：ROAS（チャネル別）（graph2）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3" name="graph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3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4</w:t>
      </w:r>
      <w:r>
        <w:fldChar w:fldCharType="end"/>
      </w:r>
      <w:r>
        <w:t xml:space="preserve">：週次セッション（W38 の広告経由だけ強調）（graph3）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4" name="graph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4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5</w:t>
      </w:r>
      <w:r>
        <w:fldChar w:fldCharType="end"/>
      </w:r>
      <w:r>
        <w:t xml:space="preserve">：流入元の構成比（2026/09）（graph4）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5" name="graph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5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6</w:t>
      </w:r>
      <w:r>
        <w:fldChar w:fldCharType="end"/>
      </w:r>
      <w:r>
        <w:t xml:space="preserve">：セッションと CVR（graph5）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6" name="graph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6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7</w:t>
      </w:r>
      <w:r>
        <w:fldChar w:fldCharType="end"/>
      </w:r>
      <w:r>
        <w:t xml:space="preserve">：流入経路の前年との差（graph7）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7" name="graph8"/>
            <a:graphic xmlns:a="http://schemas.openxmlformats.org/drawingml/2006/main">
              <a:graphicData uri="http://schemas.microsoft.com/office/drawing/2014/chartex">
                <cx:chart xmlns:cx="http://schemas.microsoft.com/office/drawing/2014/chartex" xmlns:r="http://schemas.openxmlformats.org/officeDocument/2006/relationships" r:id="rIdChart7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8</w:t>
      </w:r>
      <w:r>
        <w:fldChar w:fldCharType="end"/>
      </w:r>
      <w:r>
        <w:t xml:space="preserve">：セッションの増減内訳（Excel 純正のウォーターフォール）（graph8）</w:t>
      </w:r>
    </w:p>
    <w:p>
      <w:pPr>
        <w:pStyle w:val="FigureBlock"/>
      </w:pPr>
      <w:r>
        <w:drawing>
          <wp:inline xmlns:wp="http://schemas.openxmlformats.org/drawingml/2006/wordprocessingDrawing" distT="0" distB="0" distL="0" distR="0">
            <wp:extent cx="5508117" cy="3029464"/>
            <wp:docPr id="108" name="graph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8"/>
              </a:graphicData>
            </a:graphic>
          </wp:inline>
        </w:drawing>
      </w:r>
    </w:p>
    <w:p>
      <w:pPr>
        <w:pStyle w:val="Caption"/>
      </w:pPr>
      <w:r>
        <w:t xml:space="preserve">図 </w:t>
      </w:r>
      <w:r>
        <w:fldChar w:fldCharType="begin"/>
      </w:r>
      <w:r>
        <w:instrText xml:space="preserve"> SEQ 図 \* ARABIC </w:instrText>
      </w:r>
      <w:r>
        <w:fldChar w:fldCharType="separate"/>
      </w:r>
      <w:r>
        <w:t>9</w:t>
      </w:r>
      <w:r>
        <w:fldChar w:fldCharType="end"/>
      </w:r>
      <w:r>
        <w:t xml:space="preserve">：セッションの増減内訳（8月→9月）（graph6）</w:t>
      </w:r>
    </w:p>
    <w:sectPr>
      <w:footerReference w:type="default" r:id="rIdFooter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JP">
    <w:charset w:val="8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© 2026 Bigtree Lab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pStyle w:val="Heading1"/>
      <w:lvlText w:val="%1."/>
      <w:lvlJc w:val="left"/>
      <w:pPr>
        <w:ind w:left="425" w:hanging="425"/>
      </w:pPr>
    </w:lvl>
    <w:lvl w:ilvl="1">
      <w:start w:val="1"/>
      <w:numFmt w:val="decimal"/>
      <w:pStyle w:val="Heading2"/>
      <w:lvlText w:val="%1.%2"/>
      <w:lvlJc w:val="left"/>
      <w:pPr>
        <w:ind w:left="567" w:hanging="567"/>
      </w:pPr>
    </w:lvl>
    <w:lvl w:ilvl="2">
      <w:start w:val="1"/>
      <w:numFmt w:val="decimal"/>
      <w:pStyle w:val="Heading3"/>
      <w:lvlText w:val="%1.%2.%3"/>
      <w:lvlJc w:val="left"/>
      <w:pPr>
        <w:ind w:left="709" w:hanging="709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210"/>
      </w:pPr>
      <w:rPr>
        <w:rFonts w:ascii="Noto Sans JP" w:hAnsi="Noto Sans JP" w:hint="default"/>
      </w:rPr>
    </w:lvl>
    <w:lvl w:ilvl="1">
      <w:start w:val="1"/>
      <w:numFmt w:val="bullet"/>
      <w:lvlText w:val="◦"/>
      <w:lvlJc w:val="left"/>
      <w:pPr>
        <w:ind w:left="840" w:hanging="210"/>
      </w:pPr>
      <w:rPr>
        <w:rFonts w:ascii="Noto Sans JP" w:hAnsi="Noto Sans JP" w:hint="default"/>
      </w:rPr>
    </w:lvl>
    <w:lvl w:ilvl="2">
      <w:start w:val="1"/>
      <w:numFmt w:val="bullet"/>
      <w:lvlText w:val="•"/>
      <w:lvlJc w:val="left"/>
      <w:pPr>
        <w:ind w:left="1260" w:hanging="210"/>
      </w:pPr>
      <w:rPr>
        <w:rFonts w:ascii="Noto Sans JP" w:hAnsi="Noto Sans JP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EnclosedCircle"/>
      <w:lvlText w:val="%2"/>
      <w:lvlJc w:val="left"/>
      <w:pPr>
        <w:ind w:left="840" w:hanging="420"/>
      </w:pPr>
    </w:lvl>
    <w:lvl w:ilvl="2">
      <w:start w:val="1"/>
      <w:numFmt w:val="aiueoFullWidth"/>
      <w:lvlText w:val="%3"/>
      <w:lvlJc w:val="left"/>
      <w:pPr>
        <w:ind w:left="12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view w:val="web"/>
  <w:zoom w:percent="100"/>
  <w:embedTrueTypeFonts/>
  <w:defaultTabStop w:val="420"/>
  <w:characterSpacingControl w:val="compressPunctuation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hAnsiTheme="minorHAnsi" w:eastAsiaTheme="minorEastAsia" w:cstheme="minorBidi"/>
        <w:kern w:val="2"/>
        <w:sz w:val="21"/>
        <w:szCs w:val="21"/>
        <w:lang w:val="en-US" w:eastAsia="ja-JP" w:bidi="ar-SA"/>
      </w:rPr>
    </w:rPrDefault>
    <w:pPrDefault>
      <w:pPr>
        <w:widowControl w:val="0"/>
      </w:pPr>
    </w:pPrDefault>
  </w:docDefaults>
  <w:style w:type="paragraph" w:default="1" w:styleId="Normal">
    <w:name w:val="Normal"/>
    <w:qFormat/>
    <w:pPr>
      <w:snapToGrid w:val="0"/>
      <w:spacing w:after="160" w:line="357" w:lineRule="exact"/>
      <w:jc w:val="both"/>
    </w:pPr>
    <w:rPr>
      <w:rFonts w:asciiTheme="minorHAnsi" w:hAnsiTheme="minorHAnsi" w:eastAsiaTheme="minorEastAsia" w:cstheme="minorBidi"/>
      <w:color w:val="1F4437" w:themeColor="text1"/>
      <w:sz w:val="21"/>
      <w:szCs w:val="21"/>
    </w:rPr>
  </w:style>
  <w:style w:type="paragraph" w:styleId="Title">
    <w:name w:val="Title"/>
    <w:basedOn w:val="Normal"/>
    <w:next w:val="Normal"/>
    <w:uiPriority w:val="1"/>
    <w:qFormat/>
    <w:pPr>
      <w:snapToGrid w:val="0"/>
      <w:spacing w:after="120" w:line="624" w:lineRule="exact"/>
    </w:pPr>
    <w:rPr>
      <w:rFonts w:asciiTheme="majorHAnsi" w:hAnsiTheme="majorHAnsi" w:eastAsiaTheme="majorEastAsia" w:cstheme="majorBidi"/>
      <w:b/>
      <w:bCs/>
      <w:color w:val="1F4437" w:themeColor="text1"/>
      <w:sz w:val="48"/>
      <w:szCs w:val="48"/>
      <w:kern w:val="28"/>
    </w:rPr>
  </w:style>
  <w:style w:type="paragraph" w:styleId="Subtitle">
    <w:name w:val="Subtitle"/>
    <w:basedOn w:val="Normal"/>
    <w:next w:val="Normal"/>
    <w:uiPriority w:val="1"/>
    <w:qFormat/>
    <w:pPr>
      <w:snapToGrid w:val="0"/>
      <w:spacing w:after="480" w:line="390" w:lineRule="exact"/>
    </w:pPr>
    <w:rPr>
      <w:rFonts w:asciiTheme="minorHAnsi" w:hAnsiTheme="minorHAnsi" w:eastAsiaTheme="minorEastAsia" w:cstheme="minorBidi"/>
      <w:color w:val="66776F" w:themeColor="text2"/>
      <w:sz w:val="26"/>
      <w:szCs w:val="26"/>
    </w:rPr>
  </w:style>
  <w:style w:type="paragraph" w:styleId="Heading1">
    <w:name w:val="heading 1"/>
    <w:basedOn w:val="Normal"/>
    <w:next w:val="Normal"/>
    <w:uiPriority w:val="1"/>
    <w:qFormat/>
    <w:pPr>
      <w:keepNext/>
      <w:snapToGrid w:val="0"/>
      <w:numPr>
        <w:ilvl w:val="0"/>
        <w:numId w:val="1"/>
      </w:numPr>
      <w:spacing w:before="480" w:after="120" w:line="504" w:lineRule="exact"/>
      <w:outlineLvl w:val="0"/>
    </w:pPr>
    <w:rPr>
      <w:rFonts w:asciiTheme="majorHAnsi" w:hAnsiTheme="majorHAnsi" w:eastAsiaTheme="majorEastAsia" w:cstheme="majorBidi"/>
      <w:b/>
      <w:bCs/>
      <w:color w:val="2F6B55" w:themeColor="accent1"/>
      <w:sz w:val="36"/>
      <w:szCs w:val="36"/>
    </w:rPr>
  </w:style>
  <w:style w:type="paragraph" w:styleId="Heading2">
    <w:name w:val="heading 2"/>
    <w:basedOn w:val="Normal"/>
    <w:next w:val="Normal"/>
    <w:uiPriority w:val="1"/>
    <w:qFormat/>
    <w:pPr>
      <w:keepNext/>
      <w:snapToGrid w:val="0"/>
      <w:numPr>
        <w:ilvl w:val="1"/>
        <w:numId w:val="1"/>
      </w:numPr>
      <w:spacing w:before="360" w:after="120" w:line="420" w:lineRule="exact"/>
      <w:outlineLvl w:val="1"/>
    </w:pPr>
    <w:rPr>
      <w:rFonts w:asciiTheme="majorHAnsi" w:hAnsiTheme="majorHAnsi" w:eastAsiaTheme="majorEastAsia" w:cstheme="majorBidi"/>
      <w:b/>
      <w:bCs/>
      <w:color w:val="1F4437" w:themeColor="text1"/>
      <w:sz w:val="30"/>
      <w:szCs w:val="30"/>
    </w:rPr>
  </w:style>
  <w:style w:type="paragraph" w:styleId="Heading3">
    <w:name w:val="heading 3"/>
    <w:basedOn w:val="Normal"/>
    <w:next w:val="Normal"/>
    <w:uiPriority w:val="1"/>
    <w:qFormat/>
    <w:pPr>
      <w:keepNext/>
      <w:snapToGrid w:val="0"/>
      <w:numPr>
        <w:ilvl w:val="2"/>
        <w:numId w:val="1"/>
      </w:numPr>
      <w:spacing w:before="240" w:after="120" w:line="350" w:lineRule="exact"/>
      <w:outlineLvl w:val="2"/>
    </w:pPr>
    <w:rPr>
      <w:rFonts w:asciiTheme="majorHAnsi" w:hAnsiTheme="majorHAnsi" w:eastAsiaTheme="majorEastAsia" w:cstheme="majorBidi"/>
      <w:b/>
      <w:bCs/>
      <w:color w:val="1F4437" w:themeColor="text1"/>
      <w:sz w:val="25"/>
      <w:szCs w:val="25"/>
    </w:rPr>
  </w:style>
  <w:style w:type="paragraph" w:styleId="ListBullet">
    <w:name w:val="List Bullet"/>
    <w:basedOn w:val="Normal"/>
    <w:next w:val="Normal"/>
    <w:uiPriority w:val="1"/>
    <w:qFormat/>
    <w:pPr>
      <w:numPr>
        <w:numId w:val="2"/>
      </w:numPr>
      <w:spacing w:after="60" w:line="357" w:lineRule="exact"/>
    </w:pPr>
    <w:rPr/>
  </w:style>
  <w:style w:type="paragraph" w:styleId="ListNumber">
    <w:name w:val="List Number"/>
    <w:basedOn w:val="Normal"/>
    <w:next w:val="Normal"/>
    <w:uiPriority w:val="1"/>
    <w:qFormat/>
    <w:pPr>
      <w:numPr>
        <w:numId w:val="3"/>
      </w:numPr>
      <w:spacing w:after="60" w:line="357" w:lineRule="exact"/>
    </w:pPr>
    <w:rPr/>
  </w:style>
  <w:style w:type="paragraph" w:styleId="Caption">
    <w:name w:val="caption"/>
    <w:basedOn w:val="Normal"/>
    <w:next w:val="Normal"/>
    <w:uiPriority w:val="1"/>
    <w:qFormat/>
    <w:pPr>
      <w:snapToGrid w:val="0"/>
      <w:spacing w:before="60" w:after="240" w:line="270" w:lineRule="exact"/>
      <w:jc w:val="center"/>
    </w:pPr>
    <w:rPr>
      <w:rFonts w:asciiTheme="minorHAnsi" w:hAnsiTheme="minorHAnsi" w:eastAsiaTheme="minorEastAsia" w:cstheme="minorBidi"/>
      <w:color w:val="66776F" w:themeColor="text2"/>
      <w:sz w:val="18"/>
      <w:szCs w:val="18"/>
    </w:rPr>
  </w:style>
  <w:style w:type="paragraph" w:styleId="Footer">
    <w:name w:val="footer"/>
    <w:basedOn w:val="Normal"/>
    <w:uiPriority w:val="1"/>
    <w:qFormat/>
    <w:pPr>
      <w:tabs>
        <w:tab w:val="right" w:pos="9638"/>
      </w:tabs>
      <w:spacing w:after="0" w:line="270" w:lineRule="exact"/>
    </w:pPr>
    <w:rPr>
      <w:rFonts w:asciiTheme="minorHAnsi" w:hAnsiTheme="minorHAnsi" w:eastAsiaTheme="minorEastAsia" w:cstheme="minorBidi"/>
      <w:color w:val="66776F" w:themeColor="text2"/>
      <w:sz w:val="18"/>
      <w:szCs w:val="18"/>
    </w:rPr>
  </w:style>
  <w:style w:type="paragraph" w:styleId="TOCHeading">
    <w:name w:val="TOC Heading"/>
    <w:basedOn w:val="Normal"/>
    <w:next w:val="Normal"/>
    <w:uiPriority w:val="1"/>
    <w:qFormat/>
    <w:pPr>
      <w:snapToGrid w:val="0"/>
      <w:spacing w:before="240" w:after="120" w:line="504" w:lineRule="exact"/>
    </w:pPr>
    <w:rPr>
      <w:rFonts w:asciiTheme="majorHAnsi" w:hAnsiTheme="majorHAnsi" w:eastAsiaTheme="majorEastAsia" w:cstheme="majorBidi"/>
      <w:b/>
      <w:bCs/>
      <w:color w:val="2F6B55" w:themeColor="accent1"/>
      <w:sz w:val="36"/>
      <w:szCs w:val="36"/>
    </w:rPr>
  </w:style>
  <w:style w:type="paragraph" w:styleId="TOC1">
    <w:name w:val="toc 1"/>
    <w:basedOn w:val="Normal"/>
    <w:next w:val="Normal"/>
    <w:uiPriority w:val="1"/>
    <w:qFormat/>
    <w:pPr>
      <w:snapToGrid w:val="0"/>
      <w:spacing w:after="60" w:line="357" w:lineRule="exact"/>
      <w:tabs>
        <w:tab w:val="right" w:leader="dot" w:pos="9638"/>
      </w:tabs>
    </w:pPr>
    <w:rPr/>
  </w:style>
  <w:style w:type="paragraph" w:styleId="TOC2">
    <w:name w:val="toc 2"/>
    <w:basedOn w:val="Normal"/>
    <w:next w:val="Normal"/>
    <w:uiPriority w:val="1"/>
    <w:qFormat/>
    <w:pPr>
      <w:snapToGrid w:val="0"/>
      <w:spacing w:after="40" w:line="357" w:lineRule="exact"/>
      <w:ind w:left="420"/>
    </w:pPr>
    <w:rPr/>
  </w:style>
  <w:style w:type="paragraph" w:styleId="TOC3">
    <w:name w:val="toc 3"/>
    <w:basedOn w:val="Normal"/>
    <w:next w:val="Normal"/>
    <w:uiPriority w:val="1"/>
    <w:qFormat/>
    <w:pPr>
      <w:snapToGrid w:val="0"/>
      <w:spacing w:after="40" w:line="357" w:lineRule="exact"/>
      <w:ind w:left="840"/>
    </w:pPr>
    <w:rPr/>
  </w:style>
  <w:style w:type="paragraph" w:styleId="FigureBlock">
    <w:name w:val="図"/>
    <w:basedOn w:val="Normal"/>
    <w:next w:val="Caption"/>
    <w:uiPriority w:val="1"/>
    <w:qFormat/>
    <w:pPr>
      <w:snapToGrid w:val="0"/>
      <w:keepNext/>
      <w:spacing w:before="120" w:after="0" w:line="240" w:lineRule="auto"/>
      <w:jc w:val="center"/>
    </w:pPr>
    <w:rPr/>
  </w:style>
  <w:style w:type="paragraph" w:styleId="TableText">
    <w:name w:val="表内テキスト"/>
    <w:basedOn w:val="Normal"/>
    <w:next w:val="TableText"/>
    <w:uiPriority w:val="1"/>
    <w:qFormat/>
    <w:pPr>
      <w:snapToGrid w:val="0"/>
      <w:spacing w:after="0" w:line="266" w:lineRule="exact"/>
      <w:jc w:val="left"/>
    </w:pPr>
    <w:rPr>
      <w:rFonts w:asciiTheme="minorHAnsi" w:hAnsiTheme="minorHAnsi" w:eastAsiaTheme="minorEastAsia" w:cstheme="minorBidi"/>
      <w:color w:val="1F4437" w:themeColor="text1"/>
      <w:sz w:val="19"/>
      <w:szCs w:val="19"/>
    </w:rPr>
  </w:style>
  <w:style w:type="character" w:customStyle="1" w:styleId="Emph">
    <w:name w:val="強調"/>
    <w:uiPriority w:val="2"/>
    <w:qFormat/>
    <w:rPr>
      <w:b/>
      <w:bCs/>
      <w:color w:val="2F6B55" w:themeColor="accent1"/>
    </w:rPr>
  </w:style>
  <w:style w:type="character" w:customStyle="1" w:styleId="Caution">
    <w:name w:val="注意"/>
    <w:uiPriority w:val="2"/>
    <w:qFormat/>
    <w:rPr>
      <w:b/>
      <w:bCs/>
      <w:color w:val="E2773A" w:themeColor="accent6"/>
    </w:rPr>
  </w:style>
  <w:style w:type="character" w:customStyle="1" w:styleId="Figure">
    <w:name w:val="数値"/>
    <w:uiPriority w:val="2"/>
    <w:qFormat/>
    <w:rPr>
      <w:b/>
      <w:bCs/>
      <w:sz w:val="25"/>
      <w:szCs w:val="25"/>
    </w:rPr>
  </w:style>
  <w:style w:type="character" w:styleId="Hyperlink">
    <w:name w:val="Hyperlink"/>
    <w:uiPriority w:val="99"/>
    <w:unhideWhenUsed/>
    <w:rPr>
      <w:color w:val="2F6B55" w:themeColor="hyperlink"/>
      <w:u w:val="single"/>
    </w:rPr>
  </w:style>
  <w:style w:type="character" w:styleId="PlaceholderText">
    <w:name w:val="Placeholder Text"/>
    <w:semiHidden/>
    <w:rPr>
      <w:color w:val="66776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portTable">
    <w:name w:val="レポート表"/>
    <w:basedOn w:val="TableNormal"/>
    <w:uiPriority w:val="3"/>
    <w:qFormat/>
    <w:pPr>
      <w:spacing w:after="0" w:line="266" w:lineRule="exact"/>
      <w:jc w:val="left"/>
      <w:snapToGrid w:val="0"/>
    </w:pPr>
    <w:rPr>
      <w:sz w:val="19"/>
      <w:szCs w:val="19"/>
    </w:rPr>
    <w:tblPr>
      <w:tblStyleRowBandSize w:val="1"/>
      <w:tblBorders>
        <w:top w:val="none" w:sz="0" w:space="0" w:color="auto"/>
        <w:left w:val="none" w:sz="0" w:space="0" w:color="auto"/>
        <w:right w:val="none" w:sz="0" w:space="0" w:color="auto"/>
        <w:bottom w:val="single" w:sz="8" w:space="0" w:color="2F6B55" w:themeColor="accent1"/>
        <w:insideH w:val="single" w:sz="4" w:space="0" w:color="C2C9C5" w:themeColor="accent5"/>
        <w:insideV w:val="none" w:sz="0" w:space="0" w:color="auto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  <w:color w:val="FFFFFF" w:themeColor="background1"/>
      </w:rPr>
      <w:tcPr>
        <w:shd w:val="clear" w:color="auto" w:fill="2F6B55" w:themeFill="accent1"/>
      </w:tcPr>
    </w:tblStylePr>
    <w:tblStylePr w:type="band2Horz">
      <w:tcPr>
        <w:shd w:val="clear" w:color="auto" w:fill="F7F4EE" w:themeFill="background2"/>
      </w:tcPr>
    </w:tblStylePr>
    <w:tblStylePr w:type="firstCol">
      <w:rPr>
        <w:b/>
        <w:bCs/>
      </w:rPr>
    </w:tblStyle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webSettings" Target="webSettings.xml"/><Relationship Id="rIdFooter" Type="http://schemas.openxmlformats.org/officeDocument/2006/relationships/footer" Target="footer1.xml"/><Relationship Id="rIdLogo" Type="http://schemas.openxmlformats.org/officeDocument/2006/relationships/image" Target="media/logo.png"/><Relationship Id="rIdImg1" Type="http://schemas.openxmlformats.org/officeDocument/2006/relationships/image" Target="media/image1.png"/><Relationship Id="rIdLink" Type="http://schemas.openxmlformats.org/officeDocument/2006/relationships/hyperlink" Target="https://note.com/bigtree_lab" TargetMode="Externa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microsoft.com/office/2014/relationships/chartEx" Target="charts/chart7.xml"/><Relationship Id="rIdChart8" Type="http://schemas.openxmlformats.org/officeDocument/2006/relationships/chart" Target="charts/chart8.xml"/></Relationships>
</file>

<file path=word/charts/_rels/chart1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6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7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7.xlsx"/><Relationship Id="rId2" Type="http://schemas.microsoft.com/office/2011/relationships/chartColorStyle" Target="colors7.xml"/><Relationship Id="rId3" Type="http://schemas.microsoft.com/office/2011/relationships/chartStyle" Target="style7.xml"/></Relationships>
</file>

<file path=word/charts/_rels/chart8.xml.rels><?xml version="1.0" encoding="UTF-8" standalone="yes"?>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広告経由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Sheet1!$B$2:$B$5</c:f>
              <c:numCache>
                <c:formatCode>#,##0</c:formatCode>
                <c:ptCount val="4"/>
                <c:pt idx="0">
                  <c:v>5200</c:v>
                </c:pt>
                <c:pt idx="1">
                  <c:v>5600</c:v>
                </c:pt>
                <c:pt idx="2">
                  <c:v>5400</c:v>
                </c:pt>
                <c:pt idx="3">
                  <c:v>6100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自然流入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Sheet1!$C$2:$C$5</c:f>
              <c:numCache>
                <c:formatCode>#,##0</c:formatCode>
                <c:ptCount val="4"/>
                <c:pt idx="0">
                  <c:v>7280</c:v>
                </c:pt>
                <c:pt idx="1">
                  <c:v>7502</c:v>
                </c:pt>
                <c:pt idx="2">
                  <c:v>7555</c:v>
                </c:pt>
                <c:pt idx="3">
                  <c:v>8130</c:v>
                </c:pt>
              </c:numCache>
            </c:numRef>
          </c:val>
        </c:ser>
        <c:gapWidth val="80"/>
        <c:overlap val="-10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in val="0"/>
        </c:scaling>
        <c:delete val="1"/>
        <c:axPos val="l"/>
        <c:majorGridlines>
          <c:spPr>
            <a:ln w="6350">
              <a:solidFill>
                <a:schemeClr val="accent5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1100">
              <a:solidFill>
                <a:schemeClr val="tx1"/>
              </a:solidFill>
              <a:latin typeface="+mn-lt"/>
              <a:ea typeface="+mn-ea"/>
            </a:defRPr>
          </a:pPr>
          <a:endParaRPr lang="ja-JP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Google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</c:spPr>
          <c:marker>
            <c:symbol val="circle"/>
            <c:size val="6"/>
          </c:marker>
          <c:dLbls>
            <c:dLbl>
              <c:idx val="3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3.88</c:v>
                </c:pt>
                <c:pt idx="1">
                  <c:v>4.01</c:v>
                </c:pt>
                <c:pt idx="2">
                  <c:v>4.12</c:v>
                </c:pt>
                <c:pt idx="3">
                  <c:v>3.95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Meta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</c:spPr>
          <c:marker>
            <c:symbol val="circle"/>
            <c:size val="6"/>
          </c:marker>
          <c:dLbls>
            <c:dLbl>
              <c:idx val="3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Sheet1!$C$2:$C$5</c:f>
              <c:numCache>
                <c:formatCode>0%</c:formatCode>
                <c:ptCount val="4"/>
                <c:pt idx="0">
                  <c:v>2.9</c:v>
                </c:pt>
                <c:pt idx="1">
                  <c:v>3.1</c:v>
                </c:pt>
                <c:pt idx="2">
                  <c:v>2.7</c:v>
                </c:pt>
                <c:pt idx="3">
                  <c:v>3.3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楽天RPP</c:v>
                </c:pt>
              </c:strCache>
            </c:strRef>
          </c:tx>
          <c:spPr>
            <a:ln w="34925" cap="rnd">
              <a:solidFill>
                <a:schemeClr val="accent6"/>
              </a:solidFill>
              <a:round/>
            </a:ln>
          </c:spPr>
          <c:marker>
            <c:symbol val="circle"/>
            <c:size val="6"/>
          </c:marker>
          <c:dLbls>
            <c:dLbl>
              <c:idx val="0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Sheet1!$D$2:$D$5</c:f>
              <c:numCache>
                <c:formatCode>0%</c:formatCode>
                <c:ptCount val="4"/>
                <c:pt idx="0">
                  <c:v>4.5</c:v>
                </c:pt>
                <c:pt idx="1">
                  <c:v>4.2</c:v>
                </c:pt>
                <c:pt idx="2">
                  <c:v>4.8</c:v>
                </c:pt>
                <c:pt idx="3">
                  <c:v>5.1</c:v>
                </c:pt>
              </c:numCache>
            </c:numRef>
          </c:val>
          <c:smooth val="0"/>
        </c:ser>
        <c:marker val="1"/>
        <c:axId val="1001"/>
        <c:axId val="1002"/>
      </c:lineChart>
      <c:catAx>
        <c:axId val="1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</c:scaling>
        <c:delete val="0"/>
        <c:axPos val="l"/>
        <c:majorGridlines>
          <c:spPr>
            <a:ln w="6350">
              <a:solidFill>
                <a:schemeClr val="accent5"/>
              </a:solidFill>
            </a:ln>
          </c:spPr>
        </c:majorGridlines>
        <c:numFmt formatCode="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広告経由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</c:spPr>
          <c:invertIfNegative val="0"/>
          <c:dPt>
            <c:idx val="3"/>
            <c:invertIfNegative val="0"/>
            <c:bubble3D val="0"/>
            <c:spPr>
              <a:solidFill>
                <a:schemeClr val="accent1"/>
              </a:solidFill>
              <a:ln w="28575">
                <a:solidFill>
                  <a:schemeClr val="accent6"/>
                </a:solidFill>
              </a:ln>
            </c:spPr>
          </c:dPt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Sheet1!$B$2:$B$5</c:f>
              <c:numCache>
                <c:formatCode>#,##0</c:formatCode>
                <c:ptCount val="4"/>
                <c:pt idx="0">
                  <c:v>5200</c:v>
                </c:pt>
                <c:pt idx="1">
                  <c:v>5600</c:v>
                </c:pt>
                <c:pt idx="2">
                  <c:v>5400</c:v>
                </c:pt>
                <c:pt idx="3">
                  <c:v>6100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自然流入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Sheet1!$C$2:$C$5</c:f>
              <c:numCache>
                <c:formatCode>#,##0</c:formatCode>
                <c:ptCount val="4"/>
                <c:pt idx="0">
                  <c:v>7280</c:v>
                </c:pt>
                <c:pt idx="1">
                  <c:v>7502</c:v>
                </c:pt>
                <c:pt idx="2">
                  <c:v>7555</c:v>
                </c:pt>
                <c:pt idx="3">
                  <c:v>8130</c:v>
                </c:pt>
              </c:numCache>
            </c:numRef>
          </c:val>
        </c:ser>
        <c:gapWidth val="80"/>
        <c:overlap val="-10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in val="0"/>
        </c:scaling>
        <c:delete val="1"/>
        <c:axPos val="l"/>
        <c:majorGridlines>
          <c:spPr>
            <a:ln w="6350">
              <a:solidFill>
                <a:schemeClr val="accent5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1100">
              <a:solidFill>
                <a:schemeClr val="tx1"/>
              </a:solidFill>
              <a:latin typeface="+mn-lt"/>
              <a:ea typeface="+mn-ea"/>
            </a:defRPr>
          </a:pPr>
          <a:endParaRPr lang="ja-JP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検索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lt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Sheet1!$A$2:$A$2</c:f>
              <c:strCache>
                <c:ptCount val="1"/>
                <c:pt idx="0">
                  <c:v>2026/09</c:v>
                </c:pt>
              </c:strCache>
            </c:strRef>
          </c:cat>
          <c:val>
            <c:numRef>
              <c:f>Sheet1!$B$2:$B$2</c:f>
              <c:numCache>
                <c:formatCode>0%</c:formatCode>
                <c:ptCount val="1"/>
                <c:pt idx="0">
                  <c:v>0.58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SNS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Sheet1!$A$2:$A$2</c:f>
              <c:strCache>
                <c:ptCount val="1"/>
                <c:pt idx="0">
                  <c:v>2026/09</c:v>
                </c:pt>
              </c:strCache>
            </c:strRef>
          </c:cat>
          <c:val>
            <c:numRef>
              <c:f>Sheet1!$C$2:$C$2</c:f>
              <c:numCache>
                <c:formatCode>0%</c:formatCode>
                <c:ptCount val="1"/>
                <c:pt idx="0">
                  <c:v>0.21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note 内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lt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Sheet1!$A$2:$A$2</c:f>
              <c:strCache>
                <c:ptCount val="1"/>
                <c:pt idx="0">
                  <c:v>2026/09</c:v>
                </c:pt>
              </c:strCache>
            </c:strRef>
          </c:cat>
          <c:val>
            <c:numRef>
              <c:f>Sheet1!$D$2:$D$2</c:f>
              <c:numCache>
                <c:formatCode>0%</c:formatCode>
                <c:ptCount val="1"/>
                <c:pt idx="0">
                  <c:v>0.13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その他</c:v>
                </c:pt>
              </c:strCache>
            </c:strRef>
          </c:tx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Sheet1!$A$2:$A$2</c:f>
              <c:strCache>
                <c:ptCount val="1"/>
                <c:pt idx="0">
                  <c:v>2026/09</c:v>
                </c:pt>
              </c:strCache>
            </c:strRef>
          </c:cat>
          <c:val>
            <c:numRef>
              <c:f>Sheet1!$E$2:$E$2</c:f>
              <c:numCache>
                <c:formatCode>0%</c:formatCode>
                <c:ptCount val="1"/>
                <c:pt idx="0">
                  <c:v>0.08</c:v>
                </c:pt>
              </c:numCache>
            </c:numRef>
          </c:val>
        </c:ser>
        <c:gapWidth val="60"/>
        <c:overlap val="100"/>
        <c:axId val="1001"/>
        <c:axId val="1002"/>
      </c:barChart>
      <c:catAx>
        <c:axId val="1001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ax val="1"/>
          <c:min val="0"/>
        </c:scaling>
        <c:delete val="0"/>
        <c:axPos val="b"/>
        <c:numFmt formatCode="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max"/>
        <c:crossBetween val="between"/>
      </c:valAx>
    </c:plotArea>
    <c:legend>
      <c:legendPos val="b"/>
      <c:overlay val="0"/>
      <c:txPr>
        <a:bodyPr/>
        <a:lstStyle/>
        <a:p>
          <a:pPr>
            <a:defRPr sz="1100">
              <a:solidFill>
                <a:schemeClr val="tx1"/>
              </a:solidFill>
              <a:latin typeface="+mn-lt"/>
              <a:ea typeface="+mn-ea"/>
            </a:defRPr>
          </a:pPr>
          <a:endParaRPr lang="ja-JP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セッション（件）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</c:spPr>
          <c:invertIfNegative val="0"/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Sheet1!$B$2:$B$5</c:f>
              <c:numCache>
                <c:formatCode>#,##0</c:formatCode>
                <c:ptCount val="4"/>
                <c:pt idx="0">
                  <c:v>12480</c:v>
                </c:pt>
                <c:pt idx="1">
                  <c:v>13102</c:v>
                </c:pt>
                <c:pt idx="2">
                  <c:v>12955</c:v>
                </c:pt>
                <c:pt idx="3">
                  <c:v>14230</c:v>
                </c:pt>
              </c:numCache>
            </c:numRef>
          </c:val>
        </c:ser>
        <c:gapWidth val="80"/>
        <c:axId val="1001"/>
        <c:axId val="100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CVR（%）</c:v>
                </c:pt>
              </c:strCache>
            </c:strRef>
          </c:tx>
          <c:spPr>
            <a:ln w="34925" cap="rnd">
              <a:solidFill>
                <a:schemeClr val="accent6"/>
              </a:solidFill>
              <a:round/>
            </a:ln>
          </c:spPr>
          <c:marker>
            <c:symbol val="circle"/>
            <c:size val="6"/>
          </c:marker>
          <c:dLbls>
            <c:dLbl>
              <c:idx val="0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Pr>
                <a:bodyPr/>
                <a:lstStyle/>
                <a:p>
                  <a:pPr>
                    <a:defRPr sz="1100">
                      <a:solidFill>
                        <a:schemeClr val="tx1"/>
                      </a:solidFill>
                      <a:latin typeface="+mn-lt"/>
                      <a:ea typeface="+mn-ea"/>
                    </a:defRPr>
                  </a:pPr>
                  <a:endParaRPr lang="ja-JP"/>
                </a:p>
              </c:txPr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W35</c:v>
                </c:pt>
                <c:pt idx="1">
                  <c:v>W36</c:v>
                </c:pt>
                <c:pt idx="2">
                  <c:v>W37</c:v>
                </c:pt>
                <c:pt idx="3">
                  <c:v>W38</c:v>
                </c:pt>
              </c:strCache>
            </c:strRef>
          </c:cat>
          <c:val>
            <c:numRef>
              <c:f>Sheet1!$C$2:$C$5</c:f>
              <c:numCache>
                <c:formatCode>0.0%</c:formatCode>
                <c:ptCount val="4"/>
                <c:pt idx="0">
                  <c:v>0.021</c:v>
                </c:pt>
                <c:pt idx="1">
                  <c:v>0.023</c:v>
                </c:pt>
                <c:pt idx="2">
                  <c:v>0.024</c:v>
                </c:pt>
                <c:pt idx="3">
                  <c:v>0.022</c:v>
                </c:pt>
              </c:numCache>
            </c:numRef>
          </c:val>
          <c:smooth val="0"/>
        </c:ser>
        <c:marker val="1"/>
        <c:axId val="1003"/>
        <c:axId val="1004"/>
      </c:lineChart>
      <c:catAx>
        <c:axId val="1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chemeClr val="accent5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autoZero"/>
        <c:crossBetween val="between"/>
      </c:valAx>
      <c:valAx>
        <c:axId val="1004"/>
        <c:scaling>
          <c:orientation val="minMax"/>
        </c:scaling>
        <c:delete val="0"/>
        <c:axPos val="l"/>
        <c:numFmt formatCode="0.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3"/>
        <c:crosses val="max"/>
        <c:crossBetween val="between"/>
        <c:majorUnit val="0.005"/>
      </c:valAx>
      <c:catAx>
        <c:axId val="1003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4"/>
        <c:crosses val="autoZero"/>
        <c:auto val="1"/>
        <c:lblAlgn val="ctr"/>
        <c:lblOffset val="100"/>
      </c:catAx>
    </c:plotArea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前年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検索</c:v>
                </c:pt>
                <c:pt idx="1">
                  <c:v>SNS</c:v>
                </c:pt>
                <c:pt idx="2">
                  <c:v>内部リンク</c:v>
                </c:pt>
                <c:pt idx="3">
                  <c:v>その他</c:v>
                </c:pt>
              </c:strCache>
            </c:strRef>
          </c:cat>
          <c:val>
            <c:numRef>
              <c:f>Sheet1!$B$2:$B$5</c:f>
              <c:numCache>
                <c:formatCode>#,##0</c:formatCode>
                <c:ptCount val="4"/>
                <c:pt idx="0">
                  <c:v>2140</c:v>
                </c:pt>
                <c:pt idx="1">
                  <c:v>1280</c:v>
                </c:pt>
                <c:pt idx="2">
                  <c:v>640</c:v>
                </c:pt>
                <c:pt idx="3">
                  <c:v>320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今年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検索</c:v>
                </c:pt>
                <c:pt idx="1">
                  <c:v>SNS</c:v>
                </c:pt>
                <c:pt idx="2">
                  <c:v>内部リンク</c:v>
                </c:pt>
                <c:pt idx="3">
                  <c:v>その他</c:v>
                </c:pt>
              </c:strCache>
            </c:strRef>
          </c:cat>
          <c:val>
            <c:numRef>
              <c:f>Sheet1!$C$2:$C$5</c:f>
              <c:numCache>
                <c:formatCode>#,##0</c:formatCode>
                <c:ptCount val="4"/>
                <c:pt idx="0">
                  <c:v>3480</c:v>
                </c:pt>
                <c:pt idx="1">
                  <c:v>1020</c:v>
                </c:pt>
                <c:pt idx="2">
                  <c:v>980</c:v>
                </c:pt>
                <c:pt idx="3">
                  <c:v>410</c:v>
                </c:pt>
              </c:numCache>
            </c:numRef>
          </c:val>
        </c:ser>
        <c:gapWidth val="60"/>
        <c:overlap val="-10"/>
        <c:axId val="1001"/>
        <c:axId val="1002"/>
      </c:barChart>
      <c:catAx>
        <c:axId val="1001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in val="0"/>
        </c:scaling>
        <c:delete val="1"/>
        <c:axPos val="b"/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max"/>
        <c:crossBetween val="between"/>
      </c:valAx>
    </c:plotArea>
    <c:legend>
      <c:legendPos val="b"/>
      <c:overlay val="0"/>
      <c:txPr>
        <a:bodyPr/>
        <a:lstStyle/>
        <a:p>
          <a:pPr>
            <a:defRPr sz="1100">
              <a:solidFill>
                <a:schemeClr val="tx1"/>
              </a:solidFill>
              <a:latin typeface="+mn-lt"/>
              <a:ea typeface="+mn-ea"/>
            </a:defRPr>
          </a:pPr>
          <a:endParaRPr lang="ja-JP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hart7.xml><?xml version="1.0" encoding="utf-8"?>
<cx:chartSpace xmlns:cx="http://schemas.microsoft.com/office/drawing/2014/chartex" xmlns:a="http://schemas.openxmlformats.org/drawingml/2006/main" xmlns:r="http://schemas.openxmlformats.org/officeDocument/2006/relationships">
  <cx:chartData>
    <cx:externalData r:id="rId1" cx:autoUpdate="0"/>
    <cx:data id="0">
      <cx:strDim type="cat">
        <cx:f>Sheet1!$A$2:$A$7</cx:f>
        <cx:lvl ptCount="6">
          <cx:pt idx="0">8月</cx:pt>
          <cx:pt idx="1">検索</cx:pt>
          <cx:pt idx="2">その他</cx:pt>
          <cx:pt idx="3">内部リンク</cx:pt>
          <cx:pt idx="4">SNS</cx:pt>
          <cx:pt idx="5">9月</cx:pt>
        </cx:lvl>
      </cx:strDim>
      <cx:numDim type="val">
        <cx:f>Sheet1!$B$2:$B$7</cx:f>
        <cx:lvl ptCount="6" formatCode="#,##0">
          <cx:pt idx="0">12480</cx:pt>
          <cx:pt idx="1">1340</cx:pt>
          <cx:pt idx="2">690</cx:pt>
          <cx:pt idx="3">340</cx:pt>
          <cx:pt idx="4">-620</cx:pt>
          <cx:pt idx="5">14230</cx:pt>
        </cx:lvl>
      </cx:numDim>
    </cx:data>
  </cx:chartData>
  <cx:chart>
    <cx:plotArea>
      <cx:plotAreaRegion>
        <cx:series layoutId="waterfall" uniqueId="{00000000-1111-2222-3333-444444444444}">
          <cx:tx>
            <cx:txData>
              <cx:f>Sheet1!$B$1</cx:f>
              <cx:v>増減</cx:v>
            </cx:txData>
          </cx:tx>
          <cx:dataLabels pos="outEnd">
            <cx:txPr>
              <a:bodyPr/>
              <a:lstStyle/>
              <a:p>
                <a:pPr>
                  <a:defRPr sz="1100">
                    <a:solidFill>
                      <a:schemeClr val="tx1"/>
                    </a:solidFill>
                    <a:latin typeface="+mn-lt"/>
                    <a:ea typeface="+mn-ea"/>
                  </a:defRPr>
                </a:pPr>
              </a:p>
            </cx:txPr>
            <cx:visibility seriesName="0" categoryName="0" value="1"/>
          </cx:dataLabels>
          <cx:dataId val="0"/>
          <cx:layoutPr>
            <cx:subtotals>
              <cx:idx val="0"/>
              <cx:idx val="5"/>
            </cx:subtotals>
          </cx:layoutPr>
        </cx:series>
      </cx:plotAreaRegion>
      <cx:axis id="0">
        <cx:catScaling gapWidth="0.5"/>
        <cx:tickLabels/>
        <cx:txPr>
          <a:bodyPr/>
          <a:lstStyle/>
          <a:p>
            <a:pPr>
              <a:defRPr sz="1100">
                <a:solidFill>
                  <a:schemeClr val="tx1"/>
                </a:solidFill>
                <a:latin typeface="+mn-lt"/>
                <a:ea typeface="+mn-ea"/>
              </a:defRPr>
            </a:pPr>
          </a:p>
        </cx:txPr>
      </cx:axis>
      <cx:axis id="1">
        <cx:valScaling/>
        <cx:majorGridlines/>
        <cx:tickLabels/>
        <cx:txPr>
          <a:bodyPr/>
          <a:lstStyle/>
          <a:p>
            <a:pPr>
              <a:defRPr sz="1100">
                <a:solidFill>
                  <a:schemeClr val="tx1"/>
                </a:solidFill>
                <a:latin typeface="+mn-lt"/>
                <a:ea typeface="+mn-ea"/>
              </a:defRPr>
            </a:pPr>
          </a:p>
        </cx:txPr>
      </cx:axis>
    </cx:plotArea>
  </cx:chart>
  <cx:spPr>
    <a:noFill/>
    <a:ln>
      <a:noFill/>
    </a:ln>
  </cx:spPr>
</cx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ja-JP"/>
  <c:roundedCorners val="0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土台</c:v>
                </c:pt>
              </c:strCache>
            </c:strRef>
          </c:tx>
          <c:spPr>
            <a:noFill/>
            <a:ln>
              <a:noFill/>
            </a:ln>
          </c:spPr>
          <c:invertIfNegative val="0"/>
          <c:cat>
            <c:strRef>
              <c:f>Sheet1!$A$2:$A$7</c:f>
              <c:strCache>
                <c:ptCount val="6"/>
                <c:pt idx="0">
                  <c:v>8月</c:v>
                </c:pt>
                <c:pt idx="1">
                  <c:v>検索</c:v>
                </c:pt>
                <c:pt idx="2">
                  <c:v>その他</c:v>
                </c:pt>
                <c:pt idx="3">
                  <c:v>内部リンク</c:v>
                </c:pt>
                <c:pt idx="4">
                  <c:v>SNS</c:v>
                </c:pt>
                <c:pt idx="5">
                  <c:v>9月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0</c:v>
                </c:pt>
                <c:pt idx="1">
                  <c:v>12480</c:v>
                </c:pt>
                <c:pt idx="2">
                  <c:v>13820</c:v>
                </c:pt>
                <c:pt idx="3">
                  <c:v>14510</c:v>
                </c:pt>
                <c:pt idx="4">
                  <c:v>14230</c:v>
                </c:pt>
                <c:pt idx="5">
                  <c:v>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増加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lt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Sheet1!$A$2:$A$7</c:f>
              <c:strCache>
                <c:ptCount val="6"/>
                <c:pt idx="0">
                  <c:v>8月</c:v>
                </c:pt>
                <c:pt idx="1">
                  <c:v>検索</c:v>
                </c:pt>
                <c:pt idx="2">
                  <c:v>その他</c:v>
                </c:pt>
                <c:pt idx="3">
                  <c:v>内部リンク</c:v>
                </c:pt>
                <c:pt idx="4">
                  <c:v>SNS</c:v>
                </c:pt>
                <c:pt idx="5">
                  <c:v>9月</c:v>
                </c:pt>
              </c:strCache>
            </c:strRef>
          </c:cat>
          <c:val>
            <c:numRef>
              <c:f>Sheet1!$C$2:$C$7</c:f>
              <c:numCache>
                <c:formatCode>#,##0</c:formatCode>
                <c:ptCount val="6"/>
                <c:pt idx="1">
                  <c:v>1340</c:v>
                </c:pt>
                <c:pt idx="2">
                  <c:v>690</c:v>
                </c:pt>
                <c:pt idx="3">
                  <c:v>340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減少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lt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Sheet1!$A$2:$A$7</c:f>
              <c:strCache>
                <c:ptCount val="6"/>
                <c:pt idx="0">
                  <c:v>8月</c:v>
                </c:pt>
                <c:pt idx="1">
                  <c:v>検索</c:v>
                </c:pt>
                <c:pt idx="2">
                  <c:v>その他</c:v>
                </c:pt>
                <c:pt idx="3">
                  <c:v>内部リンク</c:v>
                </c:pt>
                <c:pt idx="4">
                  <c:v>SNS</c:v>
                </c:pt>
                <c:pt idx="5">
                  <c:v>9月</c:v>
                </c:pt>
              </c:strCache>
            </c:strRef>
          </c:cat>
          <c:val>
            <c:numRef>
              <c:f>Sheet1!$D$2:$D$7</c:f>
              <c:numCache>
                <c:formatCode>#,##0</c:formatCode>
                <c:ptCount val="6"/>
                <c:pt idx="4">
                  <c:v>620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合計</c:v>
                </c:pt>
              </c:strCache>
            </c:strRef>
          </c:tx>
          <c:spPr>
            <a:solidFill>
              <a:schemeClr val="tx1"/>
            </a:solidFill>
            <a:ln>
              <a:noFill/>
            </a:ln>
          </c:spPr>
          <c:invertIfNegative val="0"/>
          <c:dLbls>
            <c:txPr>
              <a:bodyPr/>
              <a:lstStyle/>
              <a:p>
                <a:pPr>
                  <a:defRPr sz="1100">
                    <a:solidFill>
                      <a:schemeClr val="lt1"/>
                    </a:solidFill>
                    <a:latin typeface="+mn-lt"/>
                    <a:ea typeface="+mn-ea"/>
                  </a:defRPr>
                </a:pPr>
                <a:endParaRPr lang="ja-JP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Sheet1!$A$2:$A$7</c:f>
              <c:strCache>
                <c:ptCount val="6"/>
                <c:pt idx="0">
                  <c:v>8月</c:v>
                </c:pt>
                <c:pt idx="1">
                  <c:v>検索</c:v>
                </c:pt>
                <c:pt idx="2">
                  <c:v>その他</c:v>
                </c:pt>
                <c:pt idx="3">
                  <c:v>内部リンク</c:v>
                </c:pt>
                <c:pt idx="4">
                  <c:v>SNS</c:v>
                </c:pt>
                <c:pt idx="5">
                  <c:v>9月</c:v>
                </c:pt>
              </c:strCache>
            </c:strRef>
          </c:cat>
          <c:val>
            <c:numRef>
              <c:f>Sheet1!$E$2:$E$7</c:f>
              <c:numCache>
                <c:formatCode>#,##0</c:formatCode>
                <c:ptCount val="6"/>
                <c:pt idx="0">
                  <c:v>12480</c:v>
                </c:pt>
                <c:pt idx="5">
                  <c:v>14230</c:v>
                </c:pt>
              </c:numCache>
            </c:numRef>
          </c:val>
        </c:ser>
        <c:gapWidth val="60"/>
        <c:overlap val="100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chemeClr val="tx2"/>
            </a:solidFill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2"/>
        <c:crosses val="autoZero"/>
        <c:auto val="1"/>
        <c:lblAlgn val="ctr"/>
        <c:lblOffset val="100"/>
      </c:catAx>
      <c:valAx>
        <c:axId val="1002"/>
        <c:scaling>
          <c:orientation val="minMax"/>
          <c:min val="11000"/>
        </c:scaling>
        <c:delete val="1"/>
        <c:axPos val="l"/>
        <c:majorGridlines>
          <c:spPr>
            <a:ln w="6350">
              <a:solidFill>
                <a:schemeClr val="accent5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1100">
                <a:solidFill>
                  <a:schemeClr val="tx2"/>
                </a:solidFill>
                <a:latin typeface="+mn-lt"/>
                <a:ea typeface="+mn-ea"/>
              </a:defRPr>
            </a:pPr>
            <a:endParaRPr lang="ja-JP"/>
          </a:p>
        </c:txPr>
        <c:crossAx val="1001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1100">
          <a:solidFill>
            <a:schemeClr val="tx1"/>
          </a:solidFill>
          <a:latin typeface="+mn-lt"/>
          <a:ea typeface="+mn-ea"/>
        </a:defRPr>
      </a:pPr>
      <a:endParaRPr lang="ja-JP"/>
    </a:p>
  </c:txPr>
  <c:externalData r:id="rId1">
    <c:autoUpdate val="0"/>
  </c:externalData>
</c:chartSpac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3"/>
  <a:schemeClr val="tx1"/>
  <a:schemeClr val="accent4"/>
  <a:schemeClr val="accent5"/>
  <a:schemeClr val="accent2"/>
  <cs:variation/>
  <cs:variation>
    <a:lumMod val="60000"/>
  </cs:variation>
  <cs:variation>
    <a:lumMod val="80000"/>
    <a:lumOff val="20000"/>
  </cs:variation>
</cs:color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/>
  </cs:axisTitle>
  <cs:categoryAxis>
    <cs:lnRef idx="0"/>
    <cs:fillRef idx="0"/>
    <cs:effectRef idx="0"/>
    <cs:fontRef idx="minor">
      <a:schemeClr val="tx1"/>
    </cs:fontRef>
    <cs:defRPr/>
  </cs:categoryAxis>
  <cs:chartArea>
    <cs:lnRef idx="0"/>
    <cs:fillRef idx="0"/>
    <cs:effectRef idx="0"/>
    <cs:fontRef idx="minor">
      <a:schemeClr val="tx1"/>
    </cs:fontRef>
  </cs:chartArea>
  <cs:dataLabel>
    <cs:lnRef idx="0"/>
    <cs:fillRef idx="0"/>
    <cs:effectRef idx="0"/>
    <cs:fontRef idx="minor">
      <a:schemeClr val="tx1"/>
    </cs:fontRef>
    <cs:defRPr/>
  </cs:dataLabel>
  <cs:dataLabelCallout>
    <cs:lnRef idx="0"/>
    <cs:fillRef idx="0"/>
    <cs:effectRef idx="0"/>
    <cs:fontRef idx="minor">
      <a:schemeClr val="tx1"/>
    </cs:fontRef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/>
    <cs:fillRef idx="1">
      <cs:styleClr val="auto"/>
    </cs:fillRef>
    <cs:effectRef idx="0"/>
    <cs:fontRef idx="minor">
      <a:schemeClr val="tx1"/>
    </cs:fontRef>
    <cs:spPr>
      <a:ln w="9525">
        <a:solidFill>
          <a:schemeClr val="tx2"/>
        </a:solidFill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</cs:dataPointMarker>
  <cs:dataPointWireframe>
    <cs:lnRef idx="0"/>
    <cs:fillRef idx="1">
      <cs:styleClr val="auto"/>
    </cs:fillRef>
    <cs:effectRef idx="0"/>
    <cs:fontRef idx="minor">
      <a:schemeClr val="tx1"/>
    </cs:fontRef>
  </cs:dataPointWireframe>
  <cs:dataTable>
    <cs:lnRef idx="0"/>
    <cs:fillRef idx="0"/>
    <cs:effectRef idx="0"/>
    <cs:fontRef idx="minor">
      <a:schemeClr val="tx1"/>
    </cs:fontRef>
    <cs:defRPr/>
  </cs:dataTable>
  <cs:downBar>
    <cs:lnRef idx="0"/>
    <cs:fillRef idx="0"/>
    <cs:effectRef idx="0"/>
    <cs:fontRef idx="minor">
      <a:schemeClr val="tx1"/>
    </cs:fontRef>
  </cs:downBar>
  <cs:dropLine>
    <cs:lnRef idx="0"/>
    <cs:fillRef idx="0"/>
    <cs:effectRef idx="0"/>
    <cs:fontRef idx="minor">
      <a:schemeClr val="tx1"/>
    </cs:fontRef>
  </cs:dropLine>
  <cs:errorBar>
    <cs:lnRef idx="0"/>
    <cs:fillRef idx="0"/>
    <cs:effectRef idx="0"/>
    <cs:fontRef idx="minor">
      <a:schemeClr val="tx1"/>
    </cs:fontRef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</cs:gridlineMajor>
  <cs:gridlineMinor>
    <cs:lnRef idx="0"/>
    <cs:fillRef idx="0"/>
    <cs:effectRef idx="0"/>
    <cs:fontRef idx="minor">
      <a:schemeClr val="tx1"/>
    </cs:fontRef>
  </cs:gridlineMinor>
  <cs:hiLoLine>
    <cs:lnRef idx="0"/>
    <cs:fillRef idx="0"/>
    <cs:effectRef idx="0"/>
    <cs:fontRef idx="minor">
      <a:schemeClr val="tx1"/>
    </cs:fontRef>
  </cs:hiLoLine>
  <cs:leaderLine>
    <cs:lnRef idx="0"/>
    <cs:fillRef idx="0"/>
    <cs:effectRef idx="0"/>
    <cs:fontRef idx="minor">
      <a:schemeClr val="tx1"/>
    </cs:fontRef>
  </cs:leaderLine>
  <cs:legend>
    <cs:lnRef idx="0"/>
    <cs:fillRef idx="0"/>
    <cs:effectRef idx="0"/>
    <cs:fontRef idx="minor">
      <a:schemeClr val="tx1"/>
    </cs:fontRef>
    <cs:defRPr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/>
  </cs:seriesAxis>
  <cs:seriesLine>
    <cs:lnRef idx="0"/>
    <cs:fillRef idx="0"/>
    <cs:effectRef idx="0"/>
    <cs:fontRef idx="minor">
      <a:schemeClr val="tx1"/>
    </cs:fontRef>
  </cs:seriesLine>
  <cs:title>
    <cs:lnRef idx="0"/>
    <cs:fillRef idx="0"/>
    <cs:effectRef idx="0"/>
    <cs:fontRef idx="minor">
      <a:schemeClr val="tx1"/>
    </cs:fontRef>
    <cs:defRPr/>
  </cs:title>
  <cs:trendline>
    <cs:lnRef idx="0"/>
    <cs:fillRef idx="0"/>
    <cs:effectRef idx="0"/>
    <cs:fontRef idx="minor">
      <a:schemeClr val="tx1"/>
    </cs:fontRef>
  </cs:trendline>
  <cs:trendlineLabel>
    <cs:lnRef idx="0"/>
    <cs:fillRef idx="0"/>
    <cs:effectRef idx="0"/>
    <cs:fontRef idx="minor">
      <a:schemeClr val="tx1"/>
    </cs:fontRef>
    <cs:defRPr/>
  </cs:trendlineLabel>
  <cs:upBar>
    <cs:lnRef idx="0"/>
    <cs:fillRef idx="0"/>
    <cs:effectRef idx="0"/>
    <cs:fontRef idx="minor">
      <a:schemeClr val="tx1"/>
    </cs:fontRef>
  </cs:upBar>
  <cs:valueAxis>
    <cs:lnRef idx="0"/>
    <cs:fillRef idx="0"/>
    <cs:effectRef idx="0"/>
    <cs:fontRef idx="minor">
      <a:schemeClr val="tx1"/>
    </cs:fontRef>
    <cs:defRPr/>
  </cs:valueAxis>
  <cs:wall>
    <cs:lnRef idx="0"/>
    <cs:fillRef idx="0"/>
    <cs:effectRef idx="0"/>
    <cs:fontRef idx="minor">
      <a:schemeClr val="tx1"/>
    </cs:fontRef>
  </cs:wall>
  <cs:dataPointMarkerLayout symbol="circle" size="5"/>
</cs:chartStyle>
</file>

<file path=word/theme/theme1.xml><?xml version="1.0" encoding="utf-8"?>
<a:theme xmlns:a="http://schemas.openxmlformats.org/drawingml/2006/main" name="Bigtree Lab">
  <a:themeElements>
    <a:clrScheme name="Bigtree Lab">
      <a:dk1>
        <a:srgbClr val="1F4437"/>
      </a:dk1>
      <a:lt1>
        <a:srgbClr val="FFFFFF"/>
      </a:lt1>
      <a:dk2>
        <a:srgbClr val="66776F"/>
      </a:dk2>
      <a:lt2>
        <a:srgbClr val="F7F4EE"/>
      </a:lt2>
      <a:accent1>
        <a:srgbClr val="2F6B55"/>
      </a:accent1>
      <a:accent2>
        <a:srgbClr val="FFCB68"/>
      </a:accent2>
      <a:accent3>
        <a:srgbClr val="66776F"/>
      </a:accent3>
      <a:accent4>
        <a:srgbClr val="94A09A"/>
      </a:accent4>
      <a:accent5>
        <a:srgbClr val="C2C9C5"/>
      </a:accent5>
      <a:accent6>
        <a:srgbClr val="E2773A"/>
      </a:accent6>
      <a:hlink>
        <a:srgbClr val="2F6B55"/>
      </a:hlink>
      <a:folHlink>
        <a:srgbClr val="66776F"/>
      </a:folHlink>
    </a:clrScheme>
    <a:fontScheme name="Noto Sans JP">
      <a:majorFont>
        <a:latin typeface="Noto Sans JP"/>
        <a:ea typeface="Noto Sans JP"/>
        <a:cs typeface="Noto Sans JP"/>
        <a:font script="Jpan" typeface="Noto Sans JP"/>
      </a:majorFont>
      <a:minorFont>
        <a:latin typeface="Noto Sans JP"/>
        <a:ea typeface="Noto Sans JP"/>
        <a:cs typeface="Noto Sans JP"/>
        <a:font script="Jpan" typeface="Noto Sans JP"/>
      </a:minorFont>
    </a:fontScheme>
    <a:fmtScheme name="Bigtree La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  <a:effectStyle>
          <a:effectLst>
            <a:outerShdw blurRad="152400" dist="50800" dir="2700000" algn="tl" rotWithShape="0">
              <a:srgbClr val="1F4437">
                <a:alpha val="18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>
  <dc:title>DOTX capability test</dc:title>
  <dc:creator>Claude Code</dc:creator>
</cp:coreProperties>
</file>