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FigureBlock"/>
      </w:pPr>
      <w:r>
        <w:drawing>
          <wp:inline distT="0" distB="0" distL="0" distR="0">
            <wp:extent cx="734415" cy="968459"/>
            <wp:docPr id="1" name="Logo"/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734415" cy="96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alias w:val="資料の区分"/>
        <w:tag w:val="classification"/>
        <w:id w:val="25408006"/>
        <w:text/>
      </w:sdtPr>
      <w:sdtContent>
        <w:p>
          <w:pPr>
            <w:pStyle w:val="Caption"/>
          </w:pPr>
          <w:r>
            <w:t xml:space="preserve">公開用 ｜ ドラフト</w:t>
          </w:r>
        </w:p>
      </w:sdtContent>
    </w:sdt>
    <w:sdt>
      <w:sdtPr>
        <w:alias w:val="宛先"/>
        <w:tag w:val="recipient"/>
        <w:id w:val="19781800"/>
        <w:text/>
      </w:sdtPr>
      <w:sdtContent>
        <w:p>
          <w:pPr>
            <w:pStyle w:val="Normal"/>
          </w:pPr>
          <w:r>
            <w:t xml:space="preserve">サンプル宛先　テンプレート確認用</w:t>
          </w:r>
        </w:p>
      </w:sdtContent>
    </w:sdt>
    <w:sdt>
      <w:sdtPr>
        <w:alias w:val="タイトル"/>
        <w:tag w:val="title"/>
        <w:id w:val="85256438"/>
        <w:text/>
      </w:sdtPr>
      <w:sdtContent>
        <w:p>
          <w:pPr>
            <w:pStyle w:val="Title"/>
          </w:pPr>
          <w:r>
            <w:t xml:space="preserve">サンプル文書（表示確認用）</w:t>
          </w:r>
        </w:p>
      </w:sdtContent>
    </w:sdt>
    <w:sdt>
      <w:sdtPr>
        <w:alias w:val="サブタイトル"/>
        <w:tag w:val="subtitle"/>
        <w:id w:val="20660267"/>
        <w:text/>
      </w:sdtPr>
      <w:sdtContent>
        <w:p>
          <w:pPr>
            <w:pStyle w:val="Subtitle"/>
          </w:pPr>
          <w:r>
            <w:t xml:space="preserve">ダミーテキストのみ・実データではない</w:t>
          </w:r>
        </w:p>
      </w:sdtContent>
    </w:sdt>
    <w:sdt>
      <w:sdtPr>
        <w:alias w:val="日付・作成者"/>
        <w:tag w:val="meta"/>
        <w:id w:val="25800164"/>
        <w:text/>
      </w:sdtPr>
      <w:sdtContent>
        <w:p>
          <w:pPr>
            <w:pStyle w:val="Caption"/>
          </w:pPr>
          <w:r>
            <w:t xml:space="preserve">2026-09-18 ｜ Bigtree Lab ｜ だいき君</w:t>
          </w:r>
        </w:p>
      </w:sdtContent>
    </w:sdt>
    <w:p>
      <w:pPr>
        <w:pStyle w:val="TOCHeading"/>
      </w:pPr>
      <w:r>
        <w:t xml:space="preserve">目次</w:t>
      </w:r>
    </w:p>
    <w:p>
      <w:pPr>
        <w:pStyle w:val="TOC1"/>
      </w:pPr>
      <w:r>
        <w:fldChar w:fldCharType="begin"/>
      </w:r>
      <w:r>
        <w:instrText xml:space="preserve">  TOC \o "1-2" \h \z \u \n </w:instrText>
      </w:r>
      <w:r>
        <w:fldChar w:fldCharType="separate"/>
      </w:r>
      <w:r>
        <w:t>［ここに目次が入ります。右クリック →「フィールド更新」］</w:t>
      </w:r>
      <w:r>
        <w:fldChar w:fldCharType="end"/>
      </w:r>
    </w:p>
    <w:p>
      <w:pPr>
        <w:pStyle w:val="Heading1"/>
      </w:pPr>
      <w:r>
        <w:t xml:space="preserve">この文書について</w:t>
      </w:r>
    </w:p>
    <w:p>
      <w:r>
        <w:t xml:space="preserve">これはテンプレートの表示を確かめるためのダミー文書である。項目名も数値もすべて架空のもので、実在のデータを示すものではない。本文の行間、見出しの間隔、表や挿絵の流れ方、段落の続き方を確かめるために、同じ長さの段落を繰り返し置いている。</w:t>
      </w:r>
    </w:p>
    <w:p>
      <w:r>
        <w:t xml:space="preserve">この段落には文字スタイルを当てている。</w:t>
      </w:r>
      <w:r>
        <w:rPr>
          <w:rStyle w:val="Emph"/>
        </w:rPr>
        <w:t xml:space="preserve">強調したい語句</w:t>
      </w:r>
      <w:r>
        <w:t xml:space="preserve">、</w:t>
      </w:r>
      <w:r>
        <w:rPr>
          <w:rStyle w:val="Caution"/>
        </w:rPr>
        <w:t xml:space="preserve">注意喚起</w:t>
      </w:r>
      <w:r>
        <w:t xml:space="preserve">、そして数値の </w:t>
      </w:r>
      <w:r>
        <w:rPr>
          <w:rStyle w:val="Figure"/>
        </w:rPr>
        <w:t xml:space="preserve">サンプル指標 12.3%</w:t>
      </w:r>
      <w:r>
        <w:t xml:space="preserve"> のような例。リンクは </w:t>
      </w:r>
      <w:hyperlink r:id="rIdLink" w:history="1">
        <w:r>
          <w:rPr>
            <w:rStyle w:val="Hyperlink"/>
          </w:rPr>
          <w:t xml:space="preserve">サンプルのリンク先</w:t>
        </w:r>
      </w:hyperlink>
      <w:r>
        <w:t xml:space="preserve"> のように組み込みのスタイルを使う。</w:t>
      </w:r>
    </w:p>
    <w:p>
      <w:pPr>
        <w:pStyle w:val="Heading2"/>
      </w:pPr>
      <w:r>
        <w:t xml:space="preserve">箇条書き</w:t>
      </w:r>
    </w:p>
    <w:p>
      <w:pPr>
        <w:pStyle w:val="ListBullet"/>
      </w:pPr>
      <w:r>
        <w:t xml:space="preserve">箇条書きの第1レベル</w:t>
      </w:r>
    </w:p>
    <w:p>
      <w:pPr>
        <w:pStyle w:val="ListBullet"/>
        <w:numPr>
          <w:ilvl w:val="1"/>
        </w:numPr>
      </w:pPr>
      <w:r>
        <w:t xml:space="preserve">Tab を押すとここ（第2レベル）に下がる</w:t>
      </w:r>
    </w:p>
    <w:p>
      <w:pPr>
        <w:pStyle w:val="ListBullet"/>
        <w:numPr>
          <w:ilvl w:val="2"/>
        </w:numPr>
      </w:pPr>
      <w:r>
        <w:t xml:space="preserve">第3レベル</w:t>
      </w:r>
    </w:p>
    <w:p>
      <w:pPr>
        <w:pStyle w:val="ListBullet"/>
      </w:pPr>
      <w:r>
        <w:t xml:space="preserve">第1レベルに戻る</w:t>
      </w:r>
    </w:p>
    <w:p>
      <w:pPr>
        <w:pStyle w:val="Heading2"/>
      </w:pPr>
      <w:r>
        <w:t xml:space="preserve">番号付きリスト</w:t>
      </w:r>
    </w:p>
    <w:p>
      <w:pPr>
        <w:pStyle w:val="ListNumber"/>
      </w:pPr>
      <w:r>
        <w:t xml:space="preserve">手順その1</w:t>
      </w:r>
    </w:p>
    <w:p>
      <w:pPr>
        <w:pStyle w:val="ListNumber"/>
      </w:pPr>
      <w:r>
        <w:t xml:space="preserve">手順その2</w:t>
      </w:r>
    </w:p>
    <w:p>
      <w:pPr>
        <w:pStyle w:val="ListNumber"/>
      </w:pPr>
      <w:r>
        <w:t xml:space="preserve">手順その3</w:t>
      </w:r>
    </w:p>
    <w:p>
      <w:pPr>
        <w:pStyle w:val="Heading1"/>
      </w:pPr>
      <w:r>
        <w:t xml:space="preserve">表と挿絵</w:t>
      </w:r>
    </w:p>
    <w:p>
      <w:pPr>
        <w:pStyle w:val="Heading2"/>
      </w:pPr>
      <w:r>
        <w:t xml:space="preserve">サンプルの表</w:t>
      </w:r>
    </w:p>
    <w:p>
      <w:r>
        <w:t xml:space="preserve">見出し番号（1. / 1.1）はすべて自動採番で、手では打っていない。</w:t>
      </w:r>
    </w:p>
    <w:tbl>
      <w:tblPr>
        <w:tblStyle w:val="ReportTable"/>
        <w:tblW w:w="9638" w:type="dxa"/>
        <w:tblLook w:val="04A0" w:firstRow="1" w:lastRow="0" w:firstColumn="0" w:lastColumn="0" w:noHBand="0" w:noVBand="1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w="2409" w:type="dxa"/>
          </w:tcPr>
          <w:p>
            <w:pPr>
              <w:pStyle w:val="TableText"/>
              <w:jc w:val="left"/>
            </w:pPr>
            <w:r>
              <w:t xml:space="preserve">項目</w:t>
            </w:r>
          </w:p>
        </w:tc>
        <w:tc>
          <w:tcPr>
            <w:tcW w:w="2409" w:type="dxa"/>
          </w:tcPr>
          <w:p>
            <w:pPr>
              <w:pStyle w:val="TableText"/>
              <w:jc w:val="left"/>
            </w:pPr>
            <w:r>
              <w:t xml:space="preserve">サンプル指標A</w:t>
            </w:r>
          </w:p>
        </w:tc>
        <w:tc>
          <w:tcPr>
            <w:tcW w:w="2409" w:type="dxa"/>
          </w:tcPr>
          <w:p>
            <w:pPr>
              <w:pStyle w:val="TableText"/>
              <w:jc w:val="left"/>
            </w:pPr>
            <w:r>
              <w:t xml:space="preserve">サンプル指標B</w:t>
            </w:r>
          </w:p>
        </w:tc>
        <w:tc>
          <w:tcPr>
            <w:tcW w:w="2409" w:type="dxa"/>
          </w:tcPr>
          <w:p>
            <w:pPr>
              <w:pStyle w:val="TableText"/>
              <w:jc w:val="left"/>
            </w:pPr>
            <w:r>
              <w:t xml:space="preserve">サンプル指標C</w:t>
            </w:r>
          </w:p>
        </w:tc>
      </w:tr>
      <w:tr>
        <w:tc>
          <w:tcPr>
            <w:tcW w:w="2409" w:type="dxa"/>
          </w:tcPr>
          <w:p>
            <w:pPr>
              <w:pStyle w:val="TableText"/>
              <w:jc w:val="left"/>
            </w:pPr>
            <w:r>
              <w:t xml:space="preserve">行1</w:t>
            </w:r>
          </w:p>
        </w:tc>
        <w:tc>
          <w:tcPr>
            <w:tcW w:w="2409" w:type="dxa"/>
          </w:tcPr>
          <w:p>
            <w:pPr>
              <w:pStyle w:val="TableText"/>
              <w:jc w:val="right"/>
            </w:pPr>
            <w:r>
              <w:t xml:space="preserve">1,234</w:t>
            </w:r>
          </w:p>
        </w:tc>
        <w:tc>
          <w:tcPr>
            <w:tcW w:w="2409" w:type="dxa"/>
          </w:tcPr>
          <w:p>
            <w:pPr>
              <w:pStyle w:val="TableText"/>
              <w:jc w:val="right"/>
            </w:pPr>
            <w:r>
              <w:t xml:space="preserve">12.3%</w:t>
            </w:r>
          </w:p>
        </w:tc>
        <w:tc>
          <w:tcPr>
            <w:tcW w:w="2409" w:type="dxa"/>
          </w:tcPr>
          <w:p>
            <w:pPr>
              <w:pStyle w:val="TableText"/>
              <w:jc w:val="right"/>
            </w:pPr>
            <w:r>
              <w:t xml:space="preserve">123%</w:t>
            </w:r>
          </w:p>
        </w:tc>
      </w:tr>
      <w:tr>
        <w:tc>
          <w:tcPr>
            <w:tcW w:w="2409" w:type="dxa"/>
          </w:tcPr>
          <w:p>
            <w:pPr>
              <w:pStyle w:val="TableText"/>
              <w:jc w:val="left"/>
            </w:pPr>
            <w:r>
              <w:t xml:space="preserve">行2</w:t>
            </w:r>
          </w:p>
        </w:tc>
        <w:tc>
          <w:tcPr>
            <w:tcW w:w="2409" w:type="dxa"/>
          </w:tcPr>
          <w:p>
            <w:pPr>
              <w:pStyle w:val="TableText"/>
              <w:jc w:val="right"/>
            </w:pPr>
            <w:r>
              <w:t xml:space="preserve">2,345</w:t>
            </w:r>
          </w:p>
        </w:tc>
        <w:tc>
          <w:tcPr>
            <w:tcW w:w="2409" w:type="dxa"/>
          </w:tcPr>
          <w:p>
            <w:pPr>
              <w:pStyle w:val="TableText"/>
              <w:jc w:val="right"/>
            </w:pPr>
            <w:r>
              <w:t xml:space="preserve">23.4%</w:t>
            </w:r>
          </w:p>
        </w:tc>
        <w:tc>
          <w:tcPr>
            <w:tcW w:w="2409" w:type="dxa"/>
          </w:tcPr>
          <w:p>
            <w:pPr>
              <w:pStyle w:val="TableText"/>
              <w:jc w:val="right"/>
            </w:pPr>
            <w:r>
              <w:t xml:space="preserve">234%</w:t>
            </w:r>
          </w:p>
        </w:tc>
      </w:tr>
      <w:tr>
        <w:tc>
          <w:tcPr>
            <w:tcW w:w="2409" w:type="dxa"/>
          </w:tcPr>
          <w:p>
            <w:pPr>
              <w:pStyle w:val="TableText"/>
              <w:jc w:val="left"/>
            </w:pPr>
            <w:r>
              <w:t xml:space="preserve">行3</w:t>
            </w:r>
          </w:p>
        </w:tc>
        <w:tc>
          <w:tcPr>
            <w:tcW w:w="2409" w:type="dxa"/>
          </w:tcPr>
          <w:p>
            <w:pPr>
              <w:pStyle w:val="TableText"/>
              <w:jc w:val="right"/>
            </w:pPr>
            <w:r>
              <w:t xml:space="preserve">3,456</w:t>
            </w:r>
          </w:p>
        </w:tc>
        <w:tc>
          <w:tcPr>
            <w:tcW w:w="2409" w:type="dxa"/>
          </w:tcPr>
          <w:p>
            <w:pPr>
              <w:pStyle w:val="TableText"/>
              <w:jc w:val="right"/>
            </w:pPr>
            <w:r>
              <w:t xml:space="preserve">34.5%</w:t>
            </w:r>
          </w:p>
        </w:tc>
        <w:tc>
          <w:tcPr>
            <w:tcW w:w="2409" w:type="dxa"/>
          </w:tcPr>
          <w:p>
            <w:pPr>
              <w:pStyle w:val="TableText"/>
              <w:jc w:val="right"/>
            </w:pPr>
            <w:r>
              <w:t xml:space="preserve">345%</w:t>
            </w:r>
          </w:p>
        </w:tc>
      </w:tr>
      <w:tr>
        <w:tc>
          <w:tcPr>
            <w:tcW w:w="2409" w:type="dxa"/>
          </w:tcPr>
          <w:p>
            <w:pPr>
              <w:pStyle w:val="TableText"/>
              <w:jc w:val="left"/>
            </w:pPr>
            <w:r>
              <w:t xml:space="preserve">行4</w:t>
            </w:r>
          </w:p>
        </w:tc>
        <w:tc>
          <w:tcPr>
            <w:tcW w:w="2409" w:type="dxa"/>
          </w:tcPr>
          <w:p>
            <w:pPr>
              <w:pStyle w:val="TableText"/>
              <w:jc w:val="right"/>
            </w:pPr>
            <w:r>
              <w:t xml:space="preserve">4,567</w:t>
            </w:r>
          </w:p>
        </w:tc>
        <w:tc>
          <w:tcPr>
            <w:tcW w:w="2409" w:type="dxa"/>
          </w:tcPr>
          <w:p>
            <w:pPr>
              <w:pStyle w:val="TableText"/>
              <w:jc w:val="right"/>
            </w:pPr>
            <w:r>
              <w:t xml:space="preserve">45.6%</w:t>
            </w:r>
          </w:p>
        </w:tc>
        <w:tc>
          <w:tcPr>
            <w:tcW w:w="2409" w:type="dxa"/>
          </w:tcPr>
          <w:p>
            <w:pPr>
              <w:pStyle w:val="TableText"/>
              <w:jc w:val="right"/>
            </w:pPr>
            <w:r>
              <w:t xml:space="preserve">456%</w:t>
            </w:r>
          </w:p>
        </w:tc>
      </w:tr>
    </w:tbl>
    <w:p>
      <w:pPr>
        <w:pStyle w:val="Caption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t xml:space="preserve">：サンプルの表（ダミー）</w:t>
      </w:r>
    </w:p>
    <w:p>
      <w:pPr>
        <w:pStyle w:val="Heading2"/>
      </w:pPr>
      <w:r>
        <w:t xml:space="preserve">挿絵</w:t>
      </w:r>
    </w:p>
    <w:p>
      <w:r>
        <w:t xml:space="preserve">挿絵は行内配置にしている。文章を加筆しても、画像は段落と一緒に流れる。</w:t>
      </w:r>
    </w:p>
    <w:p>
      <w:pPr>
        <w:pStyle w:val="FigureBlock"/>
      </w:pPr>
      <w:r>
        <w:drawing>
          <wp:inline distT="0" distB="0" distL="0" distR="0">
            <wp:extent cx="4896104" cy="2121645"/>
            <wp:docPr id="1" name="Figure 1"/>
            <a:graphic>
              <a:graphicData uri="http://schemas.openxmlformats.org/drawingml/2006/picture">
                <pic:pic>
                  <pic:nvPicPr>
                    <pic:cNvPr id="1" name="Fig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896104" cy="212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図 </w:t>
      </w:r>
      <w:r>
        <w:fldChar w:fldCharType="begin"/>
      </w:r>
      <w:r>
        <w:instrText xml:space="preserve"> SEQ 図 \* ARABIC </w:instrText>
      </w:r>
      <w:r>
        <w:fldChar w:fldCharType="separate"/>
      </w:r>
      <w:r>
        <w:t>1</w:t>
      </w:r>
      <w:r>
        <w:fldChar w:fldCharType="end"/>
      </w:r>
      <w:r>
        <w:t xml:space="preserve">：サンプルの挿絵（ダミー）</w:t>
      </w:r>
    </w:p>
    <w:p>
      <w:pPr>
        <w:pStyle w:val="Heading3"/>
      </w:pPr>
      <w:r>
        <w:t xml:space="preserve">行間の確認用（英数字混じり）</w:t>
      </w:r>
    </w:p>
    <w:p>
      <w:r>
        <w:t xml:space="preserve">これはテンプレートの表示を確かめるためのダミー文書である。項目名も数値もすべて架空のもので、実在のデータを示すものではない。本文の行間、見出しの間隔、表や挿絵の流れ方、段落の続き方を確かめるために、同じ長さの段落を繰り返し置いている。</w:t>
      </w:r>
    </w:p>
    <w:p>
      <w:r>
        <w:t xml:space="preserve">これはテンプレートの表示を確かめるためのダミー文書である。項目名も数値もすべて架空のもので、実在のデータを示すものではない。本文の行間、見出しの間隔、表や挿絵の流れ方、段落の続き方を確かめるために、同じ長さの段落を繰り返し置いている。</w:t>
      </w:r>
    </w:p>
    <w:p>
      <w:r>
        <w:t xml:space="preserve">これはテンプレートの表示を確かめるためのダミー文書である。項目名も数値もすべて架空のもので、実在のデータを示すものではない。本文の行間、見出しの間隔、表や挿絵の流れ方、段落の続き方を確かめるために、同じ長さの段落を繰り返し置いている。</w:t>
      </w:r>
    </w:p>
    <w:p>
      <w:r>
        <w:t xml:space="preserve">これはテンプレートの表示を確かめるためのダミー文書である。項目名も数値もすべて架空のもので、実在のデータを示すものではない。本文の行間、見出しの間隔、表や挿絵の流れ方、段落の続き方を確かめるために、同じ長さの段落を繰り返し置いている。</w:t>
      </w:r>
    </w:p>
    <w:p>
      <w:r>
        <w:t xml:space="preserve">これはテンプレートの表示を確かめるためのダミー文書である。項目名も数値もすべて架空のもので、実在のデータを示すものではない。本文の行間、見出しの間隔、表や挿絵の流れ方、段落の続き方を確かめるために、同じ長さの段落を繰り返し置いている。</w:t>
      </w:r>
    </w:p>
    <w:p>
      <w:r>
        <w:t xml:space="preserve">これはテンプレートの表示を確かめるためのダミー文書である。項目名も数値もすべて架空のもので、実在のデータを示すものではない。本文の行間、見出しの間隔、表や挿絵の流れ方、段落の続き方を確かめるために、同じ長さの段落を繰り返し置いている。</w:t>
      </w:r>
    </w:p>
    <w:p>
      <w:pPr>
        <w:pStyle w:val="Heading1"/>
      </w:pPr>
      <w:r>
        <w:t xml:space="preserve">まとめ</w:t>
      </w:r>
    </w:p>
    <w:p>
      <w:r>
        <w:t xml:space="preserve">フッターの「ページ / 総ページ」は自動で更新される。Web レイアウトでは表示されず、印刷・PDF 化したときに効く。</w:t>
      </w:r>
    </w:p>
    <w:sectPr>
      <w:footerReference w:type="default" r:id="rIdFooter"/>
      <w:pgSz w:w="11906" w:h="16838"/>
      <w:pgMar w:top="1134" w:right="1134" w:bottom="1134" w:left="1134" w:header="567" w:footer="567" w:gutter="0"/>
      <w:cols w:space="425"/>
      <w:titlePg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oto Sans JP">
    <w:charset w:val="80"/>
    <w:family w:val="swiss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© 2026 Bigtree Lab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pStyle w:val="Heading1"/>
      <w:lvlText w:val="%1."/>
      <w:lvlJc w:val="left"/>
      <w:pPr>
        <w:ind w:left="425" w:hanging="425"/>
      </w:pPr>
    </w:lvl>
    <w:lvl w:ilvl="1">
      <w:start w:val="1"/>
      <w:numFmt w:val="decimal"/>
      <w:pStyle w:val="Heading2"/>
      <w:lvlText w:val="%1.%2"/>
      <w:lvlJc w:val="left"/>
      <w:pPr>
        <w:ind w:left="567" w:hanging="567"/>
      </w:pPr>
    </w:lvl>
    <w:lvl w:ilvl="2">
      <w:start w:val="1"/>
      <w:numFmt w:val="decimal"/>
      <w:pStyle w:val="Heading3"/>
      <w:lvlText w:val="%1.%2.%3"/>
      <w:lvlJc w:val="left"/>
      <w:pPr>
        <w:ind w:left="709" w:hanging="709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20" w:hanging="210"/>
      </w:pPr>
      <w:rPr>
        <w:rFonts w:ascii="Noto Sans JP" w:hAnsi="Noto Sans JP" w:hint="default"/>
      </w:rPr>
    </w:lvl>
    <w:lvl w:ilvl="1">
      <w:start w:val="1"/>
      <w:numFmt w:val="bullet"/>
      <w:lvlText w:val="◦"/>
      <w:lvlJc w:val="left"/>
      <w:pPr>
        <w:ind w:left="840" w:hanging="210"/>
      </w:pPr>
      <w:rPr>
        <w:rFonts w:ascii="Noto Sans JP" w:hAnsi="Noto Sans JP" w:hint="default"/>
      </w:rPr>
    </w:lvl>
    <w:lvl w:ilvl="2">
      <w:start w:val="1"/>
      <w:numFmt w:val="bullet"/>
      <w:lvlText w:val="•"/>
      <w:lvlJc w:val="left"/>
      <w:pPr>
        <w:ind w:left="1260" w:hanging="210"/>
      </w:pPr>
      <w:rPr>
        <w:rFonts w:ascii="Noto Sans JP" w:hAnsi="Noto Sans JP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EnclosedCircle"/>
      <w:lvlText w:val="%2"/>
      <w:lvlJc w:val="left"/>
      <w:pPr>
        <w:ind w:left="840" w:hanging="420"/>
      </w:pPr>
    </w:lvl>
    <w:lvl w:ilvl="2">
      <w:start w:val="1"/>
      <w:numFmt w:val="aiueoFullWidth"/>
      <w:lvlText w:val="%3"/>
      <w:lvlJc w:val="left"/>
      <w:pPr>
        <w:ind w:left="126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>
  <w:view w:val="web"/>
  <w:zoom w:percent="100"/>
  <w:embedTrueTypeFonts/>
  <w:defaultTabStop w:val="420"/>
  <w:characterSpacingControl w:val="compressPunctuation"/>
  <w:compat>
    <w:compatSetting w:name="compatibilityMode" w:uri="http://schemas.microsoft.com/office/word" w:val="15"/>
  </w:compat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Theme="minorHAnsi" w:hAnsiTheme="minorHAnsi" w:eastAsiaTheme="minorEastAsia" w:cstheme="minorBidi"/>
        <w:kern w:val="2"/>
        <w:sz w:val="21"/>
        <w:szCs w:val="21"/>
        <w:lang w:val="en-US" w:eastAsia="ja-JP" w:bidi="ar-SA"/>
      </w:rPr>
    </w:rPrDefault>
    <w:pPrDefault>
      <w:pPr>
        <w:widowControl w:val="0"/>
      </w:pPr>
    </w:pPrDefault>
  </w:docDefaults>
  <w:style w:type="paragraph" w:default="1" w:styleId="Normal">
    <w:name w:val="Normal"/>
    <w:qFormat/>
    <w:pPr>
      <w:snapToGrid w:val="0"/>
      <w:spacing w:after="160" w:line="357" w:lineRule="exact"/>
      <w:jc w:val="both"/>
    </w:pPr>
    <w:rPr>
      <w:rFonts w:asciiTheme="minorHAnsi" w:hAnsiTheme="minorHAnsi" w:eastAsiaTheme="minorEastAsia" w:cstheme="minorBidi"/>
      <w:color w:val="1F4437" w:themeColor="text1"/>
      <w:sz w:val="21"/>
      <w:szCs w:val="21"/>
    </w:rPr>
  </w:style>
  <w:style w:type="paragraph" w:styleId="Title">
    <w:name w:val="Title"/>
    <w:basedOn w:val="Normal"/>
    <w:next w:val="Normal"/>
    <w:uiPriority w:val="1"/>
    <w:qFormat/>
    <w:pPr>
      <w:snapToGrid w:val="0"/>
      <w:spacing w:after="120" w:line="624" w:lineRule="exact"/>
    </w:pPr>
    <w:rPr>
      <w:rFonts w:asciiTheme="majorHAnsi" w:hAnsiTheme="majorHAnsi" w:eastAsiaTheme="majorEastAsia" w:cstheme="majorBidi"/>
      <w:b/>
      <w:bCs/>
      <w:color w:val="1F4437" w:themeColor="text1"/>
      <w:sz w:val="48"/>
      <w:szCs w:val="48"/>
      <w:kern w:val="28"/>
    </w:rPr>
  </w:style>
  <w:style w:type="paragraph" w:styleId="Subtitle">
    <w:name w:val="Subtitle"/>
    <w:basedOn w:val="Normal"/>
    <w:next w:val="Normal"/>
    <w:uiPriority w:val="1"/>
    <w:qFormat/>
    <w:pPr>
      <w:snapToGrid w:val="0"/>
      <w:spacing w:after="480" w:line="390" w:lineRule="exact"/>
    </w:pPr>
    <w:rPr>
      <w:rFonts w:asciiTheme="minorHAnsi" w:hAnsiTheme="minorHAnsi" w:eastAsiaTheme="minorEastAsia" w:cstheme="minorBidi"/>
      <w:color w:val="66776F" w:themeColor="text2"/>
      <w:sz w:val="26"/>
      <w:szCs w:val="26"/>
    </w:rPr>
  </w:style>
  <w:style w:type="paragraph" w:styleId="Heading1">
    <w:name w:val="heading 1"/>
    <w:basedOn w:val="Normal"/>
    <w:next w:val="Normal"/>
    <w:uiPriority w:val="1"/>
    <w:qFormat/>
    <w:pPr>
      <w:keepNext/>
      <w:snapToGrid w:val="0"/>
      <w:numPr>
        <w:ilvl w:val="0"/>
        <w:numId w:val="1"/>
      </w:numPr>
      <w:spacing w:before="480" w:after="120" w:line="504" w:lineRule="exact"/>
      <w:outlineLvl w:val="0"/>
    </w:pPr>
    <w:rPr>
      <w:rFonts w:asciiTheme="majorHAnsi" w:hAnsiTheme="majorHAnsi" w:eastAsiaTheme="majorEastAsia" w:cstheme="majorBidi"/>
      <w:b/>
      <w:bCs/>
      <w:color w:val="2F6B55" w:themeColor="accent1"/>
      <w:sz w:val="36"/>
      <w:szCs w:val="36"/>
    </w:rPr>
  </w:style>
  <w:style w:type="paragraph" w:styleId="Heading2">
    <w:name w:val="heading 2"/>
    <w:basedOn w:val="Normal"/>
    <w:next w:val="Normal"/>
    <w:uiPriority w:val="1"/>
    <w:qFormat/>
    <w:pPr>
      <w:keepNext/>
      <w:snapToGrid w:val="0"/>
      <w:numPr>
        <w:ilvl w:val="1"/>
        <w:numId w:val="1"/>
      </w:numPr>
      <w:spacing w:before="360" w:after="120" w:line="420" w:lineRule="exact"/>
      <w:outlineLvl w:val="1"/>
    </w:pPr>
    <w:rPr>
      <w:rFonts w:asciiTheme="majorHAnsi" w:hAnsiTheme="majorHAnsi" w:eastAsiaTheme="majorEastAsia" w:cstheme="majorBidi"/>
      <w:b/>
      <w:bCs/>
      <w:color w:val="1F4437" w:themeColor="text1"/>
      <w:sz w:val="30"/>
      <w:szCs w:val="30"/>
    </w:rPr>
  </w:style>
  <w:style w:type="paragraph" w:styleId="Heading3">
    <w:name w:val="heading 3"/>
    <w:basedOn w:val="Normal"/>
    <w:next w:val="Normal"/>
    <w:uiPriority w:val="1"/>
    <w:qFormat/>
    <w:pPr>
      <w:keepNext/>
      <w:snapToGrid w:val="0"/>
      <w:numPr>
        <w:ilvl w:val="2"/>
        <w:numId w:val="1"/>
      </w:numPr>
      <w:spacing w:before="240" w:after="120" w:line="350" w:lineRule="exact"/>
      <w:outlineLvl w:val="2"/>
    </w:pPr>
    <w:rPr>
      <w:rFonts w:asciiTheme="majorHAnsi" w:hAnsiTheme="majorHAnsi" w:eastAsiaTheme="majorEastAsia" w:cstheme="majorBidi"/>
      <w:b/>
      <w:bCs/>
      <w:color w:val="1F4437" w:themeColor="text1"/>
      <w:sz w:val="25"/>
      <w:szCs w:val="25"/>
    </w:rPr>
  </w:style>
  <w:style w:type="paragraph" w:styleId="ListBullet">
    <w:name w:val="List Bullet"/>
    <w:basedOn w:val="Normal"/>
    <w:next w:val="Normal"/>
    <w:uiPriority w:val="1"/>
    <w:qFormat/>
    <w:pPr>
      <w:numPr>
        <w:numId w:val="2"/>
      </w:numPr>
      <w:spacing w:after="60" w:line="357" w:lineRule="exact"/>
    </w:pPr>
    <w:rPr/>
  </w:style>
  <w:style w:type="paragraph" w:styleId="ListNumber">
    <w:name w:val="List Number"/>
    <w:basedOn w:val="Normal"/>
    <w:next w:val="Normal"/>
    <w:uiPriority w:val="1"/>
    <w:qFormat/>
    <w:pPr>
      <w:numPr>
        <w:numId w:val="3"/>
      </w:numPr>
      <w:spacing w:after="60" w:line="357" w:lineRule="exact"/>
    </w:pPr>
    <w:rPr/>
  </w:style>
  <w:style w:type="paragraph" w:styleId="Caption">
    <w:name w:val="caption"/>
    <w:basedOn w:val="Normal"/>
    <w:next w:val="Normal"/>
    <w:uiPriority w:val="1"/>
    <w:qFormat/>
    <w:pPr>
      <w:snapToGrid w:val="0"/>
      <w:spacing w:before="60" w:after="240" w:line="270" w:lineRule="exact"/>
      <w:jc w:val="center"/>
    </w:pPr>
    <w:rPr>
      <w:rFonts w:asciiTheme="minorHAnsi" w:hAnsiTheme="minorHAnsi" w:eastAsiaTheme="minorEastAsia" w:cstheme="minorBidi"/>
      <w:color w:val="66776F" w:themeColor="text2"/>
      <w:sz w:val="18"/>
      <w:szCs w:val="18"/>
    </w:rPr>
  </w:style>
  <w:style w:type="paragraph" w:styleId="Footer">
    <w:name w:val="footer"/>
    <w:basedOn w:val="Normal"/>
    <w:uiPriority w:val="1"/>
    <w:qFormat/>
    <w:pPr>
      <w:tabs>
        <w:tab w:val="right" w:pos="9638"/>
      </w:tabs>
      <w:spacing w:after="0" w:line="270" w:lineRule="exact"/>
    </w:pPr>
    <w:rPr>
      <w:rFonts w:asciiTheme="minorHAnsi" w:hAnsiTheme="minorHAnsi" w:eastAsiaTheme="minorEastAsia" w:cstheme="minorBidi"/>
      <w:color w:val="66776F" w:themeColor="text2"/>
      <w:sz w:val="18"/>
      <w:szCs w:val="18"/>
    </w:rPr>
  </w:style>
  <w:style w:type="paragraph" w:styleId="TOCHeading">
    <w:name w:val="TOC Heading"/>
    <w:basedOn w:val="Normal"/>
    <w:next w:val="Normal"/>
    <w:uiPriority w:val="1"/>
    <w:qFormat/>
    <w:pPr>
      <w:snapToGrid w:val="0"/>
      <w:spacing w:before="240" w:after="120" w:line="504" w:lineRule="exact"/>
    </w:pPr>
    <w:rPr>
      <w:rFonts w:asciiTheme="majorHAnsi" w:hAnsiTheme="majorHAnsi" w:eastAsiaTheme="majorEastAsia" w:cstheme="majorBidi"/>
      <w:b/>
      <w:bCs/>
      <w:color w:val="2F6B55" w:themeColor="accent1"/>
      <w:sz w:val="36"/>
      <w:szCs w:val="36"/>
    </w:rPr>
  </w:style>
  <w:style w:type="paragraph" w:styleId="TOC1">
    <w:name w:val="toc 1"/>
    <w:basedOn w:val="Normal"/>
    <w:next w:val="Normal"/>
    <w:uiPriority w:val="1"/>
    <w:qFormat/>
    <w:pPr>
      <w:snapToGrid w:val="0"/>
      <w:spacing w:after="60" w:line="357" w:lineRule="exact"/>
      <w:tabs>
        <w:tab w:val="right" w:leader="dot" w:pos="9638"/>
      </w:tabs>
    </w:pPr>
    <w:rPr/>
  </w:style>
  <w:style w:type="paragraph" w:styleId="TOC2">
    <w:name w:val="toc 2"/>
    <w:basedOn w:val="Normal"/>
    <w:next w:val="Normal"/>
    <w:uiPriority w:val="1"/>
    <w:qFormat/>
    <w:pPr>
      <w:snapToGrid w:val="0"/>
      <w:spacing w:after="40" w:line="357" w:lineRule="exact"/>
      <w:ind w:left="420"/>
    </w:pPr>
    <w:rPr/>
  </w:style>
  <w:style w:type="paragraph" w:styleId="TOC3">
    <w:name w:val="toc 3"/>
    <w:basedOn w:val="Normal"/>
    <w:next w:val="Normal"/>
    <w:uiPriority w:val="1"/>
    <w:qFormat/>
    <w:pPr>
      <w:snapToGrid w:val="0"/>
      <w:spacing w:after="40" w:line="357" w:lineRule="exact"/>
      <w:ind w:left="840"/>
    </w:pPr>
    <w:rPr/>
  </w:style>
  <w:style w:type="paragraph" w:styleId="FigureBlock">
    <w:name w:val="図"/>
    <w:basedOn w:val="Normal"/>
    <w:next w:val="Caption"/>
    <w:uiPriority w:val="1"/>
    <w:qFormat/>
    <w:pPr>
      <w:snapToGrid w:val="0"/>
      <w:keepNext/>
      <w:spacing w:before="120" w:after="0" w:line="240" w:lineRule="auto"/>
      <w:jc w:val="center"/>
    </w:pPr>
    <w:rPr/>
  </w:style>
  <w:style w:type="paragraph" w:styleId="TableText">
    <w:name w:val="表内テキスト"/>
    <w:basedOn w:val="Normal"/>
    <w:next w:val="TableText"/>
    <w:uiPriority w:val="1"/>
    <w:qFormat/>
    <w:pPr>
      <w:snapToGrid w:val="0"/>
      <w:spacing w:after="0" w:line="266" w:lineRule="exact"/>
      <w:jc w:val="left"/>
    </w:pPr>
    <w:rPr>
      <w:rFonts w:asciiTheme="minorHAnsi" w:hAnsiTheme="minorHAnsi" w:eastAsiaTheme="minorEastAsia" w:cstheme="minorBidi"/>
      <w:color w:val="1F4437" w:themeColor="text1"/>
      <w:sz w:val="19"/>
      <w:szCs w:val="19"/>
    </w:rPr>
  </w:style>
  <w:style w:type="character" w:customStyle="1" w:styleId="Emph">
    <w:name w:val="強調"/>
    <w:uiPriority w:val="2"/>
    <w:qFormat/>
    <w:rPr>
      <w:b/>
      <w:bCs/>
      <w:color w:val="2F6B55" w:themeColor="accent1"/>
    </w:rPr>
  </w:style>
  <w:style w:type="character" w:customStyle="1" w:styleId="Caution">
    <w:name w:val="注意"/>
    <w:uiPriority w:val="2"/>
    <w:qFormat/>
    <w:rPr>
      <w:b/>
      <w:bCs/>
      <w:color w:val="E2773A" w:themeColor="accent6"/>
    </w:rPr>
  </w:style>
  <w:style w:type="character" w:customStyle="1" w:styleId="Figure">
    <w:name w:val="数値"/>
    <w:uiPriority w:val="2"/>
    <w:qFormat/>
    <w:rPr>
      <w:b/>
      <w:bCs/>
      <w:sz w:val="25"/>
      <w:szCs w:val="25"/>
    </w:rPr>
  </w:style>
  <w:style w:type="character" w:styleId="Hyperlink">
    <w:name w:val="Hyperlink"/>
    <w:uiPriority w:val="99"/>
    <w:unhideWhenUsed/>
    <w:rPr>
      <w:color w:val="2F6B55" w:themeColor="hyperlink"/>
      <w:u w:val="single"/>
    </w:rPr>
  </w:style>
  <w:style w:type="character" w:styleId="PlaceholderText">
    <w:name w:val="Placeholder Text"/>
    <w:semiHidden/>
    <w:rPr>
      <w:color w:val="66776F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ReportTable">
    <w:name w:val="レポート表"/>
    <w:basedOn w:val="TableNormal"/>
    <w:uiPriority w:val="3"/>
    <w:qFormat/>
    <w:pPr>
      <w:spacing w:after="0" w:line="266" w:lineRule="exact"/>
      <w:jc w:val="left"/>
      <w:snapToGrid w:val="0"/>
    </w:pPr>
    <w:rPr>
      <w:sz w:val="19"/>
      <w:szCs w:val="19"/>
    </w:rPr>
    <w:tblPr>
      <w:tblStyleRowBandSize w:val="1"/>
      <w:tblBorders>
        <w:top w:val="none" w:sz="0" w:space="0" w:color="auto"/>
        <w:left w:val="none" w:sz="0" w:space="0" w:color="auto"/>
        <w:right w:val="none" w:sz="0" w:space="0" w:color="auto"/>
        <w:bottom w:val="single" w:sz="8" w:space="0" w:color="2F6B55" w:themeColor="accent1"/>
        <w:insideH w:val="single" w:sz="4" w:space="0" w:color="C2C9C5" w:themeColor="accent5"/>
        <w:insideV w:val="none" w:sz="0" w:space="0" w:color="auto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rPr>
        <w:b/>
        <w:bCs/>
        <w:color w:val="FFFFFF" w:themeColor="background1"/>
      </w:rPr>
      <w:tcPr>
        <w:shd w:val="clear" w:color="auto" w:fill="2F6B55" w:themeFill="accent1"/>
      </w:tcPr>
    </w:tblStylePr>
    <w:tblStylePr w:type="band2Horz">
      <w:tcPr>
        <w:shd w:val="clear" w:color="auto" w:fill="F7F4EE" w:themeFill="background2"/>
      </w:tcPr>
    </w:tblStylePr>
    <w:tblStylePr w:type="firstCol">
      <w:rPr>
        <w:b/>
        <w:bCs/>
      </w:rPr>
    </w:tblStyle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webSettings" Target="webSettings.xml"/><Relationship Id="rIdFooter" Type="http://schemas.openxmlformats.org/officeDocument/2006/relationships/footer" Target="footer1.xml"/><Relationship Id="rIdLogo" Type="http://schemas.openxmlformats.org/officeDocument/2006/relationships/image" Target="media/logo.png"/><Relationship Id="rIdImg1" Type="http://schemas.openxmlformats.org/officeDocument/2006/relationships/image" Target="media/image1.png"/><Relationship Id="rIdLink" Type="http://schemas.openxmlformats.org/officeDocument/2006/relationships/hyperlink" Target="https://note.com/bigtree_lab" TargetMode="External"/></Relationships>
</file>

<file path=word/theme/theme1.xml><?xml version="1.0" encoding="utf-8"?>
<a:theme xmlns:a="http://schemas.openxmlformats.org/drawingml/2006/main" name="Bigtree Lab">
  <a:themeElements>
    <a:clrScheme name="Bigtree Lab">
      <a:dk1>
        <a:srgbClr val="1F4437"/>
      </a:dk1>
      <a:lt1>
        <a:srgbClr val="FFFFFF"/>
      </a:lt1>
      <a:dk2>
        <a:srgbClr val="66776F"/>
      </a:dk2>
      <a:lt2>
        <a:srgbClr val="F7F4EE"/>
      </a:lt2>
      <a:accent1>
        <a:srgbClr val="2F6B55"/>
      </a:accent1>
      <a:accent2>
        <a:srgbClr val="FFCB68"/>
      </a:accent2>
      <a:accent3>
        <a:srgbClr val="66776F"/>
      </a:accent3>
      <a:accent4>
        <a:srgbClr val="94A09A"/>
      </a:accent4>
      <a:accent5>
        <a:srgbClr val="C2C9C5"/>
      </a:accent5>
      <a:accent6>
        <a:srgbClr val="E2773A"/>
      </a:accent6>
      <a:hlink>
        <a:srgbClr val="2F6B55"/>
      </a:hlink>
      <a:folHlink>
        <a:srgbClr val="66776F"/>
      </a:folHlink>
    </a:clrScheme>
    <a:fontScheme name="Noto Sans JP">
      <a:majorFont>
        <a:latin typeface="Noto Sans JP"/>
        <a:ea typeface="Noto Sans JP"/>
        <a:cs typeface="Noto Sans JP"/>
        <a:font script="Jpan" typeface="Noto Sans JP"/>
      </a:majorFont>
      <a:minorFont>
        <a:latin typeface="Noto Sans JP"/>
        <a:ea typeface="Noto Sans JP"/>
        <a:cs typeface="Noto Sans JP"/>
        <a:font script="Jpan" typeface="Noto Sans JP"/>
      </a:minorFont>
    </a:fontScheme>
    <a:fmtScheme name="Bigtree La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>
            <a:outerShdw blurRad="152400" dist="50800" dir="2700000" algn="tl" rotWithShape="0">
              <a:srgbClr val="1F4437">
                <a:alpha val="18000"/>
              </a:srgbClr>
            </a:outerShdw>
          </a:effectLst>
        </a:effectStyle>
        <a:effectStyle>
          <a:effectLst>
            <a:outerShdw blurRad="152400" dist="50800" dir="2700000" algn="tl" rotWithShape="0">
              <a:srgbClr val="1F4437">
                <a:alpha val="18000"/>
              </a:srgbClr>
            </a:outerShdw>
          </a:effectLst>
        </a:effectStyle>
        <a:effectStyle>
          <a:effectLst>
            <a:outerShdw blurRad="152400" dist="50800" dir="2700000" algn="tl" rotWithShape="0">
              <a:srgbClr val="1F4437">
                <a:alpha val="18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Claude Code</Application>
</Properties>
</file>

<file path=docProps/core.xml><?xml version="1.0" encoding="utf-8"?>
<cp:coreProperties xmlns:cp="http://schemas.openxmlformats.org/package/2006/metadata/core-properties" xmlns:dc="http://purl.org/dc/elements/1.1/">
  <dc:title>DOTX capability test</dc:title>
  <dc:creator>Claude Code</dc:creator>
</cp:coreProperties>
</file>