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FigureBlock"/>
      </w:pPr>
      <w:r>
        <w:drawing>
          <wp:inline distT="0" distB="0" distL="0" distR="0">
            <wp:extent cx="734415" cy="968459"/>
            <wp:docPr id="1" name="Logo"/>
            <a:graphic>
              <a:graphicData uri="http://schemas.openxmlformats.org/drawingml/2006/picture">
                <pic:pic>
                  <pic:nvPicPr>
                    <pic:cNvPr id="1" name="Logo"/>
                    <pic:cNvPicPr/>
                  </pic:nvPicPr>
                  <pic:blipFill>
                    <a:blip r:embed="rIdLogo"/>
                    <a:stretch>
                      <a:fillRect/>
                    </a:stretch>
                  </pic:blipFill>
                  <pic:spPr>
                    <a:xfrm>
                      <a:off x="0" y="0"/>
                      <a:ext cx="734415" cy="968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alias w:val="資料の区分"/>
        <w:tag w:val="classification"/>
        <w:id w:val="84168365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65372307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6740815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81004151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77790819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2026-09-18 ｜ Bigtree Lab ｜ だいき君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Relationship Id="rIdLogo" Type="http://schemas.openxmlformats.org/officeDocument/2006/relationships/image" Target="media/logo.png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