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Booking SaaS</w:t>
        <w:br/>
        <w:t>Deployment Handoff</w:t>
      </w:r>
    </w:p>
    <w:p>
      <w:pPr>
        <w:jc w:val="center"/>
      </w:pPr>
      <w:r>
        <w:rPr>
          <w:color w:val="4F6D7A"/>
          <w:sz w:val="22"/>
        </w:rPr>
        <w:t>Project: eclinicsuite.com</w:t>
        <w:br/>
        <w:t>Prepared after successful ICDSoft SmartVPS 40 production deployment</w:t>
      </w:r>
    </w:p>
    <w:tbl>
      <w:tblPr>
        <w:tblW w:type="auto" w:w="0"/>
        <w:jc w:val="center"/>
        <w:tblLook w:firstColumn="1" w:firstRow="1" w:lastColumn="0" w:lastRow="0" w:noHBand="0" w:noVBand="1" w:val="04A0"/>
      </w:tblPr>
      <w:tblGrid>
        <w:gridCol w:w="9936"/>
      </w:tblGrid>
      <w:tr>
        <w:tc>
          <w:tcPr>
            <w:tcW w:type="dxa" w:w="9936"/>
            <w:shd w:fill="EAF7EA"/>
            <w:tcMar>
              <w:top w:w="110" w:type="dxa"/>
              <w:start w:w="140" w:type="dxa"/>
              <w:bottom w:w="110" w:type="dxa"/>
              <w:end w:w="140" w:type="dxa"/>
            </w:tcMar>
          </w:tcPr>
          <w:p>
            <w:r>
              <w:rPr>
                <w:b/>
                <w:color w:val="1E6B32"/>
              </w:rPr>
              <w:t>Current Status: LIVE and verified</w:t>
            </w:r>
            <w:r>
              <w:t xml:space="preserve"> — login, dashboard, bookings list, new-booking page, and booking creation were all tested successfully.</w:t>
            </w:r>
          </w:p>
        </w:tc>
      </w:tr>
    </w:tbl>
    <w:p/>
    <w:tbl>
      <w:tblPr>
        <w:tblStyle w:val="TableGrid"/>
        <w:tblW w:type="auto" w:w="0"/>
        <w:jc w:val="center"/>
        <w:tblLook w:firstColumn="1" w:firstRow="1" w:lastColumn="0" w:lastRow="0" w:noHBand="0" w:noVBand="1" w:val="04A0"/>
      </w:tblPr>
      <w:tblGrid>
        <w:gridCol w:w="4968"/>
        <w:gridCol w:w="4968"/>
      </w:tblGrid>
      <w:tr>
        <w:tc>
          <w:tcPr>
            <w:tcW w:type="dxa" w:w="7056"/>
            <w:gridSpan w:val="2"/>
            <w:shd w:fill="1F4E78"/>
            <w:tcMar>
              <w:top w:w="90" w:type="dxa"/>
              <w:start w:w="120" w:type="dxa"/>
              <w:bottom w:w="90" w:type="dxa"/>
              <w:end w:w="120" w:type="dxa"/>
            </w:tcMar>
          </w:tcPr>
          <w:p>
            <w:r>
              <w:rPr>
                <w:b/>
                <w:color w:val="FFFFFF"/>
              </w:rPr>
              <w:t>Deployment Summary</w:t>
            </w:r>
          </w:p>
        </w:tc>
      </w:tr>
      <w:tr>
        <w:tc>
          <w:tcPr>
            <w:tcW w:type="dxa" w:w="3024"/>
            <w:shd w:fill="EAF2F8"/>
            <w:vAlign w:val="center"/>
            <w:tcMar>
              <w:top w:w="80" w:type="dxa"/>
              <w:start w:w="120" w:type="dxa"/>
              <w:bottom w:w="80" w:type="dxa"/>
              <w:end w:w="120" w:type="dxa"/>
            </w:tcMar>
          </w:tcPr>
          <w:p>
            <w:pPr>
              <w:spacing w:after="0"/>
            </w:pPr>
            <w:r>
              <w:rPr>
                <w:b/>
              </w:rPr>
              <w:t>Repository</w:t>
            </w:r>
          </w:p>
        </w:tc>
        <w:tc>
          <w:tcPr>
            <w:tcW w:type="dxa" w:w="7056"/>
            <w:vAlign w:val="center"/>
            <w:tcMar>
              <w:top w:w="80" w:type="dxa"/>
              <w:start w:w="120" w:type="dxa"/>
              <w:bottom w:w="80" w:type="dxa"/>
              <w:end w:w="120" w:type="dxa"/>
            </w:tcMar>
          </w:tcPr>
          <w:p>
            <w:pPr>
              <w:spacing w:after="0"/>
            </w:pPr>
            <w:r>
              <w:t>BigWheel-IT/booking-saas</w:t>
            </w:r>
          </w:p>
        </w:tc>
      </w:tr>
      <w:tr>
        <w:tc>
          <w:tcPr>
            <w:tcW w:type="dxa" w:w="3024"/>
            <w:shd w:fill="EAF2F8"/>
            <w:vAlign w:val="center"/>
            <w:tcMar>
              <w:top w:w="80" w:type="dxa"/>
              <w:start w:w="120" w:type="dxa"/>
              <w:bottom w:w="80" w:type="dxa"/>
              <w:end w:w="120" w:type="dxa"/>
            </w:tcMar>
          </w:tcPr>
          <w:p>
            <w:pPr>
              <w:spacing w:after="0"/>
            </w:pPr>
            <w:r>
              <w:rPr>
                <w:b/>
              </w:rPr>
              <w:t>Local working path</w:t>
            </w:r>
          </w:p>
        </w:tc>
        <w:tc>
          <w:tcPr>
            <w:tcW w:type="dxa" w:w="7056"/>
            <w:vAlign w:val="center"/>
            <w:tcMar>
              <w:top w:w="80" w:type="dxa"/>
              <w:start w:w="120" w:type="dxa"/>
              <w:bottom w:w="80" w:type="dxa"/>
              <w:end w:w="120" w:type="dxa"/>
            </w:tcMar>
          </w:tcPr>
          <w:p>
            <w:pPr>
              <w:spacing w:after="0"/>
            </w:pPr>
            <w:r>
              <w:t>C:\Users\Streaming Profile\Zakaria\booking-saas</w:t>
            </w:r>
          </w:p>
        </w:tc>
      </w:tr>
      <w:tr>
        <w:tc>
          <w:tcPr>
            <w:tcW w:type="dxa" w:w="3024"/>
            <w:shd w:fill="EAF2F8"/>
            <w:vAlign w:val="center"/>
            <w:tcMar>
              <w:top w:w="80" w:type="dxa"/>
              <w:start w:w="120" w:type="dxa"/>
              <w:bottom w:w="80" w:type="dxa"/>
              <w:end w:w="120" w:type="dxa"/>
            </w:tcMar>
          </w:tcPr>
          <w:p>
            <w:pPr>
              <w:spacing w:after="0"/>
            </w:pPr>
            <w:r>
              <w:rPr>
                <w:b/>
              </w:rPr>
              <w:t>Primary production domain</w:t>
            </w:r>
          </w:p>
        </w:tc>
        <w:tc>
          <w:tcPr>
            <w:tcW w:type="dxa" w:w="7056"/>
            <w:vAlign w:val="center"/>
            <w:tcMar>
              <w:top w:w="80" w:type="dxa"/>
              <w:start w:w="120" w:type="dxa"/>
              <w:bottom w:w="80" w:type="dxa"/>
              <w:end w:w="120" w:type="dxa"/>
            </w:tcMar>
          </w:tcPr>
          <w:p>
            <w:pPr>
              <w:spacing w:after="0"/>
            </w:pPr>
            <w:r>
              <w:t>eclinicsuite.com</w:t>
            </w:r>
          </w:p>
        </w:tc>
      </w:tr>
      <w:tr>
        <w:tc>
          <w:tcPr>
            <w:tcW w:type="dxa" w:w="3024"/>
            <w:shd w:fill="EAF2F8"/>
            <w:vAlign w:val="center"/>
            <w:tcMar>
              <w:top w:w="80" w:type="dxa"/>
              <w:start w:w="120" w:type="dxa"/>
              <w:bottom w:w="80" w:type="dxa"/>
              <w:end w:w="120" w:type="dxa"/>
            </w:tcMar>
          </w:tcPr>
          <w:p>
            <w:pPr>
              <w:spacing w:after="0"/>
            </w:pPr>
            <w:r>
              <w:rPr>
                <w:b/>
              </w:rPr>
              <w:t>Frontend URL</w:t>
            </w:r>
          </w:p>
        </w:tc>
        <w:tc>
          <w:tcPr>
            <w:tcW w:type="dxa" w:w="7056"/>
            <w:vAlign w:val="center"/>
            <w:tcMar>
              <w:top w:w="80" w:type="dxa"/>
              <w:start w:w="120" w:type="dxa"/>
              <w:bottom w:w="80" w:type="dxa"/>
              <w:end w:w="120" w:type="dxa"/>
            </w:tcMar>
          </w:tcPr>
          <w:p>
            <w:pPr>
              <w:spacing w:after="0"/>
            </w:pPr>
            <w:r>
              <w:t>https://app.eclinicsuite.com</w:t>
            </w:r>
          </w:p>
        </w:tc>
      </w:tr>
      <w:tr>
        <w:tc>
          <w:tcPr>
            <w:tcW w:type="dxa" w:w="3024"/>
            <w:shd w:fill="EAF2F8"/>
            <w:vAlign w:val="center"/>
            <w:tcMar>
              <w:top w:w="80" w:type="dxa"/>
              <w:start w:w="120" w:type="dxa"/>
              <w:bottom w:w="80" w:type="dxa"/>
              <w:end w:w="120" w:type="dxa"/>
            </w:tcMar>
          </w:tcPr>
          <w:p>
            <w:pPr>
              <w:spacing w:after="0"/>
            </w:pPr>
            <w:r>
              <w:rPr>
                <w:b/>
              </w:rPr>
              <w:t>Backend URL</w:t>
            </w:r>
          </w:p>
        </w:tc>
        <w:tc>
          <w:tcPr>
            <w:tcW w:type="dxa" w:w="7056"/>
            <w:vAlign w:val="center"/>
            <w:tcMar>
              <w:top w:w="80" w:type="dxa"/>
              <w:start w:w="120" w:type="dxa"/>
              <w:bottom w:w="80" w:type="dxa"/>
              <w:end w:w="120" w:type="dxa"/>
            </w:tcMar>
          </w:tcPr>
          <w:p>
            <w:pPr>
              <w:spacing w:after="0"/>
            </w:pPr>
            <w:r>
              <w:t>https://api.eclinicsuite.com/api</w:t>
            </w:r>
          </w:p>
        </w:tc>
      </w:tr>
      <w:tr>
        <w:tc>
          <w:tcPr>
            <w:tcW w:type="dxa" w:w="3024"/>
            <w:shd w:fill="EAF2F8"/>
            <w:vAlign w:val="center"/>
            <w:tcMar>
              <w:top w:w="80" w:type="dxa"/>
              <w:start w:w="120" w:type="dxa"/>
              <w:bottom w:w="80" w:type="dxa"/>
              <w:end w:w="120" w:type="dxa"/>
            </w:tcMar>
          </w:tcPr>
          <w:p>
            <w:pPr>
              <w:spacing w:after="0"/>
            </w:pPr>
            <w:r>
              <w:rPr>
                <w:b/>
              </w:rPr>
              <w:t>Hosting platform</w:t>
            </w:r>
          </w:p>
        </w:tc>
        <w:tc>
          <w:tcPr>
            <w:tcW w:type="dxa" w:w="7056"/>
            <w:vAlign w:val="center"/>
            <w:tcMar>
              <w:top w:w="80" w:type="dxa"/>
              <w:start w:w="120" w:type="dxa"/>
              <w:bottom w:w="80" w:type="dxa"/>
              <w:end w:w="120" w:type="dxa"/>
            </w:tcMar>
          </w:tcPr>
          <w:p>
            <w:pPr>
              <w:spacing w:after="0"/>
            </w:pPr>
            <w:r>
              <w:t>ICDSoft SmartVPS 40</w:t>
            </w:r>
          </w:p>
        </w:tc>
      </w:tr>
      <w:tr>
        <w:tc>
          <w:tcPr>
            <w:tcW w:type="dxa" w:w="3024"/>
            <w:shd w:fill="EAF2F8"/>
            <w:vAlign w:val="center"/>
            <w:tcMar>
              <w:top w:w="80" w:type="dxa"/>
              <w:start w:w="120" w:type="dxa"/>
              <w:bottom w:w="80" w:type="dxa"/>
              <w:end w:w="120" w:type="dxa"/>
            </w:tcMar>
          </w:tcPr>
          <w:p>
            <w:pPr>
              <w:spacing w:after="0"/>
            </w:pPr>
            <w:r>
              <w:rPr>
                <w:b/>
              </w:rPr>
              <w:t>Deployment account</w:t>
            </w:r>
          </w:p>
        </w:tc>
        <w:tc>
          <w:tcPr>
            <w:tcW w:type="dxa" w:w="7056"/>
            <w:vAlign w:val="center"/>
            <w:tcMar>
              <w:top w:w="80" w:type="dxa"/>
              <w:start w:w="120" w:type="dxa"/>
              <w:bottom w:w="80" w:type="dxa"/>
              <w:end w:w="120" w:type="dxa"/>
            </w:tcMar>
          </w:tcPr>
          <w:p>
            <w:pPr>
              <w:spacing w:after="0"/>
            </w:pPr>
            <w:r>
              <w:t>Child account / hosting username: eclinic</w:t>
            </w:r>
          </w:p>
        </w:tc>
      </w:tr>
    </w:tbl>
    <w:p/>
    <w:p>
      <w:r>
        <w:br w:type="page"/>
      </w:r>
    </w:p>
    <w:p>
      <w:pPr>
        <w:pStyle w:val="Heading1"/>
      </w:pPr>
      <w:r>
        <w:t>1. Project Overview</w:t>
      </w:r>
    </w:p>
    <w:p>
      <w:r>
        <w:t>This document captures the final production deployment state for the multi-tenant Booking SaaS project, including hosting layout, runtime configuration, deployment sequence, fixes applied during go-live, post-deployment validation, and the operational notes needed for future maintenance.</w:t>
      </w:r>
    </w:p>
    <w:p>
      <w:pPr>
        <w:pStyle w:val="Heading2"/>
      </w:pPr>
      <w:r>
        <w:t>Application stack</w:t>
      </w:r>
    </w:p>
    <w:p>
      <w:pPr>
        <w:pStyle w:val="ListBullet"/>
        <w:spacing w:after="40"/>
      </w:pPr>
      <w:r>
        <w:t>Backend: NestJS + Prisma + PostgreSQL + JWT</w:t>
      </w:r>
    </w:p>
    <w:p>
      <w:pPr>
        <w:pStyle w:val="ListBullet"/>
        <w:spacing w:after="40"/>
      </w:pPr>
      <w:r>
        <w:t>Frontend: Next.js App Router + Tailwind CSS</w:t>
      </w:r>
    </w:p>
    <w:p>
      <w:pPr>
        <w:pStyle w:val="ListBullet"/>
        <w:spacing w:after="40"/>
      </w:pPr>
      <w:r>
        <w:t>Database: PostgreSQL running as an ICDSoft WebApps custom project</w:t>
      </w:r>
    </w:p>
    <w:p>
      <w:pPr>
        <w:pStyle w:val="ListBullet"/>
        <w:spacing w:after="40"/>
      </w:pPr>
      <w:r>
        <w:t>Runtime model: separate WebApps projects for backend, frontend, and PostgreSQL for isolation</w:t>
      </w:r>
    </w:p>
    <w:p>
      <w:pPr>
        <w:pStyle w:val="Heading2"/>
      </w:pPr>
      <w:r>
        <w:t>Verified live result</w:t>
      </w:r>
    </w:p>
    <w:p>
      <w:pPr>
        <w:pStyle w:val="ListBullet"/>
        <w:spacing w:after="40"/>
      </w:pPr>
      <w:r>
        <w:t>Frontend loads at https://app.eclinicsuite.com/login</w:t>
      </w:r>
    </w:p>
    <w:p>
      <w:pPr>
        <w:pStyle w:val="ListBullet"/>
        <w:spacing w:after="40"/>
      </w:pPr>
      <w:r>
        <w:t>API is reachable at https://api.eclinicsuite.com/api</w:t>
      </w:r>
    </w:p>
    <w:p>
      <w:pPr>
        <w:pStyle w:val="ListBullet"/>
        <w:spacing w:after="40"/>
      </w:pPr>
      <w:r>
        <w:t>Seeded demo login works</w:t>
      </w:r>
    </w:p>
    <w:p>
      <w:pPr>
        <w:pStyle w:val="ListBullet"/>
        <w:spacing w:after="40"/>
      </w:pPr>
      <w:r>
        <w:t>Protected dashboard and bookings pages load successfully</w:t>
      </w:r>
    </w:p>
    <w:p>
      <w:pPr>
        <w:pStyle w:val="ListBullet"/>
        <w:spacing w:after="40"/>
      </w:pPr>
      <w:r>
        <w:t>Creating a booking works after service ID correction in the live database</w:t>
      </w:r>
    </w:p>
    <w:p>
      <w:pPr>
        <w:pStyle w:val="Heading1"/>
      </w:pPr>
      <w:r>
        <w:t>2. Hosting Architecture</w:t>
      </w:r>
    </w:p>
    <w:tbl>
      <w:tblPr>
        <w:tblStyle w:val="TableGrid"/>
        <w:tblW w:type="auto" w:w="0"/>
        <w:jc w:val="center"/>
        <w:tblLook w:firstColumn="1" w:firstRow="1" w:lastColumn="0" w:lastRow="0" w:noHBand="0" w:noVBand="1" w:val="04A0"/>
      </w:tblPr>
      <w:tblGrid>
        <w:gridCol w:w="4968"/>
        <w:gridCol w:w="4968"/>
      </w:tblGrid>
      <w:tr>
        <w:tc>
          <w:tcPr>
            <w:tcW w:type="dxa" w:w="6840"/>
            <w:gridSpan w:val="2"/>
            <w:shd w:fill="1F4E78"/>
            <w:tcMar>
              <w:top w:w="90" w:type="dxa"/>
              <w:start w:w="120" w:type="dxa"/>
              <w:bottom w:w="90" w:type="dxa"/>
              <w:end w:w="120" w:type="dxa"/>
            </w:tcMar>
          </w:tcPr>
          <w:p>
            <w:r>
              <w:rPr>
                <w:b/>
                <w:color w:val="FFFFFF"/>
              </w:rPr>
              <w:t>Public Routing</w:t>
            </w:r>
          </w:p>
        </w:tc>
      </w:tr>
      <w:tr>
        <w:tc>
          <w:tcPr>
            <w:tcW w:type="dxa" w:w="3240"/>
            <w:shd w:fill="EAF2F8"/>
            <w:vAlign w:val="center"/>
            <w:tcMar>
              <w:top w:w="80" w:type="dxa"/>
              <w:start w:w="120" w:type="dxa"/>
              <w:bottom w:w="80" w:type="dxa"/>
              <w:end w:w="120" w:type="dxa"/>
            </w:tcMar>
          </w:tcPr>
          <w:p>
            <w:pPr>
              <w:spacing w:after="0"/>
            </w:pPr>
            <w:r>
              <w:rPr>
                <w:b/>
              </w:rPr>
              <w:t>Parent hosting plan</w:t>
            </w:r>
          </w:p>
        </w:tc>
        <w:tc>
          <w:tcPr>
            <w:tcW w:type="dxa" w:w="6840"/>
            <w:vAlign w:val="center"/>
            <w:tcMar>
              <w:top w:w="80" w:type="dxa"/>
              <w:start w:w="120" w:type="dxa"/>
              <w:bottom w:w="80" w:type="dxa"/>
              <w:end w:w="120" w:type="dxa"/>
            </w:tcMar>
          </w:tcPr>
          <w:p>
            <w:pPr>
              <w:spacing w:after="0"/>
            </w:pPr>
            <w:r>
              <w:t>ICDSoft SmartVPS 40</w:t>
            </w:r>
          </w:p>
        </w:tc>
      </w:tr>
      <w:tr>
        <w:tc>
          <w:tcPr>
            <w:tcW w:type="dxa" w:w="3240"/>
            <w:shd w:fill="EAF2F8"/>
            <w:vAlign w:val="center"/>
            <w:tcMar>
              <w:top w:w="80" w:type="dxa"/>
              <w:start w:w="120" w:type="dxa"/>
              <w:bottom w:w="80" w:type="dxa"/>
              <w:end w:w="120" w:type="dxa"/>
            </w:tcMar>
          </w:tcPr>
          <w:p>
            <w:pPr>
              <w:spacing w:after="0"/>
            </w:pPr>
            <w:r>
              <w:rPr>
                <w:b/>
              </w:rPr>
              <w:t>Isolated child account</w:t>
            </w:r>
          </w:p>
        </w:tc>
        <w:tc>
          <w:tcPr>
            <w:tcW w:type="dxa" w:w="6840"/>
            <w:vAlign w:val="center"/>
            <w:tcMar>
              <w:top w:w="80" w:type="dxa"/>
              <w:start w:w="120" w:type="dxa"/>
              <w:bottom w:w="80" w:type="dxa"/>
              <w:end w:w="120" w:type="dxa"/>
            </w:tcMar>
          </w:tcPr>
          <w:p>
            <w:pPr>
              <w:spacing w:after="0"/>
            </w:pPr>
            <w:r>
              <w:t>eclinic</w:t>
            </w:r>
          </w:p>
        </w:tc>
      </w:tr>
      <w:tr>
        <w:tc>
          <w:tcPr>
            <w:tcW w:type="dxa" w:w="3240"/>
            <w:shd w:fill="EAF2F8"/>
            <w:vAlign w:val="center"/>
            <w:tcMar>
              <w:top w:w="80" w:type="dxa"/>
              <w:start w:w="120" w:type="dxa"/>
              <w:bottom w:w="80" w:type="dxa"/>
              <w:end w:w="120" w:type="dxa"/>
            </w:tcMar>
          </w:tcPr>
          <w:p>
            <w:pPr>
              <w:spacing w:after="0"/>
            </w:pPr>
            <w:r>
              <w:rPr>
                <w:b/>
              </w:rPr>
              <w:t>Main domain on child account</w:t>
            </w:r>
          </w:p>
        </w:tc>
        <w:tc>
          <w:tcPr>
            <w:tcW w:type="dxa" w:w="6840"/>
            <w:vAlign w:val="center"/>
            <w:tcMar>
              <w:top w:w="80" w:type="dxa"/>
              <w:start w:w="120" w:type="dxa"/>
              <w:bottom w:w="80" w:type="dxa"/>
              <w:end w:w="120" w:type="dxa"/>
            </w:tcMar>
          </w:tcPr>
          <w:p>
            <w:pPr>
              <w:spacing w:after="0"/>
            </w:pPr>
            <w:r>
              <w:t>eclinicsuite.com</w:t>
            </w:r>
          </w:p>
        </w:tc>
      </w:tr>
      <w:tr>
        <w:tc>
          <w:tcPr>
            <w:tcW w:type="dxa" w:w="3240"/>
            <w:shd w:fill="EAF2F8"/>
            <w:vAlign w:val="center"/>
            <w:tcMar>
              <w:top w:w="80" w:type="dxa"/>
              <w:start w:w="120" w:type="dxa"/>
              <w:bottom w:w="80" w:type="dxa"/>
              <w:end w:w="120" w:type="dxa"/>
            </w:tcMar>
          </w:tcPr>
          <w:p>
            <w:pPr>
              <w:spacing w:after="0"/>
            </w:pPr>
            <w:r>
              <w:rPr>
                <w:b/>
              </w:rPr>
              <w:t>Subdomain</w:t>
            </w:r>
          </w:p>
        </w:tc>
        <w:tc>
          <w:tcPr>
            <w:tcW w:type="dxa" w:w="6840"/>
            <w:vAlign w:val="center"/>
            <w:tcMar>
              <w:top w:w="80" w:type="dxa"/>
              <w:start w:w="120" w:type="dxa"/>
              <w:bottom w:w="80" w:type="dxa"/>
              <w:end w:w="120" w:type="dxa"/>
            </w:tcMar>
          </w:tcPr>
          <w:p>
            <w:pPr>
              <w:spacing w:after="0"/>
            </w:pPr>
            <w:r>
              <w:t>app.eclinicsuite.com → frontend WebApp</w:t>
            </w:r>
          </w:p>
        </w:tc>
      </w:tr>
      <w:tr>
        <w:tc>
          <w:tcPr>
            <w:tcW w:type="dxa" w:w="3240"/>
            <w:shd w:fill="EAF2F8"/>
            <w:vAlign w:val="center"/>
            <w:tcMar>
              <w:top w:w="80" w:type="dxa"/>
              <w:start w:w="120" w:type="dxa"/>
              <w:bottom w:w="80" w:type="dxa"/>
              <w:end w:w="120" w:type="dxa"/>
            </w:tcMar>
          </w:tcPr>
          <w:p>
            <w:pPr>
              <w:spacing w:after="0"/>
            </w:pPr>
            <w:r>
              <w:rPr>
                <w:b/>
              </w:rPr>
              <w:t>Subdomain</w:t>
            </w:r>
          </w:p>
        </w:tc>
        <w:tc>
          <w:tcPr>
            <w:tcW w:type="dxa" w:w="6840"/>
            <w:vAlign w:val="center"/>
            <w:tcMar>
              <w:top w:w="80" w:type="dxa"/>
              <w:start w:w="120" w:type="dxa"/>
              <w:bottom w:w="80" w:type="dxa"/>
              <w:end w:w="120" w:type="dxa"/>
            </w:tcMar>
          </w:tcPr>
          <w:p>
            <w:pPr>
              <w:spacing w:after="0"/>
            </w:pPr>
            <w:r>
              <w:t>api.eclinicsuite.com → backend WebApp</w:t>
            </w:r>
          </w:p>
        </w:tc>
      </w:tr>
      <w:tr>
        <w:tc>
          <w:tcPr>
            <w:tcW w:type="dxa" w:w="3240"/>
            <w:shd w:fill="EAF2F8"/>
            <w:vAlign w:val="center"/>
            <w:tcMar>
              <w:top w:w="80" w:type="dxa"/>
              <w:start w:w="120" w:type="dxa"/>
              <w:bottom w:w="80" w:type="dxa"/>
              <w:end w:w="120" w:type="dxa"/>
            </w:tcMar>
          </w:tcPr>
          <w:p>
            <w:pPr>
              <w:spacing w:after="0"/>
            </w:pPr>
            <w:r>
              <w:rPr>
                <w:b/>
              </w:rPr>
              <w:t>DNS mode</w:t>
            </w:r>
          </w:p>
        </w:tc>
        <w:tc>
          <w:tcPr>
            <w:tcW w:type="dxa" w:w="6840"/>
            <w:vAlign w:val="center"/>
            <w:tcMar>
              <w:top w:w="80" w:type="dxa"/>
              <w:start w:w="120" w:type="dxa"/>
              <w:bottom w:w="80" w:type="dxa"/>
              <w:end w:w="120" w:type="dxa"/>
            </w:tcMar>
          </w:tcPr>
          <w:p>
            <w:pPr>
              <w:spacing w:after="0"/>
            </w:pPr>
            <w:r>
              <w:t>Registrar name servers; A records managed at registrar</w:t>
            </w:r>
          </w:p>
        </w:tc>
      </w:tr>
      <w:tr>
        <w:tc>
          <w:tcPr>
            <w:tcW w:type="dxa" w:w="3240"/>
            <w:shd w:fill="EAF2F8"/>
            <w:vAlign w:val="center"/>
            <w:tcMar>
              <w:top w:w="80" w:type="dxa"/>
              <w:start w:w="120" w:type="dxa"/>
              <w:bottom w:w="80" w:type="dxa"/>
              <w:end w:w="120" w:type="dxa"/>
            </w:tcMar>
          </w:tcPr>
          <w:p>
            <w:pPr>
              <w:spacing w:after="0"/>
            </w:pPr>
            <w:r>
              <w:rPr>
                <w:b/>
              </w:rPr>
              <w:t>A records used</w:t>
            </w:r>
          </w:p>
        </w:tc>
        <w:tc>
          <w:tcPr>
            <w:tcW w:type="dxa" w:w="6840"/>
            <w:vAlign w:val="center"/>
            <w:tcMar>
              <w:top w:w="80" w:type="dxa"/>
              <w:start w:w="120" w:type="dxa"/>
              <w:bottom w:w="80" w:type="dxa"/>
              <w:end w:w="120" w:type="dxa"/>
            </w:tcMar>
          </w:tcPr>
          <w:p>
            <w:pPr>
              <w:spacing w:after="0"/>
            </w:pPr>
            <w:r>
              <w:t>app → 192.252.151.123, api → 192.252.151.123</w:t>
            </w:r>
          </w:p>
        </w:tc>
      </w:tr>
    </w:tbl>
    <w:p/>
    <w:p>
      <w:r>
        <w:br w:type="page"/>
      </w:r>
    </w:p>
    <w:p>
      <w:pPr>
        <w:pStyle w:val="Heading2"/>
      </w:pPr>
      <w:r>
        <w:t>ICDSoft project layout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016"/>
            <w:shd w:fill="1F4E78"/>
            <w:tcMar>
              <w:top w:w="80" w:type="dxa"/>
              <w:start w:w="120" w:type="dxa"/>
              <w:bottom w:w="80" w:type="dxa"/>
              <w:end w:w="120" w:type="dxa"/>
            </w:tcMar>
          </w:tcPr>
          <w:p>
            <w:pPr>
              <w:jc w:val="center"/>
            </w:pPr>
            <w:r>
              <w:rPr>
                <w:b/>
                <w:color w:val="FFFFFF"/>
              </w:rPr>
              <w:t>Project</w:t>
            </w:r>
          </w:p>
        </w:tc>
        <w:tc>
          <w:tcPr>
            <w:tcW w:type="dxa" w:w="2016"/>
            <w:shd w:fill="1F4E78"/>
            <w:tcMar>
              <w:top w:w="80" w:type="dxa"/>
              <w:start w:w="120" w:type="dxa"/>
              <w:bottom w:w="80" w:type="dxa"/>
              <w:end w:w="120" w:type="dxa"/>
            </w:tcMar>
          </w:tcPr>
          <w:p>
            <w:pPr>
              <w:jc w:val="center"/>
            </w:pPr>
            <w:r>
              <w:rPr>
                <w:b/>
                <w:color w:val="FFFFFF"/>
              </w:rPr>
              <w:t>Purpose</w:t>
            </w:r>
          </w:p>
        </w:tc>
        <w:tc>
          <w:tcPr>
            <w:tcW w:type="dxa" w:w="2088"/>
            <w:shd w:fill="1F4E78"/>
            <w:tcMar>
              <w:top w:w="80" w:type="dxa"/>
              <w:start w:w="120" w:type="dxa"/>
              <w:bottom w:w="80" w:type="dxa"/>
              <w:end w:w="120" w:type="dxa"/>
            </w:tcMar>
          </w:tcPr>
          <w:p>
            <w:pPr>
              <w:jc w:val="center"/>
            </w:pPr>
            <w:r>
              <w:rPr>
                <w:b/>
                <w:color w:val="FFFFFF"/>
              </w:rPr>
              <w:t>Release directory</w:t>
            </w:r>
          </w:p>
        </w:tc>
        <w:tc>
          <w:tcPr>
            <w:tcW w:type="dxa" w:w="1440"/>
            <w:shd w:fill="1F4E78"/>
            <w:tcMar>
              <w:top w:w="80" w:type="dxa"/>
              <w:start w:w="120" w:type="dxa"/>
              <w:bottom w:w="80" w:type="dxa"/>
              <w:end w:w="120" w:type="dxa"/>
            </w:tcMar>
          </w:tcPr>
          <w:p>
            <w:pPr>
              <w:jc w:val="center"/>
            </w:pPr>
            <w:r>
              <w:rPr>
                <w:b/>
                <w:color w:val="FFFFFF"/>
              </w:rPr>
              <w:t>Port</w:t>
            </w:r>
          </w:p>
        </w:tc>
        <w:tc>
          <w:tcPr>
            <w:tcW w:type="dxa" w:w="2088"/>
            <w:shd w:fill="1F4E78"/>
            <w:tcMar>
              <w:top w:w="80" w:type="dxa"/>
              <w:start w:w="120" w:type="dxa"/>
              <w:bottom w:w="80" w:type="dxa"/>
              <w:end w:w="120" w:type="dxa"/>
            </w:tcMar>
          </w:tcPr>
          <w:p>
            <w:pPr>
              <w:jc w:val="center"/>
            </w:pPr>
            <w:r>
              <w:rPr>
                <w:b/>
                <w:color w:val="FFFFFF"/>
              </w:rPr>
              <w:t>Public binding</w:t>
            </w:r>
          </w:p>
        </w:tc>
      </w:tr>
      <w:tr>
        <w:tc>
          <w:tcPr>
            <w:tcW w:type="dxa" w:w="2016"/>
            <w:tcMar>
              <w:top w:w="80" w:type="dxa"/>
              <w:start w:w="120" w:type="dxa"/>
              <w:bottom w:w="80" w:type="dxa"/>
              <w:end w:w="120" w:type="dxa"/>
            </w:tcMar>
            <w:vAlign w:val="center"/>
          </w:tcPr>
          <w:p>
            <w:pPr>
              <w:jc w:val="center"/>
            </w:pPr>
            <w:r>
              <w:rPr>
                <w:sz w:val="19"/>
              </w:rPr>
              <w:t>postgres1</w:t>
            </w:r>
          </w:p>
        </w:tc>
        <w:tc>
          <w:tcPr>
            <w:tcW w:type="dxa" w:w="2016"/>
            <w:tcMar>
              <w:top w:w="80" w:type="dxa"/>
              <w:start w:w="120" w:type="dxa"/>
              <w:bottom w:w="80" w:type="dxa"/>
              <w:end w:w="120" w:type="dxa"/>
            </w:tcMar>
            <w:vAlign w:val="center"/>
          </w:tcPr>
          <w:p>
            <w:pPr>
              <w:jc w:val="left"/>
            </w:pPr>
            <w:r>
              <w:rPr>
                <w:sz w:val="19"/>
              </w:rPr>
              <w:t>PostgreSQL</w:t>
              <w:br/>
              <w:t>instance</w:t>
            </w:r>
          </w:p>
        </w:tc>
        <w:tc>
          <w:tcPr>
            <w:tcW w:type="dxa" w:w="2088"/>
            <w:tcMar>
              <w:top w:w="80" w:type="dxa"/>
              <w:start w:w="120" w:type="dxa"/>
              <w:bottom w:w="80" w:type="dxa"/>
              <w:end w:w="120" w:type="dxa"/>
            </w:tcMar>
            <w:vAlign w:val="center"/>
          </w:tcPr>
          <w:p>
            <w:pPr>
              <w:jc w:val="left"/>
            </w:pPr>
            <w:r>
              <w:rPr>
                <w:sz w:val="19"/>
              </w:rPr>
              <w:t>/home/eclinic/</w:t>
              <w:br/>
              <w:t>private/postgres1</w:t>
            </w:r>
          </w:p>
        </w:tc>
        <w:tc>
          <w:tcPr>
            <w:tcW w:type="dxa" w:w="1440"/>
            <w:tcMar>
              <w:top w:w="80" w:type="dxa"/>
              <w:start w:w="120" w:type="dxa"/>
              <w:bottom w:w="80" w:type="dxa"/>
              <w:end w:w="120" w:type="dxa"/>
            </w:tcMar>
            <w:vAlign w:val="center"/>
          </w:tcPr>
          <w:p>
            <w:pPr>
              <w:jc w:val="center"/>
            </w:pPr>
            <w:r>
              <w:rPr>
                <w:sz w:val="19"/>
              </w:rPr>
              <w:t>14307</w:t>
            </w:r>
          </w:p>
        </w:tc>
        <w:tc>
          <w:tcPr>
            <w:tcW w:type="dxa" w:w="2088"/>
            <w:tcMar>
              <w:top w:w="80" w:type="dxa"/>
              <w:start w:w="120" w:type="dxa"/>
              <w:bottom w:w="80" w:type="dxa"/>
              <w:end w:w="120" w:type="dxa"/>
            </w:tcMar>
            <w:vAlign w:val="center"/>
          </w:tcPr>
          <w:p>
            <w:pPr>
              <w:jc w:val="center"/>
            </w:pPr>
            <w:r>
              <w:rPr>
                <w:sz w:val="19"/>
              </w:rPr>
              <w:t>Internal only</w:t>
            </w:r>
          </w:p>
        </w:tc>
      </w:tr>
      <w:tr>
        <w:tc>
          <w:tcPr>
            <w:tcW w:type="dxa" w:w="2016"/>
            <w:tcMar>
              <w:top w:w="80" w:type="dxa"/>
              <w:start w:w="120" w:type="dxa"/>
              <w:bottom w:w="80" w:type="dxa"/>
              <w:end w:w="120" w:type="dxa"/>
            </w:tcMar>
            <w:vAlign w:val="center"/>
          </w:tcPr>
          <w:p>
            <w:pPr>
              <w:jc w:val="center"/>
            </w:pPr>
            <w:r>
              <w:rPr>
                <w:sz w:val="19"/>
              </w:rPr>
              <w:t>booking-api</w:t>
            </w:r>
          </w:p>
        </w:tc>
        <w:tc>
          <w:tcPr>
            <w:tcW w:type="dxa" w:w="2016"/>
            <w:tcMar>
              <w:top w:w="80" w:type="dxa"/>
              <w:start w:w="120" w:type="dxa"/>
              <w:bottom w:w="80" w:type="dxa"/>
              <w:end w:w="120" w:type="dxa"/>
            </w:tcMar>
            <w:vAlign w:val="center"/>
          </w:tcPr>
          <w:p>
            <w:pPr>
              <w:jc w:val="left"/>
            </w:pPr>
            <w:r>
              <w:rPr>
                <w:sz w:val="19"/>
              </w:rPr>
              <w:t>NestJS backend</w:t>
            </w:r>
          </w:p>
        </w:tc>
        <w:tc>
          <w:tcPr>
            <w:tcW w:type="dxa" w:w="2088"/>
            <w:tcMar>
              <w:top w:w="80" w:type="dxa"/>
              <w:start w:w="120" w:type="dxa"/>
              <w:bottom w:w="80" w:type="dxa"/>
              <w:end w:w="120" w:type="dxa"/>
            </w:tcMar>
            <w:vAlign w:val="center"/>
          </w:tcPr>
          <w:p>
            <w:pPr>
              <w:jc w:val="left"/>
            </w:pPr>
            <w:r>
              <w:rPr>
                <w:sz w:val="19"/>
              </w:rPr>
              <w:t>/home/eclinic/</w:t>
              <w:br/>
              <w:t>private/booking-saas-api</w:t>
            </w:r>
          </w:p>
        </w:tc>
        <w:tc>
          <w:tcPr>
            <w:tcW w:type="dxa" w:w="1440"/>
            <w:tcMar>
              <w:top w:w="80" w:type="dxa"/>
              <w:start w:w="120" w:type="dxa"/>
              <w:bottom w:w="80" w:type="dxa"/>
              <w:end w:w="120" w:type="dxa"/>
            </w:tcMar>
            <w:vAlign w:val="center"/>
          </w:tcPr>
          <w:p>
            <w:pPr>
              <w:jc w:val="center"/>
            </w:pPr>
            <w:r>
              <w:rPr>
                <w:sz w:val="19"/>
              </w:rPr>
              <w:t>14844</w:t>
            </w:r>
          </w:p>
        </w:tc>
        <w:tc>
          <w:tcPr>
            <w:tcW w:type="dxa" w:w="2088"/>
            <w:tcMar>
              <w:top w:w="80" w:type="dxa"/>
              <w:start w:w="120" w:type="dxa"/>
              <w:bottom w:w="80" w:type="dxa"/>
              <w:end w:w="120" w:type="dxa"/>
            </w:tcMar>
            <w:vAlign w:val="center"/>
          </w:tcPr>
          <w:p>
            <w:pPr>
              <w:jc w:val="center"/>
            </w:pPr>
            <w:r>
              <w:rPr>
                <w:sz w:val="19"/>
              </w:rPr>
              <w:t>api.eclinicsuite.c</w:t>
              <w:br/>
              <w:t>om</w:t>
            </w:r>
          </w:p>
        </w:tc>
      </w:tr>
      <w:tr>
        <w:tc>
          <w:tcPr>
            <w:tcW w:type="dxa" w:w="2016"/>
            <w:tcMar>
              <w:top w:w="80" w:type="dxa"/>
              <w:start w:w="120" w:type="dxa"/>
              <w:bottom w:w="80" w:type="dxa"/>
              <w:end w:w="120" w:type="dxa"/>
            </w:tcMar>
            <w:vAlign w:val="center"/>
          </w:tcPr>
          <w:p>
            <w:pPr>
              <w:jc w:val="center"/>
            </w:pPr>
            <w:r>
              <w:rPr>
                <w:sz w:val="19"/>
              </w:rPr>
              <w:t>booking-app</w:t>
            </w:r>
          </w:p>
        </w:tc>
        <w:tc>
          <w:tcPr>
            <w:tcW w:type="dxa" w:w="2016"/>
            <w:tcMar>
              <w:top w:w="80" w:type="dxa"/>
              <w:start w:w="120" w:type="dxa"/>
              <w:bottom w:w="80" w:type="dxa"/>
              <w:end w:w="120" w:type="dxa"/>
            </w:tcMar>
            <w:vAlign w:val="center"/>
          </w:tcPr>
          <w:p>
            <w:pPr>
              <w:jc w:val="left"/>
            </w:pPr>
            <w:r>
              <w:rPr>
                <w:sz w:val="19"/>
              </w:rPr>
              <w:t>Next.js frontend</w:t>
            </w:r>
          </w:p>
        </w:tc>
        <w:tc>
          <w:tcPr>
            <w:tcW w:type="dxa" w:w="2088"/>
            <w:tcMar>
              <w:top w:w="80" w:type="dxa"/>
              <w:start w:w="120" w:type="dxa"/>
              <w:bottom w:w="80" w:type="dxa"/>
              <w:end w:w="120" w:type="dxa"/>
            </w:tcMar>
            <w:vAlign w:val="center"/>
          </w:tcPr>
          <w:p>
            <w:pPr>
              <w:jc w:val="left"/>
            </w:pPr>
            <w:r>
              <w:rPr>
                <w:sz w:val="19"/>
              </w:rPr>
              <w:t>/home/eclinic/</w:t>
              <w:br/>
              <w:t>private/booking-saas-app</w:t>
            </w:r>
          </w:p>
        </w:tc>
        <w:tc>
          <w:tcPr>
            <w:tcW w:type="dxa" w:w="1440"/>
            <w:tcMar>
              <w:top w:w="80" w:type="dxa"/>
              <w:start w:w="120" w:type="dxa"/>
              <w:bottom w:w="80" w:type="dxa"/>
              <w:end w:w="120" w:type="dxa"/>
            </w:tcMar>
            <w:vAlign w:val="center"/>
          </w:tcPr>
          <w:p>
            <w:pPr>
              <w:jc w:val="center"/>
            </w:pPr>
            <w:r>
              <w:rPr>
                <w:sz w:val="19"/>
              </w:rPr>
              <w:t>11015</w:t>
            </w:r>
          </w:p>
        </w:tc>
        <w:tc>
          <w:tcPr>
            <w:tcW w:type="dxa" w:w="2088"/>
            <w:tcMar>
              <w:top w:w="80" w:type="dxa"/>
              <w:start w:w="120" w:type="dxa"/>
              <w:bottom w:w="80" w:type="dxa"/>
              <w:end w:w="120" w:type="dxa"/>
            </w:tcMar>
            <w:vAlign w:val="center"/>
          </w:tcPr>
          <w:p>
            <w:pPr>
              <w:jc w:val="center"/>
            </w:pPr>
            <w:r>
              <w:rPr>
                <w:sz w:val="19"/>
              </w:rPr>
              <w:t>app.eclinicsuite.c</w:t>
              <w:br/>
              <w:t>om</w:t>
            </w:r>
          </w:p>
        </w:tc>
      </w:tr>
    </w:tbl>
    <w:p/>
    <w:p>
      <w:pPr>
        <w:pStyle w:val="Heading1"/>
      </w:pPr>
      <w:r>
        <w:t>3. Production Configuration</w:t>
      </w:r>
    </w:p>
    <w:p>
      <w:pPr>
        <w:pStyle w:val="Heading2"/>
      </w:pPr>
      <w:r>
        <w:t>Backend environment</w:t>
      </w:r>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spacing w:after="0"/>
            </w:pPr>
            <w:r>
              <w:rPr>
                <w:rFonts w:ascii="Courier New" w:hAnsi="Courier New" w:eastAsia="Courier New"/>
                <w:sz w:val="17"/>
              </w:rPr>
              <w:t>NODE_ENV=production</w:t>
              <w:br/>
            </w:r>
            <w:r>
              <w:rPr>
                <w:rFonts w:ascii="Courier New" w:hAnsi="Courier New" w:eastAsia="Courier New"/>
                <w:sz w:val="17"/>
              </w:rPr>
              <w:t>DATABASE_URL=postgresql://booking_saas_user:&lt;LIVE_PASSWORD&gt;@localhost/booking_saas?</w:t>
              <w:br/>
            </w:r>
            <w:r>
              <w:rPr>
                <w:rFonts w:ascii="Courier New" w:hAnsi="Courier New" w:eastAsia="Courier New"/>
                <w:sz w:val="17"/>
              </w:rPr>
              <w:t>host=/home/eclinic/private/postgres1/run&amp;schema=public</w:t>
              <w:br/>
            </w:r>
            <w:r>
              <w:rPr>
                <w:rFonts w:ascii="Courier New" w:hAnsi="Courier New" w:eastAsia="Courier New"/>
                <w:sz w:val="17"/>
              </w:rPr>
              <w:t>JWT_SECRET=&lt;LIVE_SECRET&gt;</w:t>
              <w:br/>
            </w:r>
            <w:r>
              <w:rPr>
                <w:rFonts w:ascii="Courier New" w:hAnsi="Courier New" w:eastAsia="Courier New"/>
                <w:sz w:val="17"/>
              </w:rPr>
              <w:t>JWT_EXPIRES_IN=7d</w:t>
              <w:br/>
            </w:r>
            <w:r>
              <w:rPr>
                <w:rFonts w:ascii="Courier New" w:hAnsi="Courier New" w:eastAsia="Courier New"/>
                <w:sz w:val="17"/>
              </w:rPr>
              <w:t>PORT=14844</w:t>
              <w:br/>
            </w:r>
            <w:r>
              <w:rPr>
                <w:rFonts w:ascii="Courier New" w:hAnsi="Courier New" w:eastAsia="Courier New"/>
                <w:sz w:val="17"/>
              </w:rPr>
              <w:t>FRONTEND_URL=https://app.eclinicsuite.com</w:t>
            </w:r>
          </w:p>
        </w:tc>
      </w:tr>
    </w:tbl>
    <w:p/>
    <w:p>
      <w:r>
        <w:t>Important: the database connection uses the ICDSoft PostgreSQL UNIX socket path. Do not switch this to localhost:14307 unless PostgreSQL is intentionally reconfigured for TCP listening.</w:t>
      </w:r>
    </w:p>
    <w:p>
      <w:pPr>
        <w:pStyle w:val="Heading2"/>
      </w:pPr>
      <w:r>
        <w:t>Frontend environment</w:t>
      </w:r>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spacing w:after="0"/>
            </w:pPr>
            <w:r>
              <w:rPr>
                <w:rFonts w:ascii="Courier New" w:hAnsi="Courier New" w:eastAsia="Courier New"/>
                <w:sz w:val="17"/>
              </w:rPr>
              <w:t>NEXT_PUBLIC_API_URL=https://api.eclinicsuite.com/api</w:t>
            </w:r>
          </w:p>
        </w:tc>
      </w:tr>
    </w:tbl>
    <w:p/>
    <w:p>
      <w:r>
        <w:t>Important: after changing NEXT_PUBLIC_API_URL on the server, the frontend must be rebuilt and the booking-app service restarted so the new value is baked into the generated Next.js client bundle.</w:t>
      </w:r>
    </w:p>
    <w:p>
      <w:pPr>
        <w:pStyle w:val="Heading2"/>
      </w:pPr>
      <w:r>
        <w:t>Start commands</w:t>
      </w:r>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spacing w:after="0"/>
            </w:pPr>
            <w:r>
              <w:rPr>
                <w:rFonts w:ascii="Courier New" w:hAnsi="Courier New" w:eastAsia="Courier New"/>
                <w:sz w:val="17"/>
              </w:rPr>
              <w:t>booking-api start_cmd: node dist/src/main.js</w:t>
              <w:br/>
            </w:r>
            <w:r>
              <w:rPr>
                <w:rFonts w:ascii="Courier New" w:hAnsi="Courier New" w:eastAsia="Courier New"/>
                <w:sz w:val="17"/>
              </w:rPr>
              <w:t>booking-app start_cmd: npx next start -p 11015</w:t>
            </w:r>
          </w:p>
        </w:tc>
      </w:tr>
    </w:tbl>
    <w:p/>
    <w:p>
      <w:pPr>
        <w:pStyle w:val="Heading2"/>
      </w:pPr>
      <w:r>
        <w:t>Sensitive values policy</w:t>
      </w:r>
    </w:p>
    <w:p>
      <w:pPr>
        <w:pStyle w:val="ListBullet"/>
        <w:spacing w:after="40"/>
      </w:pPr>
      <w:r>
        <w:t>Do not commit .env.production files to the repository.</w:t>
      </w:r>
    </w:p>
    <w:p>
      <w:pPr>
        <w:pStyle w:val="ListBullet"/>
        <w:spacing w:after="40"/>
      </w:pPr>
      <w:r>
        <w:t>Do not store live database passwords or JWT secrets in deployment notes, source control, or public docs.</w:t>
      </w:r>
    </w:p>
    <w:p>
      <w:pPr>
        <w:pStyle w:val="ListBullet"/>
        <w:spacing w:after="40"/>
      </w:pPr>
      <w:r>
        <w:t>Live secrets were rotated after deployment validation.</w:t>
      </w:r>
    </w:p>
    <w:p>
      <w:pPr>
        <w:pStyle w:val="Heading1"/>
      </w:pPr>
      <w:r>
        <w:t>4. Recommended Deployment Procedure</w:t>
      </w:r>
    </w:p>
    <w:p>
      <w:pPr>
        <w:pStyle w:val="Heading2"/>
      </w:pPr>
      <w:r>
        <w:t>Backend deployment</w:t>
      </w:r>
    </w:p>
    <w:p>
      <w:pPr>
        <w:pStyle w:val="ListNumber"/>
        <w:spacing w:after="40"/>
      </w:pPr>
      <w:r>
        <w:t>Package the backend from the local repo without node_modules, local env files, or test/coverage artifacts.</w:t>
      </w:r>
    </w:p>
    <w:p>
      <w:pPr>
        <w:pStyle w:val="ListNumber"/>
        <w:spacing w:after="40"/>
      </w:pPr>
      <w:r>
        <w:t>Upload the deployment archive into /home/eclinic/private/booking-saas-api and extract with --strip-components=1.</w:t>
      </w:r>
    </w:p>
    <w:p>
      <w:pPr>
        <w:pStyle w:val="ListNumber"/>
        <w:spacing w:after="40"/>
      </w:pPr>
      <w:r>
        <w:t>Enter the booking-api project shell.</w:t>
      </w:r>
    </w:p>
    <w:p>
      <w:pPr>
        <w:pStyle w:val="ListNumber"/>
        <w:spacing w:after="40"/>
      </w:pPr>
      <w:r>
        <w:t>Run npm ci.</w:t>
      </w:r>
    </w:p>
    <w:p>
      <w:pPr>
        <w:pStyle w:val="ListNumber"/>
        <w:spacing w:after="40"/>
      </w:pPr>
      <w:r>
        <w:t>Run npm run build.</w:t>
      </w:r>
    </w:p>
    <w:p>
      <w:pPr>
        <w:pStyle w:val="ListNumber"/>
        <w:spacing w:after="40"/>
      </w:pPr>
      <w:r>
        <w:t>If needed for maintenance, export DATABASE_URL in the current shell before Prisma commands.</w:t>
      </w:r>
    </w:p>
    <w:p>
      <w:pPr>
        <w:pStyle w:val="ListNumber"/>
        <w:spacing w:after="40"/>
      </w:pPr>
      <w:r>
        <w:t>Run npx prisma migrate deploy.</w:t>
      </w:r>
    </w:p>
    <w:p>
      <w:pPr>
        <w:pStyle w:val="ListNumber"/>
        <w:spacing w:after="40"/>
      </w:pPr>
      <w:r>
        <w:t>Run npx prisma db seed when seeding a fresh production database is desired.</w:t>
      </w:r>
    </w:p>
    <w:p>
      <w:pPr>
        <w:pStyle w:val="ListNumber"/>
        <w:spacing w:after="40"/>
      </w:pPr>
      <w:r>
        <w:t>Confirm or update the start command to node dist/src/main.js.</w:t>
      </w:r>
    </w:p>
    <w:p>
      <w:pPr>
        <w:pStyle w:val="ListNumber"/>
        <w:spacing w:after="40"/>
      </w:pPr>
      <w:r>
        <w:t>Restart the booking-api service and verify sureapp service status.</w:t>
      </w:r>
    </w:p>
    <w:p>
      <w:pPr>
        <w:pStyle w:val="Heading2"/>
      </w:pPr>
      <w:r>
        <w:t>Frontend deployment</w:t>
      </w:r>
    </w:p>
    <w:p>
      <w:pPr>
        <w:pStyle w:val="ListNumber"/>
        <w:spacing w:after="40"/>
      </w:pPr>
      <w:r>
        <w:t>Package the frontend from the local repo without node_modules, .next, or local env files.</w:t>
      </w:r>
    </w:p>
    <w:p>
      <w:pPr>
        <w:pStyle w:val="ListNumber"/>
        <w:spacing w:after="40"/>
      </w:pPr>
      <w:r>
        <w:t>Upload the deployment archive into /home/eclinic/private/booking-saas-app and extract with --strip-components=1.</w:t>
      </w:r>
    </w:p>
    <w:p>
      <w:pPr>
        <w:pStyle w:val="ListNumber"/>
        <w:spacing w:after="40"/>
      </w:pPr>
      <w:r>
        <w:t>Enter the booking-app project shell.</w:t>
      </w:r>
    </w:p>
    <w:p>
      <w:pPr>
        <w:pStyle w:val="ListNumber"/>
        <w:spacing w:after="40"/>
      </w:pPr>
      <w:r>
        <w:t>Set or confirm NEXT_PUBLIC_API_URL via sureapp env set.</w:t>
      </w:r>
    </w:p>
    <w:p>
      <w:pPr>
        <w:pStyle w:val="ListNumber"/>
        <w:spacing w:after="40"/>
      </w:pPr>
      <w:r>
        <w:t>Run npm ci.</w:t>
      </w:r>
    </w:p>
    <w:p>
      <w:pPr>
        <w:pStyle w:val="ListNumber"/>
        <w:spacing w:after="40"/>
      </w:pPr>
      <w:r>
        <w:t>Delete any previous .next directory.</w:t>
      </w:r>
    </w:p>
    <w:p>
      <w:pPr>
        <w:pStyle w:val="ListNumber"/>
        <w:spacing w:after="40"/>
      </w:pPr>
      <w:r>
        <w:t>Export NEXT_PUBLIC_API_URL in the current shell before rebuilding if the generated bundle has stale values.</w:t>
      </w:r>
    </w:p>
    <w:p>
      <w:pPr>
        <w:pStyle w:val="ListNumber"/>
        <w:spacing w:after="40"/>
      </w:pPr>
      <w:r>
        <w:t>Run npm run build.</w:t>
      </w:r>
    </w:p>
    <w:p>
      <w:pPr>
        <w:pStyle w:val="ListNumber"/>
        <w:spacing w:after="40"/>
      </w:pPr>
      <w:r>
        <w:t>Confirm or update the start command to npx next start -p 11015.</w:t>
      </w:r>
    </w:p>
    <w:p>
      <w:pPr>
        <w:pStyle w:val="ListNumber"/>
        <w:spacing w:after="40"/>
      </w:pPr>
      <w:r>
        <w:t>Restart the booking-app service and verify sureapp service status.</w:t>
      </w:r>
    </w:p>
    <w:p>
      <w:pPr>
        <w:pStyle w:val="Heading2"/>
      </w:pPr>
      <w:r>
        <w:t>Operational commands used frequently</w:t>
      </w:r>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spacing w:after="0"/>
            </w:pPr>
            <w:r>
              <w:rPr>
                <w:rFonts w:ascii="Courier New" w:hAnsi="Courier New" w:eastAsia="Courier New"/>
                <w:sz w:val="17"/>
              </w:rPr>
            </w:r>
            <w:r>
              <w:rPr>
                <w:rFonts w:ascii="Courier New" w:hAnsi="Courier New" w:eastAsia="Courier New"/>
                <w:sz w:val="17"/>
              </w:rPr>
            </w:r>
            <w:r>
              <w:rPr>
                <w:rFonts w:ascii="Courier New" w:hAnsi="Courier New" w:eastAsia="Courier New"/>
                <w:sz w:val="17"/>
              </w:rPr>
            </w:r>
            <w:r>
              <w:rPr>
                <w:rFonts w:ascii="Courier New" w:hAnsi="Courier New" w:eastAsia="Courier New"/>
                <w:sz w:val="17"/>
              </w:rPr>
            </w:r>
            <w:r>
              <w:rPr>
                <w:rFonts w:ascii="Courier New" w:hAnsi="Courier New" w:eastAsia="Courier New"/>
                <w:sz w:val="17"/>
              </w:rPr>
            </w:r>
            <w:r>
              <w:rPr>
                <w:rFonts w:ascii="Courier New" w:hAnsi="Courier New" w:eastAsia="Courier New"/>
                <w:sz w:val="17"/>
              </w:rPr>
            </w:r>
            <w:r>
              <w:rPr>
                <w:rFonts w:ascii="Courier New" w:hAnsi="Courier New" w:eastAsia="Courier New"/>
                <w:sz w:val="17"/>
              </w:rPr>
            </w:r>
            <w:r>
              <w:rPr>
                <w:rFonts w:ascii="Courier New" w:hAnsi="Courier New" w:eastAsia="Courier New"/>
                <w:sz w:val="17"/>
              </w:rPr>
            </w:r>
            <w:r>
              <w:rPr>
                <w:rFonts w:ascii="Courier New" w:hAnsi="Courier New" w:eastAsia="Courier New"/>
                <w:sz w:val="17"/>
              </w:rPr>
            </w:r>
            <w:r>
              <w:t>sureapp project shell booking-api</w:t>
              <w:br/>
              <w:t>sureapp project shell booking-app</w:t>
              <w:br/>
              <w:t>sureapp project shell postgres1</w:t>
              <w:br/>
              <w:t>sureapp service status</w:t>
              <w:br/>
              <w:t>sureapp log view</w:t>
              <w:br/>
              <w:t>npm ci</w:t>
              <w:br/>
              <w:t>npm run build</w:t>
              <w:br/>
              <w:t>npx prisma migrate deploy</w:t>
            </w:r>
          </w:p>
        </w:tc>
      </w:tr>
    </w:tbl>
    <w:p>
      <w:pPr>
        <w:pStyle w:val="Heading1"/>
      </w:pPr>
      <w:r>
        <w:t>5. Issues Encountered and Fixes Applied</w:t>
      </w:r>
    </w:p>
    <w:p>
      <w:pPr>
        <w:pStyle w:val="ListBullet"/>
      </w:pPr>
      <w:r>
        <w:rPr>
          <w:b/>
        </w:rPr>
        <w:t xml:space="preserve">DNS and name servers: </w:t>
      </w:r>
      <w:r>
        <w:t>The domain remained on registrar name servers, so A records for app and api were created at the registrar instead of inside ICDSoft DNS.</w:t>
      </w:r>
    </w:p>
    <w:p>
      <w:pPr>
        <w:pStyle w:val="ListBullet"/>
      </w:pPr>
      <w:r>
        <w:rPr>
          <w:b/>
        </w:rPr>
        <w:t xml:space="preserve">Backend Prisma connection: </w:t>
      </w:r>
      <w:r>
        <w:t>The initial DATABASE_URL was written with localhost:14307, but the ICDSoft PostgreSQL project was configured for UNIX socket access. The live connection string was corrected to use ?host=/home/eclinic/private/postgres1/run.</w:t>
      </w:r>
    </w:p>
    <w:p>
      <w:pPr>
        <w:pStyle w:val="ListBullet"/>
      </w:pPr>
      <w:r>
        <w:rPr>
          <w:b/>
        </w:rPr>
        <w:t xml:space="preserve">Backend build entry point: </w:t>
      </w:r>
      <w:r>
        <w:t>The service originally tried to run node dist/main and failed. Inspection of the compiled output showed the correct entry point was dist/src/main.js, so the start command was updated.</w:t>
      </w:r>
    </w:p>
    <w:p>
      <w:pPr>
        <w:pStyle w:val="ListBullet"/>
      </w:pPr>
      <w:r>
        <w:rPr>
          <w:b/>
        </w:rPr>
        <w:t xml:space="preserve">Backend port already in use: </w:t>
      </w:r>
      <w:r>
        <w:t>A manual/orphan Node process was already listening on port 14844. It was identified and killed so the ICDSoft supervisor could own the backend port cleanly.</w:t>
      </w:r>
    </w:p>
    <w:p>
      <w:pPr>
        <w:pStyle w:val="ListBullet"/>
      </w:pPr>
      <w:r>
        <w:rPr>
          <w:b/>
        </w:rPr>
        <w:t xml:space="preserve">Frontend stale API target: </w:t>
      </w:r>
      <w:r>
        <w:t>The live browser kept posting to http://localhost:3001/api/auth/login because the production frontend bundle had been built with the development fallback. The frontend was rebuilt with NEXT_PUBLIC_API_URL set to the live API URL, then the service was restarted.</w:t>
      </w:r>
    </w:p>
    <w:p>
      <w:pPr>
        <w:pStyle w:val="ListBullet"/>
      </w:pPr>
      <w:r>
        <w:rPr>
          <w:b/>
        </w:rPr>
        <w:t xml:space="preserve">Frontend stale chunk shell: </w:t>
      </w:r>
      <w:r>
        <w:t>The browser continued requesting an old login page chunk after a rebuild. Curling the live login page against port 11015 confirmed the old chunk was still being served, so booking-app was explicitly stopped and restarted after the corrected build.</w:t>
      </w:r>
    </w:p>
    <w:p>
      <w:pPr>
        <w:pStyle w:val="ListBullet"/>
      </w:pPr>
      <w:r>
        <w:rPr>
          <w:b/>
        </w:rPr>
        <w:t xml:space="preserve">Seed data / UUID mismatch: </w:t>
      </w:r>
      <w:r>
        <w:t>The seeded Service IDs were seed-service-1 and seed-service-2, but the hardened backend validates serviceId as a UUID. Because there were zero bookings in the fresh production database, the Service IDs were updated directly in PostgreSQL to valid UUID values.</w:t>
      </w:r>
    </w:p>
    <w:p>
      <w:pPr>
        <w:pStyle w:val="ListBullet"/>
      </w:pPr>
      <w:r>
        <w:rPr>
          <w:b/>
        </w:rPr>
        <w:t xml:space="preserve">Health endpoint mismatch: </w:t>
      </w:r>
      <w:r>
        <w:t>The deployed backend source did not currently include the health route even though earlier phases referenced one. This did not block deployment, but the source repository should be aligned later so deployment docs and runtime behavior match.</w:t>
      </w:r>
    </w:p>
    <w:p>
      <w:pPr>
        <w:pStyle w:val="Heading1"/>
      </w:pPr>
      <w:r>
        <w:t>6. Current Live Seed Data and Known Runtime Values</w:t>
      </w:r>
    </w:p>
    <w:p>
      <w:pPr>
        <w:pStyle w:val="Heading2"/>
      </w:pPr>
      <w:r>
        <w:t>Current seeded users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Mar>
              <w:top w:w="80" w:type="dxa"/>
              <w:start w:w="120" w:type="dxa"/>
              <w:bottom w:w="80" w:type="dxa"/>
              <w:end w:w="120" w:type="dxa"/>
            </w:tcMar>
          </w:tcPr>
          <w:p>
            <w:pPr>
              <w:jc w:val="center"/>
            </w:pPr>
            <w:r>
              <w:rPr>
                <w:b/>
                <w:color w:val="FFFFFF"/>
              </w:rPr>
              <w:t>Role</w:t>
            </w:r>
          </w:p>
        </w:tc>
        <w:tc>
          <w:tcPr>
            <w:tcW w:type="dxa" w:w="3312"/>
            <w:shd w:fill="1F4E78"/>
            <w:tcMar>
              <w:top w:w="80" w:type="dxa"/>
              <w:start w:w="120" w:type="dxa"/>
              <w:bottom w:w="80" w:type="dxa"/>
              <w:end w:w="120" w:type="dxa"/>
            </w:tcMar>
          </w:tcPr>
          <w:p>
            <w:pPr>
              <w:jc w:val="center"/>
            </w:pPr>
            <w:r>
              <w:rPr>
                <w:b/>
                <w:color w:val="FFFFFF"/>
              </w:rPr>
              <w:t>Email</w:t>
            </w:r>
          </w:p>
        </w:tc>
        <w:tc>
          <w:tcPr>
            <w:tcW w:type="dxa" w:w="3312"/>
            <w:shd w:fill="1F4E78"/>
            <w:tcMar>
              <w:top w:w="80" w:type="dxa"/>
              <w:start w:w="120" w:type="dxa"/>
              <w:bottom w:w="80" w:type="dxa"/>
              <w:end w:w="120" w:type="dxa"/>
            </w:tcMar>
          </w:tcPr>
          <w:p>
            <w:pPr>
              <w:jc w:val="center"/>
            </w:pPr>
            <w:r>
              <w:rPr>
                <w:b/>
                <w:color w:val="FFFFFF"/>
              </w:rPr>
              <w:t>Password</w:t>
            </w:r>
          </w:p>
        </w:tc>
      </w:tr>
      <w:tr>
        <w:tc>
          <w:tcPr>
            <w:tcW w:type="dxa" w:w="3312"/>
            <w:tcMar>
              <w:top w:w="80" w:type="dxa"/>
              <w:start w:w="120" w:type="dxa"/>
              <w:bottom w:w="80" w:type="dxa"/>
              <w:end w:w="120" w:type="dxa"/>
            </w:tcMar>
          </w:tcPr>
          <w:p>
            <w:pPr>
              <w:jc w:val="center"/>
            </w:pPr>
            <w:r>
              <w:t>ADMIN</w:t>
            </w:r>
          </w:p>
        </w:tc>
        <w:tc>
          <w:tcPr>
            <w:tcW w:type="dxa" w:w="3312"/>
            <w:tcMar>
              <w:top w:w="80" w:type="dxa"/>
              <w:start w:w="120" w:type="dxa"/>
              <w:bottom w:w="80" w:type="dxa"/>
              <w:end w:w="120" w:type="dxa"/>
            </w:tcMar>
          </w:tcPr>
          <w:p>
            <w:pPr>
              <w:jc w:val="left"/>
            </w:pPr>
            <w:r>
              <w:t>admin@demo.com</w:t>
            </w:r>
          </w:p>
        </w:tc>
        <w:tc>
          <w:tcPr>
            <w:tcW w:type="dxa" w:w="3312"/>
            <w:tcMar>
              <w:top w:w="80" w:type="dxa"/>
              <w:start w:w="120" w:type="dxa"/>
              <w:bottom w:w="80" w:type="dxa"/>
              <w:end w:w="120" w:type="dxa"/>
            </w:tcMar>
          </w:tcPr>
          <w:p>
            <w:pPr>
              <w:jc w:val="center"/>
            </w:pPr>
            <w:r>
              <w:t>password123</w:t>
            </w:r>
          </w:p>
        </w:tc>
      </w:tr>
      <w:tr>
        <w:tc>
          <w:tcPr>
            <w:tcW w:type="dxa" w:w="3312"/>
            <w:tcMar>
              <w:top w:w="80" w:type="dxa"/>
              <w:start w:w="120" w:type="dxa"/>
              <w:bottom w:w="80" w:type="dxa"/>
              <w:end w:w="120" w:type="dxa"/>
            </w:tcMar>
          </w:tcPr>
          <w:p>
            <w:pPr>
              <w:jc w:val="center"/>
            </w:pPr>
            <w:r>
              <w:t>STAFF</w:t>
            </w:r>
          </w:p>
        </w:tc>
        <w:tc>
          <w:tcPr>
            <w:tcW w:type="dxa" w:w="3312"/>
            <w:tcMar>
              <w:top w:w="80" w:type="dxa"/>
              <w:start w:w="120" w:type="dxa"/>
              <w:bottom w:w="80" w:type="dxa"/>
              <w:end w:w="120" w:type="dxa"/>
            </w:tcMar>
          </w:tcPr>
          <w:p>
            <w:pPr>
              <w:jc w:val="left"/>
            </w:pPr>
            <w:r>
              <w:t>staff@demo.com</w:t>
            </w:r>
          </w:p>
        </w:tc>
        <w:tc>
          <w:tcPr>
            <w:tcW w:type="dxa" w:w="3312"/>
            <w:tcMar>
              <w:top w:w="80" w:type="dxa"/>
              <w:start w:w="120" w:type="dxa"/>
              <w:bottom w:w="80" w:type="dxa"/>
              <w:end w:w="120" w:type="dxa"/>
            </w:tcMar>
          </w:tcPr>
          <w:p>
            <w:pPr>
              <w:jc w:val="center"/>
            </w:pPr>
            <w:r>
              <w:t>password123</w:t>
            </w:r>
          </w:p>
        </w:tc>
      </w:tr>
      <w:tr>
        <w:tc>
          <w:tcPr>
            <w:tcW w:type="dxa" w:w="3312"/>
            <w:tcMar>
              <w:top w:w="80" w:type="dxa"/>
              <w:start w:w="120" w:type="dxa"/>
              <w:bottom w:w="80" w:type="dxa"/>
              <w:end w:w="120" w:type="dxa"/>
            </w:tcMar>
          </w:tcPr>
          <w:p>
            <w:pPr>
              <w:jc w:val="center"/>
            </w:pPr>
            <w:r>
              <w:t>PATIENT</w:t>
            </w:r>
          </w:p>
        </w:tc>
        <w:tc>
          <w:tcPr>
            <w:tcW w:type="dxa" w:w="3312"/>
            <w:tcMar>
              <w:top w:w="80" w:type="dxa"/>
              <w:start w:w="120" w:type="dxa"/>
              <w:bottom w:w="80" w:type="dxa"/>
              <w:end w:w="120" w:type="dxa"/>
            </w:tcMar>
          </w:tcPr>
          <w:p>
            <w:pPr>
              <w:jc w:val="left"/>
            </w:pPr>
            <w:r>
              <w:t>patient@demo.com</w:t>
            </w:r>
          </w:p>
        </w:tc>
        <w:tc>
          <w:tcPr>
            <w:tcW w:type="dxa" w:w="3312"/>
            <w:tcMar>
              <w:top w:w="80" w:type="dxa"/>
              <w:start w:w="120" w:type="dxa"/>
              <w:bottom w:w="80" w:type="dxa"/>
              <w:end w:w="120" w:type="dxa"/>
            </w:tcMar>
          </w:tcPr>
          <w:p>
            <w:pPr>
              <w:jc w:val="center"/>
            </w:pPr>
            <w:r>
              <w:t>password123</w:t>
            </w:r>
          </w:p>
        </w:tc>
      </w:tr>
    </w:tbl>
    <w:p/>
    <w:p>
      <w:pPr>
        <w:pStyle w:val="Heading2"/>
      </w:pPr>
      <w:r>
        <w:t>Current service IDs (corrected to UUID format)</w:t>
      </w:r>
    </w:p>
    <w:tbl>
      <w:tblPr>
        <w:tblW w:type="auto" w:w="0"/>
        <w:jc w:val="center"/>
        <w:tblLook w:firstColumn="1" w:firstRow="1" w:lastColumn="0" w:lastRow="0" w:noHBand="0" w:noVBand="1" w:val="04A0"/>
      </w:tblPr>
      <w:tblGrid>
        <w:gridCol w:w="9936"/>
      </w:tblGrid>
      <w:tr>
        <w:tc>
          <w:tcPr>
            <w:tcW w:type="dxa" w:w="9936"/>
            <w:shd w:fill="F4F6F8"/>
            <w:tcMar>
              <w:top w:w="100" w:type="dxa"/>
              <w:start w:w="120" w:type="dxa"/>
              <w:bottom w:w="100" w:type="dxa"/>
              <w:end w:w="120" w:type="dxa"/>
            </w:tcMar>
          </w:tcPr>
          <w:p>
            <w:pPr>
              <w:spacing w:after="0"/>
            </w:pPr>
            <w:r>
              <w:rPr>
                <w:rFonts w:ascii="Courier New" w:hAnsi="Courier New" w:eastAsia="Courier New"/>
                <w:sz w:val="17"/>
              </w:rPr>
              <w:t>11111111-1111-4111-8111-111111111111  General Consultation</w:t>
              <w:br/>
            </w:r>
            <w:r>
              <w:rPr>
                <w:rFonts w:ascii="Courier New" w:hAnsi="Courier New" w:eastAsia="Courier New"/>
                <w:sz w:val="17"/>
              </w:rPr>
              <w:t>22222222-2222-4222-8222-222222222222  Dental Cleaning</w:t>
            </w:r>
          </w:p>
        </w:tc>
      </w:tr>
    </w:tbl>
    <w:p>
      <w:pPr>
        <w:pStyle w:val="Heading1"/>
      </w:pPr>
      <w:r>
        <w:t>7. Verification Performed</w:t>
      </w:r>
    </w:p>
    <w:p>
      <w:pPr>
        <w:pStyle w:val="ListBullet"/>
        <w:spacing w:after="40"/>
      </w:pPr>
      <w:r>
        <w:t>Frontend login page loaded at https://app.eclinicsuite.com/login</w:t>
      </w:r>
    </w:p>
    <w:p>
      <w:pPr>
        <w:pStyle w:val="ListBullet"/>
        <w:spacing w:after="40"/>
      </w:pPr>
      <w:r>
        <w:t>Unauthenticated API access to /api/auth/me returned an expected authorization response</w:t>
      </w:r>
    </w:p>
    <w:p>
      <w:pPr>
        <w:pStyle w:val="ListBullet"/>
        <w:spacing w:after="40"/>
      </w:pPr>
      <w:r>
        <w:t>Production database migrations completed successfully with Prisma</w:t>
      </w:r>
    </w:p>
    <w:p>
      <w:pPr>
        <w:pStyle w:val="ListBullet"/>
        <w:spacing w:after="40"/>
      </w:pPr>
      <w:r>
        <w:t>Production seed completed successfully</w:t>
      </w:r>
    </w:p>
    <w:p>
      <w:pPr>
        <w:pStyle w:val="ListBullet"/>
        <w:spacing w:after="40"/>
      </w:pPr>
      <w:r>
        <w:t>All three ICDSoft projects reported healthy service state: booking-api, booking-app, and postgres1</w:t>
      </w:r>
    </w:p>
    <w:p>
      <w:pPr>
        <w:pStyle w:val="ListBullet"/>
        <w:spacing w:after="40"/>
      </w:pPr>
      <w:r>
        <w:t>Logging in as admin@demo.com / password123 worked after the corrected frontend build and restart</w:t>
      </w:r>
    </w:p>
    <w:p>
      <w:pPr>
        <w:pStyle w:val="ListBullet"/>
        <w:spacing w:after="40"/>
      </w:pPr>
      <w:r>
        <w:t>Bookings page loaded successfully after login</w:t>
      </w:r>
    </w:p>
    <w:p>
      <w:pPr>
        <w:pStyle w:val="ListBullet"/>
        <w:spacing w:after="40"/>
      </w:pPr>
      <w:r>
        <w:t>New booking page loaded successfully</w:t>
      </w:r>
    </w:p>
    <w:p>
      <w:pPr>
        <w:pStyle w:val="ListBullet"/>
        <w:spacing w:after="40"/>
      </w:pPr>
      <w:r>
        <w:t>Creating a booking succeeded after the Service UUID correction</w:t>
      </w:r>
    </w:p>
    <w:p>
      <w:pPr>
        <w:pStyle w:val="Heading1"/>
      </w:pPr>
      <w:r>
        <w:t>8. Recommended Follow-Up Work</w:t>
      </w:r>
    </w:p>
    <w:p>
      <w:pPr>
        <w:pStyle w:val="ListBullet"/>
        <w:spacing w:after="40"/>
      </w:pPr>
      <w:r>
        <w:t>Fix the source seed logic in the repository so Service IDs are created as UUIDs instead of string literals like seed-service-1 and seed-service-2.</w:t>
      </w:r>
    </w:p>
    <w:p>
      <w:pPr>
        <w:pStyle w:val="ListBullet"/>
        <w:spacing w:after="40"/>
      </w:pPr>
      <w:r>
        <w:t>Reinstate or align the health endpoint in the live source branch so deployment notes and runtime behavior match.</w:t>
      </w:r>
    </w:p>
    <w:p>
      <w:pPr>
        <w:pStyle w:val="ListBullet"/>
        <w:spacing w:after="40"/>
      </w:pPr>
      <w:r>
        <w:t>Create a small release checklist script or document so frontend rebuild + service restart happens any time NEXT_PUBLIC_* values change.</w:t>
      </w:r>
    </w:p>
    <w:p>
      <w:pPr>
        <w:pStyle w:val="ListBullet"/>
        <w:spacing w:after="40"/>
      </w:pPr>
      <w:r>
        <w:t>Consider adding a dedicated production deploy script for ICDSoft that packages, uploads, rebuilds, and restarts each app more deterministically.</w:t>
      </w:r>
    </w:p>
    <w:p>
      <w:pPr>
        <w:pStyle w:val="ListBullet"/>
        <w:spacing w:after="40"/>
      </w:pPr>
      <w:r>
        <w:t>Document registrar DNS ownership clearly so future DNS edits are not attempted inside ICDSoft while the domain remains on registrar name servers.</w:t>
      </w:r>
    </w:p>
    <w:p>
      <w:pPr>
        <w:pStyle w:val="ListBullet"/>
        <w:spacing w:after="40"/>
      </w:pPr>
      <w:r>
        <w:t>Keep a secure offline record of the rotated live database password and JWT secret.</w:t>
      </w:r>
    </w:p>
    <w:p>
      <w:pPr>
        <w:pStyle w:val="Heading1"/>
      </w:pPr>
      <w:r>
        <w:t>9. Fast Recovery Checklist</w:t>
      </w:r>
    </w:p>
    <w:p>
      <w:pPr>
        <w:pStyle w:val="ListNumber"/>
        <w:spacing w:after="40"/>
      </w:pPr>
      <w:r>
        <w:t>Check sureapp service status.</w:t>
      </w:r>
    </w:p>
    <w:p>
      <w:pPr>
        <w:pStyle w:val="ListNumber"/>
        <w:spacing w:after="40"/>
      </w:pPr>
      <w:r>
        <w:t>If backend is failing, enter booking-api, review sureapp log view, confirm start_cmd is node dist/src/main.js, and verify DATABASE_URL still points to the PostgreSQL UNIX socket path.</w:t>
      </w:r>
    </w:p>
    <w:p>
      <w:pPr>
        <w:pStyle w:val="ListNumber"/>
        <w:spacing w:after="40"/>
      </w:pPr>
      <w:r>
        <w:t>If frontend is failing, enter booking-app, review sureapp log view, confirm start_cmd is npx next start -p 11015, delete .next, rebuild, and restart the service.</w:t>
      </w:r>
    </w:p>
    <w:p>
      <w:pPr>
        <w:pStyle w:val="ListNumber"/>
        <w:spacing w:after="40"/>
      </w:pPr>
      <w:r>
        <w:t>If the browser is using stale frontend chunks, test the live HTML shell directly with curl against port 11015 and then restart booking-app.</w:t>
      </w:r>
    </w:p>
    <w:p>
      <w:pPr>
        <w:pStyle w:val="ListNumber"/>
        <w:spacing w:after="40"/>
      </w:pPr>
      <w:r>
        <w:t>If booking creation fails with validation errors for serviceId, confirm Service IDs in PostgreSQL are still valid UUIDs.</w:t>
      </w:r>
    </w:p>
    <w:p>
      <w:pPr>
        <w:pStyle w:val="ListNumber"/>
        <w:spacing w:after="40"/>
      </w:pPr>
      <w:r>
        <w:t>If database access fails after a password change, update booking-api env values and restart the backend service.</w:t>
      </w:r>
    </w:p>
    <w:p>
      <w:pPr>
        <w:pStyle w:val="Heading1"/>
      </w:pPr>
      <w:r>
        <w:t>10. Final Note</w:t>
      </w:r>
    </w:p>
    <w:p>
      <w:r>
        <w:t>At the end of this deployment session, the application was live and verified. The production frontend, backend, and database were all healthy, the main authenticated flows worked, and a real booking could be created from the live UI.</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7"/>
      </w:rPr>
      <w:t>Internal deployment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B7A"/>
        <w:sz w:val="17"/>
      </w:rPr>
      <w:t>BigWheel IT • Booking SaaS Deployment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