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Nieminen M</w:t>
      </w:r>
      <w:r>
        <w:t xml:space="preserve">,</w:t>
      </w:r>
      <w:r>
        <w:t xml:space="preserve"> </w:t>
      </w:r>
      <w:r>
        <w:rPr>
          <w:bCs/>
          <w:b/>
        </w:rPr>
        <w:t xml:space="preserve">Stolpe O</w:t>
      </w:r>
      <w:r>
        <w:t xml:space="preserve">,</w:t>
      </w:r>
      <w:r>
        <w:t xml:space="preserve"> </w:t>
      </w:r>
      <w:r>
        <w:rPr>
          <w:bCs/>
          <w:b/>
        </w:rPr>
        <w:t xml:space="preserve">Kuhring M</w:t>
      </w:r>
      <w:r>
        <w:t xml:space="preserve">,</w:t>
      </w:r>
      <w:r>
        <w:t xml:space="preserve"> </w:t>
      </w:r>
      <w:r>
        <w:rPr>
          <w:bCs/>
          <w:b/>
        </w:rPr>
        <w:t xml:space="preserve">Weiner J</w:t>
      </w:r>
      <w:r>
        <w:t xml:space="preserve">, Pett P (2022).</w:t>
      </w:r>
      <w:r>
        <w:t xml:space="preserve"> </w:t>
      </w:r>
      <w:r>
        <w:t xml:space="preserve">“</w:t>
      </w:r>
      <w:r>
        <w:t xml:space="preserve">SODAR: enabling, modeling, and managing multi-omics</w:t>
      </w:r>
      <w:r>
        <w:t xml:space="preserve"> </w:t>
      </w:r>
      <w:r>
        <w:t xml:space="preserve">integration studies.</w:t>
      </w:r>
      <w:r>
        <w:t xml:space="preserve">”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  <w:r>
        <w:t xml:space="preserve"> </w:t>
      </w:r>
      <w:r>
        <w:t xml:space="preserve">doi:10.1101/2022.08.19.504516</w:t>
      </w:r>
    </w:p>
    <w:p>
      <w:pPr>
        <w:pStyle w:val="BodyText"/>
      </w:pPr>
      <w:r>
        <w:rPr>
          <w:bCs/>
          <w:b/>
        </w:rPr>
        <w:t xml:space="preserve">Ivanov A</w:t>
      </w:r>
      <w:r>
        <w:t xml:space="preserve">, Mattei D, Radscheit K, Compagnion A, Pett J,</w:t>
      </w:r>
      <w:r>
        <w:t xml:space="preserve"> </w:t>
      </w:r>
      <w:r>
        <w:t xml:space="preserve">Herzel H, Paolicelli R, Piwecka M, Meyer U,</w:t>
      </w:r>
      <w:r>
        <w:t xml:space="preserve"> </w:t>
      </w:r>
      <w:r>
        <w:rPr>
          <w:bCs/>
          <w:b/>
        </w:rPr>
        <w:t xml:space="preserve">Beule D</w:t>
      </w:r>
      <w: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Analyses of circRNA Expression throughout the</w:t>
      </w:r>
      <w:r>
        <w:t xml:space="preserve"> </w:t>
      </w:r>
      <w:r>
        <w:t xml:space="preserve">Light-Dark Cycle Reveal a Strong Regulation of Cdr1as,</w:t>
      </w:r>
      <w:r>
        <w:t xml:space="preserve"> </w:t>
      </w:r>
      <w:r>
        <w:t xml:space="preserve">Associated with Light Entrainment in the SCN.</w:t>
      </w:r>
      <w:r>
        <w:t xml:space="preserve">”</w:t>
      </w:r>
      <w:r>
        <w:t xml:space="preserve"> </w:t>
      </w:r>
      <w:r>
        <w:rPr>
          <w:iCs/>
          <w:i/>
        </w:rPr>
        <w:t xml:space="preserve">Int J Mol</w:t>
      </w:r>
      <w:r>
        <w:rPr>
          <w:iCs/>
          <w:i/>
        </w:rPr>
        <w:t xml:space="preserve"> </w:t>
      </w:r>
      <w:r>
        <w:rPr>
          <w:iCs/>
          <w:i/>
        </w:rPr>
        <w:t xml:space="preserve">Sci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. doi:10.3390/ijms232012347</w:t>
      </w:r>
    </w:p>
    <w:p>
      <w:pPr>
        <w:pStyle w:val="BodyText"/>
      </w:pPr>
      <w:r>
        <w:t xml:space="preserve">Graff P, Wolzopolski J, Voss A, Blimkie T,</w:t>
      </w:r>
      <w:r>
        <w:t xml:space="preserve"> </w:t>
      </w:r>
      <w:r>
        <w:rPr>
          <w:bCs/>
          <w:b/>
        </w:rPr>
        <w:t xml:space="preserve">Weiner J</w:t>
      </w:r>
      <w: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Extracellular matrix remodeling in atopic</w:t>
      </w:r>
      <w:r>
        <w:t xml:space="preserve"> </w:t>
      </w:r>
      <w:r>
        <w:t xml:space="preserve">dermatitis harnesses the onset of an asthmatic phenotype</w:t>
      </w:r>
      <w:r>
        <w:t xml:space="preserve"> </w:t>
      </w:r>
      <w:r>
        <w:t xml:space="preserve">and is a potential contributor to the atopic march.</w:t>
      </w:r>
      <w:r>
        <w:t xml:space="preserve">”</w:t>
      </w:r>
      <w:r>
        <w:t xml:space="preserve"> </w:t>
      </w:r>
      <w:r>
        <w:rPr>
          <w:iCs/>
          <w:i/>
        </w:rPr>
        <w:t xml:space="preserve">medRxiv</w:t>
      </w:r>
      <w:r>
        <w:t xml:space="preserve">. doi:10.1101/2022.01.17.22269397</w:t>
      </w:r>
    </w:p>
    <w:p>
      <w:pPr>
        <w:pStyle w:val="BodyText"/>
      </w:pPr>
      <w:r>
        <w:t xml:space="preserve">Wirges A, Bunse M, Joedicke J,</w:t>
      </w:r>
      <w:r>
        <w:t xml:space="preserve"> </w:t>
      </w:r>
      <w:r>
        <w:rPr>
          <w:bCs/>
          <w:b/>
        </w:rPr>
        <w:t xml:space="preserve">Blanc E</w:t>
      </w:r>
      <w:r>
        <w:t xml:space="preserve">, Gudipati V, Moles</w:t>
      </w:r>
      <w:r>
        <w:t xml:space="preserve"> </w:t>
      </w:r>
      <w:r>
        <w:t xml:space="preserve">M, Shiku H,</w:t>
      </w:r>
      <w:r>
        <w:t xml:space="preserve"> </w:t>
      </w:r>
      <w:r>
        <w:rPr>
          <w:bCs/>
          <w:b/>
        </w:rPr>
        <w:t xml:space="preserve">Beule D</w:t>
      </w:r>
      <w:r>
        <w:t xml:space="preserve">, Huppa J, Höpken U, Rehm A (2022).</w:t>
      </w:r>
      <w:r>
        <w:t xml:space="preserve"> </w:t>
      </w:r>
      <w:r>
        <w:t xml:space="preserve">“</w:t>
      </w:r>
      <w:r>
        <w:t xml:space="preserve">EBAG9 silencing exerts an immune checkpoint function</w:t>
      </w:r>
      <w:r>
        <w:t xml:space="preserve"> </w:t>
      </w:r>
      <w:r>
        <w:t xml:space="preserve">without aggravating adverse effects.</w:t>
      </w:r>
      <w:r>
        <w:t xml:space="preserve">”</w:t>
      </w:r>
      <w:r>
        <w:t xml:space="preserve"> </w:t>
      </w:r>
      <w:r>
        <w:rPr>
          <w:iCs/>
          <w:i/>
        </w:rPr>
        <w:t xml:space="preserve">Mol Ther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,</w:t>
      </w:r>
      <w:r>
        <w:t xml:space="preserve"> </w:t>
      </w:r>
      <w:r>
        <w:t xml:space="preserve">3358-3378. doi:10.1016/j.ymthe.2022.07.009</w:t>
      </w:r>
    </w:p>
    <w:p>
      <w:pPr>
        <w:pStyle w:val="BodyText"/>
      </w:pPr>
      <w:r>
        <w:t xml:space="preserve">Hönzke K,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Mache C, Fathykova D, Kessler M,</w:t>
      </w:r>
      <w:r>
        <w:t xml:space="preserve"> </w:t>
      </w:r>
      <w:r>
        <w:t xml:space="preserve">Dökel S, Wyler E, Baumgardt M, Löwa A, Hoffmann K, Graff</w:t>
      </w:r>
      <w:r>
        <w:t xml:space="preserve"> </w:t>
      </w:r>
      <w:r>
        <w:t xml:space="preserve">P, Schulze J, Mieth M, Hellwig K, Demir Z, Biere B,</w:t>
      </w:r>
      <w:r>
        <w:t xml:space="preserve"> </w:t>
      </w:r>
      <w:r>
        <w:t xml:space="preserve">Brunotte L, Mecate-Zambrano A, Bushe J, Dohmen M, Hinze</w:t>
      </w:r>
      <w:r>
        <w:t xml:space="preserve"> </w:t>
      </w:r>
      <w:r>
        <w:t xml:space="preserve">C, Elezkurtaj S, Tönnies M, Bauer T, Eggeling S, Tran H,</w:t>
      </w:r>
      <w:r>
        <w:t xml:space="preserve"> </w:t>
      </w:r>
      <w:r>
        <w:t xml:space="preserve">Schneider P, Neudecker J, Rückert J, Schmidt-Ott K, Busch</w:t>
      </w:r>
      <w:r>
        <w:t xml:space="preserve"> </w:t>
      </w:r>
      <w:r>
        <w:t xml:space="preserve">J, Klauschen F, Horst D, Radbruch H, Radke J, Heppner F,</w:t>
      </w:r>
      <w:r>
        <w:t xml:space="preserve"> </w:t>
      </w:r>
      <w:r>
        <w:t xml:space="preserve">Corman V, Niemeyer D, Müller M, Goffinet C, Mothes R,</w:t>
      </w:r>
      <w:r>
        <w:t xml:space="preserve"> </w:t>
      </w:r>
      <w:r>
        <w:t xml:space="preserve">Pascual-Reguant A, Hauser A,</w:t>
      </w:r>
      <w:r>
        <w:t xml:space="preserve"> </w:t>
      </w:r>
      <w:r>
        <w:rPr>
          <w:bCs/>
          <w:b/>
        </w:rPr>
        <w:t xml:space="preserve">Beule D</w:t>
      </w:r>
      <w:r>
        <w:t xml:space="preserve">, Landthaler M,</w:t>
      </w:r>
      <w:r>
        <w:t xml:space="preserve"> </w:t>
      </w:r>
      <w:r>
        <w:t xml:space="preserve">Ludwig S, Suttorp N, Witzenrath M, Gruber A, Drosten C,</w:t>
      </w:r>
      <w:r>
        <w:t xml:space="preserve"> </w:t>
      </w:r>
      <w:r>
        <w:t xml:space="preserve">Sander L, Wolff T, Hippenstiel S, Hocke A (2022).</w:t>
      </w:r>
      <w:r>
        <w:t xml:space="preserve"> </w:t>
      </w:r>
      <w:r>
        <w:t xml:space="preserve">“</w:t>
      </w:r>
      <w:r>
        <w:t xml:space="preserve">Human</w:t>
      </w:r>
      <w:r>
        <w:t xml:space="preserve"> </w:t>
      </w:r>
      <w:r>
        <w:t xml:space="preserve">lungs show limited permissiveness for SARS-CoV-2 due to</w:t>
      </w:r>
      <w:r>
        <w:t xml:space="preserve"> </w:t>
      </w:r>
      <w:r>
        <w:t xml:space="preserve">scarce ACE2 levels but virus-induced expansion of</w:t>
      </w:r>
      <w:r>
        <w:t xml:space="preserve"> </w:t>
      </w:r>
      <w:r>
        <w:t xml:space="preserve">inflammatory macrophages.</w:t>
      </w:r>
      <w:r>
        <w:t xml:space="preserve">”</w:t>
      </w:r>
      <w:r>
        <w:t xml:space="preserve"> </w:t>
      </w:r>
      <w:r>
        <w:rPr>
          <w:iCs/>
          <w:i/>
        </w:rPr>
        <w:t xml:space="preserve">Eur Respir J</w:t>
      </w:r>
      <w:r>
        <w:t xml:space="preserve">,</w:t>
      </w:r>
      <w:r>
        <w:t xml:space="preserve"> </w:t>
      </w:r>
      <w:r>
        <w:rPr>
          <w:iCs/>
          <w:i/>
        </w:rPr>
        <w:t xml:space="preserve">60</w:t>
      </w:r>
      <w:r>
        <w:t xml:space="preserve">.</w:t>
      </w:r>
      <w:r>
        <w:t xml:space="preserve"> </w:t>
      </w:r>
      <w:r>
        <w:t xml:space="preserve">doi:10.1183/13993003.02725-2021</w:t>
      </w:r>
    </w:p>
    <w:p>
      <w:pPr>
        <w:pStyle w:val="BodyText"/>
      </w:pPr>
      <w:r>
        <w:t xml:space="preserve">Freitag K, Sterczyk N, Wendlinger S,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Schulz</w:t>
      </w:r>
      <w:r>
        <w:t xml:space="preserve"> </w:t>
      </w:r>
      <w:r>
        <w:t xml:space="preserve">J, Farztdinov V, Mülleder M, Ralser M, Houtman J, Fleck</w:t>
      </w:r>
      <w:r>
        <w:t xml:space="preserve"> </w:t>
      </w:r>
      <w:r>
        <w:t xml:space="preserve">L, Braeuning C, Sansevrino R, Hoffmann C, Milovanovic D,</w:t>
      </w:r>
      <w:r>
        <w:t xml:space="preserve"> </w:t>
      </w:r>
      <w:r>
        <w:t xml:space="preserve">Sigrist S, Conrad T,</w:t>
      </w:r>
      <w:r>
        <w:t xml:space="preserve"> </w:t>
      </w:r>
      <w:r>
        <w:rPr>
          <w:bCs/>
          <w:b/>
        </w:rPr>
        <w:t xml:space="preserve">Beule D</w:t>
      </w:r>
      <w:r>
        <w:t xml:space="preserve">, Heppner F, Jendrach M</w:t>
      </w:r>
      <w: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Spermidine reduces neuroinflammation and soluble</w:t>
      </w:r>
      <w:r>
        <w:t xml:space="preserve"> </w:t>
      </w:r>
      <w:r>
        <w:t xml:space="preserve">amyloid beta in an Alzheimer’s disease mouse model.</w:t>
      </w:r>
      <w:r>
        <w:t xml:space="preserve">”</w:t>
      </w:r>
      <w:r>
        <w:t xml:space="preserve"> </w:t>
      </w:r>
      <w:r>
        <w:rPr>
          <w:iCs/>
          <w:i/>
        </w:rPr>
        <w:t xml:space="preserve">J</w:t>
      </w:r>
      <w:r>
        <w:rPr>
          <w:iCs/>
          <w:i/>
        </w:rPr>
        <w:t xml:space="preserve"> </w:t>
      </w:r>
      <w:r>
        <w:rPr>
          <w:iCs/>
          <w:i/>
        </w:rPr>
        <w:t xml:space="preserve">Neuroinflammation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, 172.</w:t>
      </w:r>
      <w:r>
        <w:t xml:space="preserve"> </w:t>
      </w:r>
      <w:r>
        <w:t xml:space="preserve">doi:10.1186/s12974-022-02534-7</w:t>
      </w:r>
    </w:p>
    <w:p>
      <w:pPr>
        <w:pStyle w:val="BodyText"/>
      </w:pPr>
      <w:r>
        <w:t xml:space="preserve">Schalbetter S, von AA, Cruz-Ochoa N, Dawson K,</w:t>
      </w:r>
      <w:r>
        <w:t xml:space="preserve"> </w:t>
      </w:r>
      <w:r>
        <w:rPr>
          <w:bCs/>
          <w:b/>
        </w:rPr>
        <w:t xml:space="preserve">Ivanov A</w:t>
      </w:r>
      <w:r>
        <w:t xml:space="preserve">,</w:t>
      </w:r>
      <w:r>
        <w:t xml:space="preserve"> </w:t>
      </w:r>
      <w:r>
        <w:t xml:space="preserve">Mueller F, Lin H, Amport R, Mildenberger W, Mattei D,</w:t>
      </w:r>
      <w:r>
        <w:t xml:space="preserve"> </w:t>
      </w:r>
      <w:r>
        <w:rPr>
          <w:bCs/>
          <w:b/>
        </w:rPr>
        <w:t xml:space="preserve">Beule D</w:t>
      </w:r>
      <w:r>
        <w:t xml:space="preserve">, Földy C, Greter M, Notter T, Meyer U (2022).</w:t>
      </w:r>
      <w:r>
        <w:t xml:space="preserve"> </w:t>
      </w:r>
      <w:r>
        <w:t xml:space="preserve">“</w:t>
      </w:r>
      <w:r>
        <w:t xml:space="preserve">Adolescence is a sensitive period for prefrontal</w:t>
      </w:r>
      <w:r>
        <w:t xml:space="preserve"> </w:t>
      </w:r>
      <w:r>
        <w:t xml:space="preserve">microglia to act on cognitive development.</w:t>
      </w:r>
      <w:r>
        <w:t xml:space="preserve">”</w:t>
      </w:r>
      <w:r>
        <w:t xml:space="preserve"> </w:t>
      </w:r>
      <w:r>
        <w:rPr>
          <w:iCs/>
          <w:i/>
        </w:rPr>
        <w:t xml:space="preserve">Sci Adv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eabi6672. doi:10.1126/sciadv.abi6672</w:t>
      </w:r>
    </w:p>
    <w:p>
      <w:pPr>
        <w:pStyle w:val="BodyText"/>
      </w:pPr>
      <w:r>
        <w:t xml:space="preserve">Grunert C, Willimsky G, Peuker C, Rhein S, Hansmann L,</w:t>
      </w:r>
      <w:r>
        <w:t xml:space="preserve"> </w:t>
      </w:r>
      <w:r>
        <w:t xml:space="preserve">Blankenstein T,</w:t>
      </w:r>
      <w:r>
        <w:t xml:space="preserve"> </w:t>
      </w:r>
      <w:r>
        <w:rPr>
          <w:bCs/>
          <w:b/>
        </w:rPr>
        <w:t xml:space="preserve">Blanc E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t xml:space="preserve">, Keller U, Pezzutto A,</w:t>
      </w:r>
      <w:r>
        <w:t xml:space="preserve"> </w:t>
      </w:r>
      <w:r>
        <w:t xml:space="preserve">Busse A (2022).</w:t>
      </w:r>
      <w:r>
        <w:t xml:space="preserve"> </w:t>
      </w:r>
      <w:r>
        <w:t xml:space="preserve">“</w:t>
      </w:r>
      <w:r>
        <w:t xml:space="preserve">Isolation of Neoantigen-Specific Human T</w:t>
      </w:r>
      <w:r>
        <w:t xml:space="preserve"> </w:t>
      </w:r>
      <w:r>
        <w:t xml:space="preserve">Cell Receptors from Different Human and Murine</w:t>
      </w:r>
      <w:r>
        <w:t xml:space="preserve"> </w:t>
      </w:r>
      <w:r>
        <w:t xml:space="preserve">Repertoires.</w:t>
      </w:r>
      <w:r>
        <w:t xml:space="preserve">”</w:t>
      </w:r>
      <w:r>
        <w:t xml:space="preserve"> </w:t>
      </w:r>
      <w:r>
        <w:rPr>
          <w:iCs/>
          <w:i/>
        </w:rPr>
        <w:t xml:space="preserve">Cancers (Basel)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.</w:t>
      </w:r>
      <w:r>
        <w:t xml:space="preserve"> </w:t>
      </w:r>
      <w:r>
        <w:t xml:space="preserve">doi:10.3390/cancers14071842</w:t>
      </w:r>
    </w:p>
    <w:p>
      <w:pPr>
        <w:pStyle w:val="BodyText"/>
      </w:pPr>
      <w:r>
        <w:t xml:space="preserve">Dannebaum R, Suwalski P, Asgharian H, Du ZG, Lin H,</w:t>
      </w:r>
      <w:r>
        <w:t xml:space="preserve"> </w:t>
      </w:r>
      <w:r>
        <w:rPr>
          <w:bCs/>
          <w:b/>
        </w:rPr>
        <w:t xml:space="preserve">Weiner J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Thibeault C, Müller M, Wang X,</w:t>
      </w:r>
      <w:r>
        <w:t xml:space="preserve"> </w:t>
      </w:r>
      <w:r>
        <w:t xml:space="preserve">Karadeniz Z, Saccomanno J, Doehn J, Hübner R, Hinzmann B,</w:t>
      </w:r>
      <w:r>
        <w:t xml:space="preserve"> </w:t>
      </w:r>
      <w:r>
        <w:t xml:space="preserve">Blüher A, Siemann S, Telman D, Suttorp N, Witzenrath M,</w:t>
      </w:r>
      <w:r>
        <w:t xml:space="preserve"> </w:t>
      </w:r>
      <w:r>
        <w:t xml:space="preserve">Hippenstiel S, Skurk C, Poller W, Sander L,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t xml:space="preserve">Kurth F, Guettouche T, Landmesser U, Berka J, Luong K,</w:t>
      </w:r>
      <w:r>
        <w:t xml:space="preserve"> </w:t>
      </w:r>
      <w:r>
        <w:t xml:space="preserve">Pa-COVID SG, Rubelt F, Heidecker B (2022).</w:t>
      </w:r>
      <w:r>
        <w:t xml:space="preserve"> </w:t>
      </w:r>
      <w:r>
        <w:t xml:space="preserve">“</w:t>
      </w:r>
      <w:r>
        <w:t xml:space="preserve">Highly</w:t>
      </w:r>
      <w:r>
        <w:t xml:space="preserve"> </w:t>
      </w:r>
      <w:r>
        <w:t xml:space="preserve">multiplexed immune repertoire sequencing links multiple</w:t>
      </w:r>
      <w:r>
        <w:t xml:space="preserve"> </w:t>
      </w:r>
      <w:r>
        <w:t xml:space="preserve">lymphocyte classes with severity of response to</w:t>
      </w:r>
      <w:r>
        <w:t xml:space="preserve"> </w:t>
      </w:r>
      <w:r>
        <w:t xml:space="preserve">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101438.</w:t>
      </w:r>
      <w:r>
        <w:t xml:space="preserve"> </w:t>
      </w:r>
      <w:r>
        <w:t xml:space="preserve">doi:10.1016/j.eclinm.2022.101438</w:t>
      </w:r>
    </w:p>
    <w:p>
      <w:pPr>
        <w:pStyle w:val="BodyText"/>
      </w:pPr>
      <w:r>
        <w:t xml:space="preserve">Horak P, Griffith M, Danos A, Pitel B, Madhavan S, Liu X,</w:t>
      </w:r>
      <w:r>
        <w:t xml:space="preserve"> </w:t>
      </w:r>
      <w:r>
        <w:t xml:space="preserve">Chow C, Williams H, Carmody L, Barrow-Laing L, Rieke D,</w:t>
      </w:r>
      <w:r>
        <w:t xml:space="preserve"> </w:t>
      </w:r>
      <w:r>
        <w:t xml:space="preserve">Kreutzfeldt S, Stenzinger A, Tamborero D,</w:t>
      </w:r>
      <w:r>
        <w:t xml:space="preserve"> </w:t>
      </w:r>
      <w:r>
        <w:rPr>
          <w:bCs/>
          <w:b/>
        </w:rPr>
        <w:t xml:space="preserve">Benary M</w:t>
      </w:r>
      <w:r>
        <w:t xml:space="preserve">,</w:t>
      </w:r>
      <w:r>
        <w:t xml:space="preserve"> </w:t>
      </w:r>
      <w:r>
        <w:t xml:space="preserve">Rajagopal P, Ida C, Lesmana H, Satgunaseelan L, Merker J,</w:t>
      </w:r>
      <w:r>
        <w:t xml:space="preserve"> </w:t>
      </w:r>
      <w:r>
        <w:t xml:space="preserve">Tolstorukov M, Campregher P, Warner J, Rao S, Natesan M,</w:t>
      </w:r>
      <w:r>
        <w:t xml:space="preserve"> </w:t>
      </w:r>
      <w:r>
        <w:t xml:space="preserve">Shen H, Venstrom J, Roy S, Tao K, Kanagal-Shamanna R, Xu</w:t>
      </w:r>
      <w:r>
        <w:t xml:space="preserve"> </w:t>
      </w:r>
      <w:r>
        <w:t xml:space="preserve">X, Ritter D, Pagel K, Krysiak K, Dubuc A, Akkari Y, Li X,</w:t>
      </w:r>
      <w:r>
        <w:t xml:space="preserve"> </w:t>
      </w:r>
      <w:r>
        <w:t xml:space="preserve">Lee J, King I, Raca G, Wagner A, Li M, Plon S, Kulkarni</w:t>
      </w:r>
      <w:r>
        <w:t xml:space="preserve"> </w:t>
      </w:r>
      <w:r>
        <w:t xml:space="preserve">S, Griffith O, Chakravarty D, Sonkin D (2022).</w:t>
      </w:r>
      <w:r>
        <w:t xml:space="preserve"> </w:t>
      </w:r>
      <w:r>
        <w:t xml:space="preserve">“</w:t>
      </w:r>
      <w:r>
        <w:t xml:space="preserve">Standards</w:t>
      </w:r>
      <w:r>
        <w:t xml:space="preserve"> </w:t>
      </w:r>
      <w:r>
        <w:t xml:space="preserve">for the classification of pathogenicity of somatic</w:t>
      </w:r>
      <w:r>
        <w:t xml:space="preserve"> </w:t>
      </w:r>
      <w:r>
        <w:t xml:space="preserve">variants in cancer (oncogenicity): Joint recommendations</w:t>
      </w:r>
      <w:r>
        <w:t xml:space="preserve"> </w:t>
      </w:r>
      <w:r>
        <w:t xml:space="preserve">of Clinical Genome Resource (ClinGen), Cancer Genomics</w:t>
      </w:r>
      <w:r>
        <w:t xml:space="preserve"> </w:t>
      </w:r>
      <w:r>
        <w:t xml:space="preserve">Consortium (CGC), and Variant Interpretation for Cancer</w:t>
      </w:r>
      <w:r>
        <w:t xml:space="preserve"> </w:t>
      </w:r>
      <w:r>
        <w:t xml:space="preserve">Consortium (VICC).</w:t>
      </w:r>
      <w:r>
        <w:t xml:space="preserve">”</w:t>
      </w:r>
      <w:r>
        <w:t xml:space="preserve"> </w:t>
      </w:r>
      <w:r>
        <w:rPr>
          <w:iCs/>
          <w:i/>
        </w:rPr>
        <w:t xml:space="preserve">Genet Med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, 986-998.</w:t>
      </w:r>
      <w:r>
        <w:t xml:space="preserve"> </w:t>
      </w:r>
      <w:r>
        <w:t xml:space="preserve">doi:10.1016/j.gim.2022.01.001</w:t>
      </w:r>
    </w:p>
    <w:p>
      <w:pPr>
        <w:pStyle w:val="BodyText"/>
      </w:pPr>
      <w:r>
        <w:rPr>
          <w:bCs/>
          <w:b/>
        </w:rPr>
        <w:t xml:space="preserve">Weiner J</w:t>
      </w:r>
      <w:r>
        <w:t xml:space="preserve">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Venn Diagrams May</w:t>
      </w:r>
      <w:r>
        <w:t xml:space="preserve"> </w:t>
      </w:r>
      <w:r>
        <w:t xml:space="preserve">Indicate Erroneous Statistical Reasoning in</w:t>
      </w:r>
      <w:r>
        <w:t xml:space="preserve"> </w:t>
      </w:r>
      <w:r>
        <w:t xml:space="preserve">Transcriptomics.</w:t>
      </w:r>
      <w:r>
        <w:t xml:space="preserve">”</w:t>
      </w:r>
      <w:r>
        <w:t xml:space="preserve"> </w:t>
      </w:r>
      <w:r>
        <w:rPr>
          <w:iCs/>
          <w:i/>
        </w:rPr>
        <w:t xml:space="preserve">Front Genet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818683.</w:t>
      </w:r>
      <w:r>
        <w:t xml:space="preserve"> </w:t>
      </w:r>
      <w:r>
        <w:t xml:space="preserve">doi:10.3389/fgene.2022.818683</w:t>
      </w:r>
    </w:p>
    <w:p>
      <w:pPr>
        <w:pStyle w:val="BodyText"/>
      </w:pPr>
      <w:r>
        <w:t xml:space="preserve">Gloaguen Y, Kirwan J,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Deep</w:t>
      </w:r>
      <w:r>
        <w:t xml:space="preserve"> </w:t>
      </w:r>
      <w:r>
        <w:t xml:space="preserve">Learning-Assisted Peak Curation for Large-Scale LC-MS</w:t>
      </w:r>
      <w:r>
        <w:t xml:space="preserve"> </w:t>
      </w:r>
      <w:r>
        <w:t xml:space="preserve">Metabolomics.</w:t>
      </w:r>
      <w:r>
        <w:t xml:space="preserve">”</w:t>
      </w:r>
      <w:r>
        <w:t xml:space="preserve"> </w:t>
      </w:r>
      <w:r>
        <w:rPr>
          <w:iCs/>
          <w:i/>
        </w:rPr>
        <w:t xml:space="preserve">Anal Chem</w:t>
      </w:r>
      <w:r>
        <w:t xml:space="preserve">,</w:t>
      </w:r>
      <w:r>
        <w:t xml:space="preserve"> </w:t>
      </w:r>
      <w:r>
        <w:rPr>
          <w:iCs/>
          <w:i/>
        </w:rPr>
        <w:t xml:space="preserve">94</w:t>
      </w:r>
      <w:r>
        <w:t xml:space="preserve">, 4930-4937.</w:t>
      </w:r>
      <w:r>
        <w:t xml:space="preserve"> </w:t>
      </w:r>
      <w:r>
        <w:t xml:space="preserve">doi:10.1021/acs.analchem.1c02220</w:t>
      </w:r>
    </w:p>
    <w:p>
      <w:pPr>
        <w:pStyle w:val="BodyText"/>
      </w:pPr>
      <w:r>
        <w:t xml:space="preserve">Chopra A, Mueller R,</w:t>
      </w:r>
      <w:r>
        <w:t xml:space="preserve"> </w:t>
      </w:r>
      <w:r>
        <w:rPr>
          <w:bCs/>
          <w:b/>
        </w:rPr>
        <w:t xml:space="preserve">Weiner J</w:t>
      </w:r>
      <w:r>
        <w:t xml:space="preserve">3, Rosowski J, Dommisch H,</w:t>
      </w:r>
      <w:r>
        <w:t xml:space="preserve"> </w:t>
      </w:r>
      <w:r>
        <w:t xml:space="preserve">Grohmann E, Schaefer A (2022).</w:t>
      </w:r>
      <w:r>
        <w:t xml:space="preserve"> </w:t>
      </w:r>
      <w:r>
        <w:t xml:space="preserve">“</w:t>
      </w:r>
      <w:r>
        <w:t xml:space="preserve">BACH1 Binding Links the</w:t>
      </w:r>
      <w:r>
        <w:t xml:space="preserve"> </w:t>
      </w:r>
      <w:r>
        <w:t xml:space="preserve">Genetic Risk for Severe Periodontitis with ST8SIA1.</w:t>
      </w:r>
      <w:r>
        <w:t xml:space="preserve">”</w:t>
      </w:r>
      <w:r>
        <w:t xml:space="preserve"> </w:t>
      </w:r>
      <w:r>
        <w:rPr>
          <w:iCs/>
          <w:i/>
        </w:rPr>
        <w:t xml:space="preserve">J</w:t>
      </w:r>
      <w:r>
        <w:rPr>
          <w:iCs/>
          <w:i/>
        </w:rPr>
        <w:t xml:space="preserve"> </w:t>
      </w:r>
      <w:r>
        <w:rPr>
          <w:iCs/>
          <w:i/>
        </w:rPr>
        <w:t xml:space="preserve">Dent Res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, 93-101. doi:10.1177/00220345211017510</w:t>
      </w:r>
    </w:p>
    <w:p>
      <w:pPr>
        <w:pStyle w:val="BodyText"/>
      </w:pPr>
      <w:r>
        <w:t xml:space="preserve">Bischoff P, Trinks A, Wiederspahn J,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Pett J,</w:t>
      </w:r>
      <w:r>
        <w:t xml:space="preserve"> </w:t>
      </w:r>
      <w:r>
        <w:t xml:space="preserve">Jurmeister P, Elsner A, Dziodzio T, Rückert J, Neudecker</w:t>
      </w:r>
      <w:r>
        <w:t xml:space="preserve"> </w:t>
      </w:r>
      <w:r>
        <w:t xml:space="preserve">J, Falk C,</w:t>
      </w:r>
      <w:r>
        <w:t xml:space="preserve"> </w:t>
      </w:r>
      <w:r>
        <w:rPr>
          <w:bCs/>
          <w:b/>
        </w:rPr>
        <w:t xml:space="preserve">Beule D</w:t>
      </w:r>
      <w:r>
        <w:t xml:space="preserve">, Sers C, Morkel M, Horst D, Klauschen</w:t>
      </w:r>
      <w:r>
        <w:t xml:space="preserve"> </w:t>
      </w:r>
      <w:r>
        <w:t xml:space="preserve">F, Blüthgen N (2022).</w:t>
      </w:r>
      <w:r>
        <w:t xml:space="preserve"> </w:t>
      </w:r>
      <w:r>
        <w:t xml:space="preserve">“</w:t>
      </w:r>
      <w:r>
        <w:t xml:space="preserve">The single-cell transcriptional</w:t>
      </w:r>
      <w:r>
        <w:t xml:space="preserve"> </w:t>
      </w:r>
      <w:r>
        <w:t xml:space="preserve">landscape of lung carcinoid tumors.</w:t>
      </w:r>
      <w:r>
        <w:t xml:space="preserve">”</w:t>
      </w:r>
      <w:r>
        <w:t xml:space="preserve"> </w:t>
      </w:r>
      <w:r>
        <w:rPr>
          <w:iCs/>
          <w:i/>
        </w:rPr>
        <w:t xml:space="preserve">Int J Cancer</w:t>
      </w:r>
      <w:r>
        <w:t xml:space="preserve">,</w:t>
      </w:r>
      <w:r>
        <w:t xml:space="preserve"> </w:t>
      </w:r>
      <w:r>
        <w:rPr>
          <w:iCs/>
          <w:i/>
        </w:rPr>
        <w:t xml:space="preserve">150</w:t>
      </w:r>
      <w:r>
        <w:t xml:space="preserve">, 2058-2071. doi:10.1002/ijc.33995</w:t>
      </w:r>
    </w:p>
    <w:p>
      <w:pPr>
        <w:pStyle w:val="BodyText"/>
      </w:pPr>
      <w:r>
        <w:t xml:space="preserve">Georg P, Astaburuaga-García R, Bonaguro L, Brumhard S,</w:t>
      </w:r>
      <w:r>
        <w:t xml:space="preserve"> </w:t>
      </w:r>
      <w:r>
        <w:t xml:space="preserve">Michalick L, Lippert L, Kostevc T, Gäbel C, Schneider M,</w:t>
      </w:r>
      <w:r>
        <w:t xml:space="preserve"> </w:t>
      </w:r>
      <w:r>
        <w:t xml:space="preserve">Streitz M, Demichev V, Gemünd I, Barone M, Tober-Lau P,</w:t>
      </w:r>
      <w:r>
        <w:t xml:space="preserve"> </w:t>
      </w:r>
      <w:r>
        <w:t xml:space="preserve">Helbig E, Hillus D, Petrov L, Stein J, Dey H, Paclik D,</w:t>
      </w:r>
      <w:r>
        <w:t xml:space="preserve"> </w:t>
      </w:r>
      <w:r>
        <w:t xml:space="preserve">Iwert C, Mülleder M, Aulakh S, Djudjaj S, Bülow R, Mei H,</w:t>
      </w:r>
      <w:r>
        <w:t xml:space="preserve"> </w:t>
      </w:r>
      <w:r>
        <w:t xml:space="preserve">Schulz A, Thiel A, Hippenstiel S, Saliba A, Eils R,</w:t>
      </w:r>
      <w:r>
        <w:t xml:space="preserve"> </w:t>
      </w:r>
      <w:r>
        <w:t xml:space="preserve">Lehmann I, Mall M, Stricker S, Röhmel J, Corman V, Beule</w:t>
      </w:r>
      <w:r>
        <w:t xml:space="preserve"> </w:t>
      </w:r>
      <w:r>
        <w:t xml:space="preserve">D, Wyler E, Landthaler M,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von SS, Boor P,</w:t>
      </w:r>
      <w:r>
        <w:t xml:space="preserve"> </w:t>
      </w:r>
      <w:r>
        <w:t xml:space="preserve">Demir M, Wesselmann H, Suttorp N, Uhrig A,</w:t>
      </w:r>
      <w:r>
        <w:t xml:space="preserve"> </w:t>
      </w:r>
      <w:r>
        <w:t xml:space="preserve">Müller-Redetzky H, Nattermann J, Kuebler W, Meisel C,</w:t>
      </w:r>
      <w:r>
        <w:t xml:space="preserve"> </w:t>
      </w:r>
      <w:r>
        <w:t xml:space="preserve">Ralser M, Schultze J, Aschenbrenner A, Thibeault C, Kurth</w:t>
      </w:r>
      <w:r>
        <w:t xml:space="preserve"> </w:t>
      </w:r>
      <w:r>
        <w:t xml:space="preserve">F, Sander L, Blüthgen N, Sawitzki B, PA-COVID-19 SG</w:t>
      </w:r>
      <w: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Complement activation induces excessive T cell</w:t>
      </w:r>
      <w:r>
        <w:t xml:space="preserve"> </w:t>
      </w:r>
      <w:r>
        <w:t xml:space="preserve">cytotoxicity in severe 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Cell</w:t>
      </w:r>
      <w:r>
        <w:t xml:space="preserve">,</w:t>
      </w:r>
      <w:r>
        <w:t xml:space="preserve"> </w:t>
      </w:r>
      <w:r>
        <w:rPr>
          <w:iCs/>
          <w:i/>
        </w:rPr>
        <w:t xml:space="preserve">185</w:t>
      </w:r>
      <w:r>
        <w:t xml:space="preserve">(3),</w:t>
      </w:r>
      <w:r>
        <w:t xml:space="preserve"> </w:t>
      </w:r>
      <w:r>
        <w:t xml:space="preserve">493-512.e25. ISSN 0092-8674,</w:t>
      </w:r>
      <w:r>
        <w:t xml:space="preserve"> </w:t>
      </w:r>
      <w:r>
        <w:t xml:space="preserve">doi:10.1016/j.cell.2021.12.040</w:t>
      </w:r>
    </w:p>
    <w:p>
      <w:pPr>
        <w:pStyle w:val="BodyText"/>
      </w:pPr>
      <w:r>
        <w:t xml:space="preserve">Zinnall U, Milek M, Minia I, Vieira-Vieira C, Müller S,</w:t>
      </w:r>
      <w:r>
        <w:t xml:space="preserve"> </w:t>
      </w:r>
      <w:r>
        <w:t xml:space="preserve">Mastrobuoni G, Hazapis O, Del GS, Schwefel D, Bley N,</w:t>
      </w:r>
      <w:r>
        <w:t xml:space="preserve"> </w:t>
      </w:r>
      <w:r>
        <w:t xml:space="preserve">Voigt F, Chao J, Kempa S, Hüttelmaier S, Selbach M,</w:t>
      </w:r>
      <w:r>
        <w:t xml:space="preserve"> </w:t>
      </w:r>
      <w:r>
        <w:t xml:space="preserve">Landthaler M (2022).</w:t>
      </w:r>
      <w:r>
        <w:t xml:space="preserve"> </w:t>
      </w:r>
      <w:r>
        <w:t xml:space="preserve">“</w:t>
      </w:r>
      <w:r>
        <w:t xml:space="preserve">HDLBP binds ER-targeted mRNAs by</w:t>
      </w:r>
      <w:r>
        <w:t xml:space="preserve"> </w:t>
      </w:r>
      <w:r>
        <w:t xml:space="preserve">multivalent interactions to promote protein synthesis of</w:t>
      </w:r>
      <w:r>
        <w:t xml:space="preserve"> </w:t>
      </w:r>
      <w:r>
        <w:t xml:space="preserve">transmembrane and secreted proteins.</w:t>
      </w:r>
      <w:r>
        <w:t xml:space="preserve">”</w:t>
      </w:r>
      <w:r>
        <w:t xml:space="preserve"> </w:t>
      </w:r>
      <w:r>
        <w:rPr>
          <w:iCs/>
          <w:i/>
        </w:rPr>
        <w:t xml:space="preserve">Nat Commun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(1), 2727. doi:10.1038/s41467-022-30322-7</w:t>
      </w:r>
    </w:p>
    <w:p>
      <w:pPr>
        <w:pStyle w:val="BodyText"/>
      </w:pPr>
      <w:r>
        <w:t xml:space="preserve">Mothes R, Pascual-Reguant A, Koehler R, Liebeskind J,</w:t>
      </w:r>
      <w:r>
        <w:t xml:space="preserve"> </w:t>
      </w:r>
      <w:r>
        <w:t xml:space="preserve">Liebheit A, Bauherr S, Dittmayer C, Laue M, Manitius R,</w:t>
      </w:r>
      <w:r>
        <w:t xml:space="preserve"> </w:t>
      </w:r>
      <w:r>
        <w:t xml:space="preserve">Elezkurtaj S, Durek P, Heinrich F, Heinz GA, Guerra GM,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Meinhardt J, Ihlow J, Radke J, Heppner FL,</w:t>
      </w:r>
      <w:r>
        <w:t xml:space="preserve"> </w:t>
      </w:r>
      <w:r>
        <w:t xml:space="preserve">Enghard P, Stockmann H, Aschman T, Schneider J, Corman V,</w:t>
      </w:r>
      <w:r>
        <w:t xml:space="preserve"> </w:t>
      </w:r>
      <w:r>
        <w:t xml:space="preserve">Sander LE, Mashreghi M, Conrad T, Hocke A, Niesner RA,</w:t>
      </w:r>
      <w:r>
        <w:t xml:space="preserve"> </w:t>
      </w:r>
      <w:r>
        <w:t xml:space="preserve">Radbruch H, Hauser AE (2022).</w:t>
      </w:r>
      <w:r>
        <w:t xml:space="preserve"> </w:t>
      </w:r>
      <w:r>
        <w:t xml:space="preserve">“</w:t>
      </w:r>
      <w:r>
        <w:t xml:space="preserve">Local CCL18 and CCL21</w:t>
      </w:r>
      <w:r>
        <w:t xml:space="preserve"> </w:t>
      </w:r>
      <w:r>
        <w:t xml:space="preserve">expand lung fibrovascular niches and recruit lymphocytes,</w:t>
      </w:r>
      <w:r>
        <w:t xml:space="preserve"> </w:t>
      </w:r>
      <w:r>
        <w:t xml:space="preserve">leading to tertiary lymphoid structure formation in</w:t>
      </w:r>
      <w:r>
        <w:t xml:space="preserve"> </w:t>
      </w:r>
      <w:r>
        <w:t xml:space="preserve">prolonged 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medRxiv</w:t>
      </w:r>
      <w:r>
        <w:t xml:space="preserve">.</w:t>
      </w:r>
      <w:r>
        <w:t xml:space="preserve"> </w:t>
      </w:r>
      <w:r>
        <w:t xml:space="preserve">doi:10.1101/2022.03.24.22272768</w:t>
      </w:r>
    </w:p>
    <w:p>
      <w:pPr>
        <w:pStyle w:val="BodyText"/>
      </w:pPr>
      <w:r>
        <w:t xml:space="preserve">https://www.medrxiv.org/content/early/2022/03/27/2022.03.24.22272768.full.pdf,</w:t>
      </w:r>
    </w:p>
    <w:p>
      <w:pPr>
        <w:pStyle w:val="BodyText"/>
      </w:pPr>
      <w:r>
        <w:t xml:space="preserve">Yerinde C, Keye J, Durlanik S, Freise I, Nowak F, Hsiao</w:t>
      </w:r>
      <w:r>
        <w:t xml:space="preserve"> </w:t>
      </w:r>
      <w:r>
        <w:t xml:space="preserve">H, Letizia M, Schlickeiser S,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Huck A,</w:t>
      </w:r>
      <w:r>
        <w:t xml:space="preserve"> </w:t>
      </w:r>
      <w:r>
        <w:t xml:space="preserve">Friedrich M, Wu H, Kunkel D, K”uhl AA, Bauer S, Thiel A,</w:t>
      </w:r>
      <w:r>
        <w:t xml:space="preserve"> </w:t>
      </w:r>
      <w:r>
        <w:t xml:space="preserve">Siegmund B, Glauben R, Weidinger C (2022).</w:t>
      </w:r>
      <w:r>
        <w:t xml:space="preserve"> </w:t>
      </w:r>
      <w:r>
        <w:t xml:space="preserve">“</w:t>
      </w:r>
      <w:r>
        <w:t xml:space="preserve">HDAC7</w:t>
      </w:r>
      <w:r>
        <w:t xml:space="preserve"> </w:t>
      </w:r>
      <w:r>
        <w:t xml:space="preserve">controls anti-viral and anti-tumor immunity by CD8+ T</w:t>
      </w:r>
      <w:r>
        <w:t xml:space="preserve"> </w:t>
      </w:r>
      <w:r>
        <w:t xml:space="preserve">cells.</w:t>
      </w:r>
      <w:r>
        <w:t xml:space="preserve">”</w:t>
      </w:r>
      <w:r>
        <w:t xml:space="preserve"> </w:t>
      </w:r>
      <w:r>
        <w:rPr>
          <w:iCs/>
          <w:i/>
        </w:rPr>
        <w:t xml:space="preserve">bioRxiv</w:t>
      </w:r>
      <w:r>
        <w:t xml:space="preserve">. doi:10.1101/2022.09.18.508452</w:t>
      </w:r>
    </w:p>
    <w:p>
      <w:pPr>
        <w:pStyle w:val="BodyText"/>
      </w:pPr>
      <w:r>
        <w:t xml:space="preserve">https://www.biorxiv.org/content/early/2022/09/19/2022.09.18.508452.full.pdf,</w:t>
      </w:r>
    </w:p>
    <w:p>
      <w:pPr>
        <w:pStyle w:val="BodyText"/>
      </w:pPr>
      <w:r>
        <w:t xml:space="preserve">Dörr D,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Weiner JM</w:t>
      </w:r>
      <w:r>
        <w:t xml:space="preserve">, Zimmermann K, Anania C,</w:t>
      </w:r>
      <w:r>
        <w:t xml:space="preserve"> </w:t>
      </w:r>
      <w:r>
        <w:t xml:space="preserve">Wagner LK, Lyras EM, Sapozhnikova V, Lara-Astiaso D,</w:t>
      </w:r>
      <w:r>
        <w:t xml:space="preserve"> </w:t>
      </w:r>
      <w:r>
        <w:t xml:space="preserve">Prósper F, Lang R, Lupiáñez DG,</w:t>
      </w:r>
      <w:r>
        <w:t xml:space="preserve"> </w:t>
      </w:r>
      <w:r>
        <w:rPr>
          <w:bCs/>
          <w:b/>
        </w:rPr>
        <w:t xml:space="preserve">Beule D</w:t>
      </w:r>
      <w:r>
        <w:t xml:space="preserve">, Höpken UE, Leutz</w:t>
      </w:r>
      <w:r>
        <w:t xml:space="preserve"> </w:t>
      </w:r>
      <w:r>
        <w:t xml:space="preserve">A, Mildner AMA (2022).</w:t>
      </w:r>
      <w:r>
        <w:t xml:space="preserve"> </w:t>
      </w:r>
      <w:r>
        <w:t xml:space="preserve">“</w:t>
      </w:r>
      <w:r>
        <w:t xml:space="preserve">C/EBPβ regulates lipid</w:t>
      </w:r>
      <w:r>
        <w:t xml:space="preserve"> </w:t>
      </w:r>
      <w:r>
        <w:t xml:space="preserve">metabolism and Pparg isoform 2 expression in alveolar</w:t>
      </w:r>
      <w:r>
        <w:t xml:space="preserve"> </w:t>
      </w:r>
      <w:r>
        <w:t xml:space="preserve">macrophages.</w:t>
      </w:r>
      <w:r>
        <w:t xml:space="preserve">”</w:t>
      </w:r>
      <w:r>
        <w:t xml:space="preserve"> </w:t>
      </w:r>
      <w:r>
        <w:rPr>
          <w:iCs/>
          <w:i/>
        </w:rPr>
        <w:t xml:space="preserve">Science Immunology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(75), eabj0140.</w:t>
      </w:r>
      <w:r>
        <w:t xml:space="preserve"> </w:t>
      </w:r>
      <w:r>
        <w:t xml:space="preserve">doi:10.1126/sciimmunol.abj0140</w:t>
      </w:r>
    </w:p>
    <w:p>
      <w:pPr>
        <w:pStyle w:val="BodyText"/>
      </w:pPr>
      <w:r>
        <w:t xml:space="preserve">https://www.science.org/doi/pdf/10.1126/sciimmunol.abj0140,</w:t>
      </w:r>
    </w:p>
    <w:p>
      <w:pPr>
        <w:pStyle w:val="BodyText"/>
      </w:pPr>
      <w:r>
        <w:t xml:space="preserve">Kedziora S,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Sugulle M, Herse F, Kräker K,</w:t>
      </w:r>
      <w:r>
        <w:t xml:space="preserve"> </w:t>
      </w:r>
      <w:r>
        <w:t xml:space="preserve">Haase N, Langmia I, Müller D, Staff A,</w:t>
      </w:r>
      <w:r>
        <w:t xml:space="preserve"> </w:t>
      </w:r>
      <w:r>
        <w:rPr>
          <w:bCs/>
          <w:b/>
        </w:rPr>
        <w:t xml:space="preserve">Beule D</w:t>
      </w:r>
      <w:r>
        <w:t xml:space="preserve">, Dechend R</w:t>
      </w:r>
      <w: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Placental Transcriptome Profiling in Subtypes of</w:t>
      </w:r>
      <w:r>
        <w:t xml:space="preserve"> </w:t>
      </w:r>
      <w:r>
        <w:t xml:space="preserve">Diabetic Pregnancies Is Strongly Confounded by Fetal</w:t>
      </w:r>
      <w:r>
        <w:t xml:space="preserve"> </w:t>
      </w:r>
      <w:r>
        <w:t xml:space="preserve">Sex.</w:t>
      </w:r>
      <w:r>
        <w:t xml:space="preserve">”</w:t>
      </w:r>
      <w:r>
        <w:t xml:space="preserve"> </w:t>
      </w:r>
      <w:r>
        <w:rPr>
          <w:iCs/>
          <w:i/>
        </w:rPr>
        <w:t xml:space="preserve">Int J Mol Sci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(23). ISSN 1422-0067,</w:t>
      </w:r>
      <w:r>
        <w:t xml:space="preserve"> </w:t>
      </w:r>
      <w:r>
        <w:t xml:space="preserve">doi:10.3390/ijms232315388</w:t>
      </w:r>
    </w:p>
    <w:p>
      <w:pPr>
        <w:pStyle w:val="BodyText"/>
      </w:pPr>
      <w:r>
        <w:t xml:space="preserve">Pennitz P, Kirsten H, Wyler E, Goekeri C,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t xml:space="preserve">Heinz GA, Mashreghi MF, Trimpert J, Landthaler M, Suttorp</w:t>
      </w:r>
      <w:r>
        <w:t xml:space="preserve"> </w:t>
      </w:r>
      <w:r>
        <w:t xml:space="preserve">N, Hocke AC, Hippenstiel S, T”onnies M, Scholz M, Kuebler</w:t>
      </w:r>
      <w:r>
        <w:t xml:space="preserve"> </w:t>
      </w:r>
      <w:r>
        <w:t xml:space="preserve">WM, Witzenrath M, Hoenzke K, Nouailles G (2022).</w:t>
      </w:r>
      <w:r>
        <w:t xml:space="preserve"> </w:t>
      </w:r>
      <w:r>
        <w:t xml:space="preserve">“</w:t>
      </w:r>
      <w:r>
        <w:t xml:space="preserve">Integrational approaches for cross-species analysis of</w:t>
      </w:r>
      <w:r>
        <w:t xml:space="preserve"> </w:t>
      </w:r>
      <w:r>
        <w:t xml:space="preserve">lung pathologies at single-cell resolution.</w:t>
      </w:r>
      <w:r>
        <w:t xml:space="preserve">”</w:t>
      </w:r>
      <w:r>
        <w:t xml:space="preserve"> </w:t>
      </w:r>
      <w:r>
        <w:rPr>
          <w:iCs/>
          <w:i/>
        </w:rPr>
        <w:t xml:space="preserve">Pneumologie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(S 01), FV 285. FV 285.</w:t>
      </w:r>
    </w:p>
    <w:p>
      <w:pPr>
        <w:pStyle w:val="BodyText"/>
      </w:pPr>
      <w:r>
        <w:t xml:space="preserve">Hoffmann K,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Hönzke K, Fatykhova D, Demir Z,</w:t>
      </w:r>
      <w:r>
        <w:t xml:space="preserve"> </w:t>
      </w:r>
      <w:r>
        <w:t xml:space="preserve">Löwa A, Alves L, Wyler E, Lopez-Rodriguez E, Mieth M,</w:t>
      </w:r>
      <w:r>
        <w:t xml:space="preserve"> </w:t>
      </w:r>
      <w:r>
        <w:t xml:space="preserve">Baumgardt M, Hoppe J, Firsching T, Tönnies M, Bauer T,</w:t>
      </w:r>
      <w:r>
        <w:t xml:space="preserve"> </w:t>
      </w:r>
      <w:r>
        <w:t xml:space="preserve">Eggeling S, Tran H, Schneider P, Neudecker J, Rückert J,</w:t>
      </w:r>
      <w:r>
        <w:t xml:space="preserve"> </w:t>
      </w:r>
      <w:r>
        <w:t xml:space="preserve">Gruber A, Ochs M, Landthaler M,</w:t>
      </w:r>
      <w:r>
        <w:t xml:space="preserve"> </w:t>
      </w:r>
      <w:r>
        <w:rPr>
          <w:bCs/>
          <w:b/>
        </w:rPr>
        <w:t xml:space="preserve">Beule D</w:t>
      </w:r>
      <w:r>
        <w:t xml:space="preserve">, Suttorp N,</w:t>
      </w:r>
      <w:r>
        <w:t xml:space="preserve"> </w:t>
      </w:r>
      <w:r>
        <w:t xml:space="preserve">Hippenstiel S, Hocke A, Kessler M (2022).</w:t>
      </w:r>
      <w:r>
        <w:t xml:space="preserve"> </w:t>
      </w:r>
      <w:r>
        <w:t xml:space="preserve">“</w:t>
      </w:r>
      <w:r>
        <w:t xml:space="preserve">Human alveolar</w:t>
      </w:r>
      <w:r>
        <w:t xml:space="preserve"> </w:t>
      </w:r>
      <w:r>
        <w:t xml:space="preserve">progenitors generate dual lineage bronchioalveolar</w:t>
      </w:r>
      <w:r>
        <w:t xml:space="preserve"> </w:t>
      </w:r>
      <w:r>
        <w:t xml:space="preserve">organoids.</w:t>
      </w:r>
      <w:r>
        <w:t xml:space="preserve">”</w:t>
      </w:r>
      <w:r>
        <w:t xml:space="preserve"> </w:t>
      </w:r>
      <w:r>
        <w:rPr>
          <w:iCs/>
          <w:i/>
        </w:rPr>
        <w:t xml:space="preserve">Commun Biol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875. ISSN 2399-3642,</w:t>
      </w:r>
      <w:r>
        <w:t xml:space="preserve"> </w:t>
      </w:r>
      <w:r>
        <w:t xml:space="preserve">doi:10.1038/s42003-022-03828-5</w:t>
      </w:r>
    </w:p>
    <w:p>
      <w:pPr>
        <w:pStyle w:val="BodyText"/>
      </w:pPr>
      <w:r>
        <w:t xml:space="preserve">Neitzel H, Varon R, Chughtai S, Dartsch J,</w:t>
      </w:r>
      <w:r>
        <w:t xml:space="preserve"> </w:t>
      </w:r>
      <w:r>
        <w:t xml:space="preserve">Dutrannoy-Tönsing V, Nürnberg P, Nürnberg G, Schweiger M,</w:t>
      </w:r>
      <w:r>
        <w:t xml:space="preserve"> </w:t>
      </w:r>
      <w:r>
        <w:t xml:space="preserve">Digweed M, Hildebrand G, Hackmann K,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t xml:space="preserve">Sarioglu N, Schulze B, Horn D, Sperling K (2022).</w:t>
      </w:r>
      <w:r>
        <w:t xml:space="preserve"> </w:t>
      </w:r>
      <w:r>
        <w:t xml:space="preserve">“</w:t>
      </w:r>
      <w:r>
        <w:t xml:space="preserve">Transmission ratio distortion of mutations in the master</w:t>
      </w:r>
      <w:r>
        <w:t xml:space="preserve"> </w:t>
      </w:r>
      <w:r>
        <w:t xml:space="preserve">regulator of centriole biogenesis PLK4.</w:t>
      </w:r>
      <w:r>
        <w:t xml:space="preserve">”</w:t>
      </w:r>
      <w:r>
        <w:t xml:space="preserve"> </w:t>
      </w:r>
      <w:r>
        <w:rPr>
          <w:iCs/>
          <w:i/>
        </w:rPr>
        <w:t xml:space="preserve">Hum Genet</w:t>
      </w:r>
      <w:r>
        <w:t xml:space="preserve">,</w:t>
      </w:r>
      <w:r>
        <w:t xml:space="preserve"> </w:t>
      </w:r>
      <w:r>
        <w:rPr>
          <w:iCs/>
          <w:i/>
        </w:rPr>
        <w:t xml:space="preserve">141</w:t>
      </w:r>
      <w:r>
        <w:t xml:space="preserve">(11), 1785-1794. doi:10.1007/s00439-022-02461-w</w:t>
      </w:r>
    </w:p>
    <w:p>
      <w:pPr>
        <w:pStyle w:val="BodyText"/>
      </w:pPr>
      <w:r>
        <w:t xml:space="preserve">Foddis M, Blumenau S,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Paquette K, Westra K,</w:t>
      </w:r>
      <w:r>
        <w:t xml:space="preserve"> </w:t>
      </w:r>
      <w:r>
        <w:t xml:space="preserve">Alonso I, Macario M, Morgadinho A, Velon A, Santo G,</w:t>
      </w:r>
      <w:r>
        <w:t xml:space="preserve"> </w:t>
      </w:r>
      <w:r>
        <w:t xml:space="preserve">Santana I, Mönkäre S, Kuuluvainen L, Schleutker J,</w:t>
      </w:r>
      <w:r>
        <w:t xml:space="preserve"> </w:t>
      </w:r>
      <w:r>
        <w:t xml:space="preserve">Pöyhönen M, Myllykangas L, Pavlovic A, Kostic V, Dobricic</w:t>
      </w:r>
      <w:r>
        <w:t xml:space="preserve"> </w:t>
      </w:r>
      <w:r>
        <w:t xml:space="preserve">V, Lohmann E, Hanagasi H, Santos M, Guven G, Bilgic B,</w:t>
      </w:r>
      <w:r>
        <w:t xml:space="preserve"> </w:t>
      </w:r>
      <w:r>
        <w:t xml:space="preserve">Bras J,</w:t>
      </w:r>
      <w:r>
        <w:t xml:space="preserve"> </w:t>
      </w:r>
      <w:r>
        <w:rPr>
          <w:bCs/>
          <w:b/>
        </w:rPr>
        <w:t xml:space="preserve">Beule D</w:t>
      </w:r>
      <w:r>
        <w:t xml:space="preserve">, Dirnagl U, Guerreiro R, Sassi C (2022).</w:t>
      </w:r>
      <w:r>
        <w:t xml:space="preserve"> </w:t>
      </w:r>
      <w:r>
        <w:t xml:space="preserve">“</w:t>
      </w:r>
      <w:r>
        <w:t xml:space="preserve">TREX1 p.A129fs and p.Y305C variants in a large</w:t>
      </w:r>
      <w:r>
        <w:t xml:space="preserve"> </w:t>
      </w:r>
      <w:r>
        <w:t xml:space="preserve">multi-ethnic cohort of CADASIL-like unrelated patients.</w:t>
      </w:r>
      <w:r>
        <w:t xml:space="preserve">”</w:t>
      </w:r>
      <w:r>
        <w:t xml:space="preserve"> </w:t>
      </w:r>
      <w:r>
        <w:t xml:space="preserve">doi:10.1016/j.neurobiolaging.2022.11.013</w:t>
      </w:r>
    </w:p>
    <w:p>
      <w:pPr>
        <w:pStyle w:val="BodyText"/>
      </w:pPr>
      <w:r>
        <w:t xml:space="preserve">Boschann F, Moreno D, Mensah M, Sczakiel H, Skipalova K,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Mundlos S, Fischer-Zirnsak B (2022).</w:t>
      </w:r>
      <w:r>
        <w:t xml:space="preserve"> </w:t>
      </w:r>
      <w:r>
        <w:t xml:space="preserve">“</w:t>
      </w:r>
      <w:r>
        <w:t xml:space="preserve">Xq27.1</w:t>
      </w:r>
      <w:r>
        <w:t xml:space="preserve"> </w:t>
      </w:r>
      <w:r>
        <w:t xml:space="preserve">palindrome mediated interchromosomal insertion likely</w:t>
      </w:r>
      <w:r>
        <w:t xml:space="preserve"> </w:t>
      </w:r>
      <w:r>
        <w:t xml:space="preserve">causes familial congenital bilateral laryngeal abductor</w:t>
      </w:r>
      <w:r>
        <w:t xml:space="preserve"> </w:t>
      </w:r>
      <w:r>
        <w:t xml:space="preserve">paralysis (Plott syndrome).</w:t>
      </w:r>
      <w:r>
        <w:t xml:space="preserve">”</w:t>
      </w:r>
      <w:r>
        <w:t xml:space="preserve"> </w:t>
      </w:r>
      <w:r>
        <w:rPr>
          <w:iCs/>
          <w:i/>
        </w:rPr>
        <w:t xml:space="preserve">J Hum Genet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(7),</w:t>
      </w:r>
      <w:r>
        <w:t xml:space="preserve"> </w:t>
      </w:r>
      <w:r>
        <w:t xml:space="preserve">405-410. doi:10.1038/s10038-022-01018-z</w:t>
      </w:r>
    </w:p>
    <w:p>
      <w:pPr>
        <w:pStyle w:val="BodyText"/>
      </w:pPr>
      <w:r>
        <w:t xml:space="preserve">Seidel F, Laser K, Klingel K, Dartsch J, Theisen S,</w:t>
      </w:r>
      <w:r>
        <w:t xml:space="preserve"> </w:t>
      </w:r>
      <w:r>
        <w:t xml:space="preserve">Pickardt T,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Gärtner A, Berger F,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t xml:space="preserve">Milting H, Schubert S, Klaassen S, Kühnisch J (2022).</w:t>
      </w:r>
      <w:r>
        <w:t xml:space="preserve"> </w:t>
      </w:r>
      <w:r>
        <w:t xml:space="preserve">“</w:t>
      </w:r>
      <w:r>
        <w:t xml:space="preserve">Pathogenic Variants in Cardiomyopathy Disorder Genes</w:t>
      </w:r>
      <w:r>
        <w:t xml:space="preserve"> </w:t>
      </w:r>
      <w:r>
        <w:t xml:space="preserve">Underlie Pediatric Myocarditis-Further Impact of</w:t>
      </w:r>
      <w:r>
        <w:t xml:space="preserve"> </w:t>
      </w:r>
      <w:r>
        <w:t xml:space="preserve">Heterozygous Immune Disorder Gene Variants?</w:t>
      </w:r>
      <w:r>
        <w:t xml:space="preserve">”</w:t>
      </w:r>
      <w:r>
        <w:t xml:space="preserve"> </w:t>
      </w:r>
      <w:r>
        <w:rPr>
          <w:iCs/>
          <w:i/>
        </w:rPr>
        <w:t xml:space="preserve">J</w:t>
      </w:r>
      <w:r>
        <w:rPr>
          <w:iCs/>
          <w:i/>
        </w:rPr>
        <w:t xml:space="preserve"> </w:t>
      </w:r>
      <w:r>
        <w:rPr>
          <w:iCs/>
          <w:i/>
        </w:rPr>
        <w:t xml:space="preserve">Cardiovasc Dev Dis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(7), 216. doi:10.3390/jcdd9070216</w:t>
      </w:r>
    </w:p>
    <w:p>
      <w:pPr>
        <w:pStyle w:val="BodyText"/>
      </w:pPr>
      <w:r>
        <w:t xml:space="preserve">May V, Koch L, Fischer-Zirnsak B, Horn D, Gehle P, Kornak</w:t>
      </w:r>
      <w:r>
        <w:t xml:space="preserve"> </w:t>
      </w:r>
      <w:r>
        <w:t xml:space="preserve">U,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ClearCNV: CNV calling</w:t>
      </w:r>
      <w:r>
        <w:t xml:space="preserve"> </w:t>
      </w:r>
      <w:r>
        <w:t xml:space="preserve">from NGS panel data in the presence of ambiguity and</w:t>
      </w:r>
      <w:r>
        <w:t xml:space="preserve"> </w:t>
      </w:r>
      <w:r>
        <w:t xml:space="preserve">noise.</w:t>
      </w:r>
      <w:r>
        <w:t xml:space="preserve">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(16), 3871-3876.</w:t>
      </w:r>
      <w:r>
        <w:t xml:space="preserve"> </w:t>
      </w:r>
      <w:r>
        <w:t xml:space="preserve">doi:10.1093/bioinformatics/btac418</w:t>
      </w:r>
    </w:p>
    <w:p>
      <w:pPr>
        <w:pStyle w:val="BodyText"/>
      </w:pPr>
      <w:r>
        <w:t xml:space="preserve">Schöpflin R, Melo U, Moeinzadeh H, Heller D, Laupert V,</w:t>
      </w:r>
      <w:r>
        <w:t xml:space="preserve"> </w:t>
      </w:r>
      <w:r>
        <w:t xml:space="preserve">Hertzberg J,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Alavi N, Klever M, Jungnitsch</w:t>
      </w:r>
      <w:r>
        <w:t xml:space="preserve"> </w:t>
      </w:r>
      <w:r>
        <w:t xml:space="preserve">J, Comak E, Türkmen S, Horn D, Duffourd Y, Faivre L,</w:t>
      </w:r>
      <w:r>
        <w:t xml:space="preserve"> </w:t>
      </w:r>
      <w:r>
        <w:t xml:space="preserve">Callier P, Sanlaville D, Zuffardi O, Tenconi R, Kurtas N,</w:t>
      </w:r>
      <w:r>
        <w:t xml:space="preserve"> </w:t>
      </w:r>
      <w:r>
        <w:t xml:space="preserve">Giglio S, Prager B, Latos-Bielenska A, Vogel I, Bugge M,</w:t>
      </w:r>
      <w:r>
        <w:t xml:space="preserve"> </w:t>
      </w:r>
      <w:r>
        <w:t xml:space="preserve">Tommerup N, Spielmann M, Vitobello A, Kalscheuer V,</w:t>
      </w:r>
      <w:r>
        <w:t xml:space="preserve"> </w:t>
      </w:r>
      <w:r>
        <w:t xml:space="preserve">Vingron M, Mundlos S (2022).</w:t>
      </w:r>
      <w:r>
        <w:t xml:space="preserve"> </w:t>
      </w:r>
      <w:r>
        <w:t xml:space="preserve">“</w:t>
      </w:r>
      <w:r>
        <w:t xml:space="preserve">Integration of Hi-C with</w:t>
      </w:r>
      <w:r>
        <w:t xml:space="preserve"> </w:t>
      </w:r>
      <w:r>
        <w:t xml:space="preserve">short and long-read genome sequencing reveals the</w:t>
      </w:r>
      <w:r>
        <w:t xml:space="preserve"> </w:t>
      </w:r>
      <w:r>
        <w:t xml:space="preserve">structure of germline rearranged genomes.</w:t>
      </w:r>
      <w:r>
        <w:t xml:space="preserve">”</w:t>
      </w:r>
      <w:r>
        <w:t xml:space="preserve"> </w:t>
      </w:r>
      <w:r>
        <w:rPr>
          <w:iCs/>
          <w:i/>
        </w:rPr>
        <w:t xml:space="preserve">Nat Commun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(1), 6470. doi:10.1038/s41467-022-34053-7</w:t>
      </w:r>
    </w:p>
    <w:p>
      <w:pPr>
        <w:pStyle w:val="BodyText"/>
      </w:pPr>
      <w:r>
        <w:t xml:space="preserve">Rieke D, de BT, Horak P, Lamping M,</w:t>
      </w:r>
      <w:r>
        <w:t xml:space="preserve"> </w:t>
      </w:r>
      <w:r>
        <w:rPr>
          <w:bCs/>
          <w:b/>
        </w:rPr>
        <w:t xml:space="preserve">Benary M</w:t>
      </w:r>
      <w:r>
        <w:t xml:space="preserve">, Jelas I,</w:t>
      </w:r>
      <w:r>
        <w:t xml:space="preserve"> </w:t>
      </w:r>
      <w:r>
        <w:t xml:space="preserve">Rüter G, Berger J, Zettwitz M, Kagelmann N, Kind A,</w:t>
      </w:r>
      <w:r>
        <w:t xml:space="preserve"> </w:t>
      </w:r>
      <w:r>
        <w:t xml:space="preserve">Fabian F,</w:t>
      </w:r>
      <w:r>
        <w:t xml:space="preserve"> </w:t>
      </w:r>
      <w:r>
        <w:rPr>
          <w:bCs/>
          <w:b/>
        </w:rPr>
        <w:t xml:space="preserve">Beule D</w:t>
      </w:r>
      <w:r>
        <w:t xml:space="preserve">, Glimm H, Brors B, Stenzinger A,</w:t>
      </w:r>
      <w:r>
        <w:t xml:space="preserve"> </w:t>
      </w:r>
      <w:r>
        <w:t xml:space="preserve">Fröhling S, Keilholz U (2022).</w:t>
      </w:r>
      <w:r>
        <w:t xml:space="preserve"> </w:t>
      </w:r>
      <w:r>
        <w:t xml:space="preserve">“</w:t>
      </w:r>
      <w:r>
        <w:t xml:space="preserve">Feasibility and outcome</w:t>
      </w:r>
      <w:r>
        <w:t xml:space="preserve"> </w:t>
      </w:r>
      <w:r>
        <w:t xml:space="preserve">of reproducible clinical interpretation of</w:t>
      </w:r>
      <w:r>
        <w:t xml:space="preserve"> </w:t>
      </w:r>
      <w:r>
        <w:t xml:space="preserve">high-dimensional molecular data: a comparison of two</w:t>
      </w:r>
      <w:r>
        <w:t xml:space="preserve"> </w:t>
      </w:r>
      <w:r>
        <w:t xml:space="preserve">molecular tumor boards.</w:t>
      </w:r>
      <w:r>
        <w:t xml:space="preserve">”</w:t>
      </w:r>
      <w:r>
        <w:t xml:space="preserve"> </w:t>
      </w:r>
      <w:r>
        <w:rPr>
          <w:iCs/>
          <w:i/>
        </w:rPr>
        <w:t xml:space="preserve">BMC Med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, 367. ISSN</w:t>
      </w:r>
      <w:r>
        <w:t xml:space="preserve"> </w:t>
      </w:r>
      <w:r>
        <w:t xml:space="preserve">17417015, doi:10.1186/s12916-022-02560-5</w:t>
      </w:r>
    </w:p>
    <w:p>
      <w:pPr>
        <w:pStyle w:val="BodyText"/>
      </w:pPr>
      <w:r>
        <w:t xml:space="preserve">Richter G, Wagner G, Reichenmiller K, Staufenbiel I,</w:t>
      </w:r>
      <w:r>
        <w:t xml:space="preserve"> </w:t>
      </w:r>
      <w:r>
        <w:t xml:space="preserve">Martins O, Löscher B,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Jepsen S, Dommisch H,</w:t>
      </w:r>
      <w:r>
        <w:t xml:space="preserve"> </w:t>
      </w:r>
      <w:r>
        <w:t xml:space="preserve">Schaefer A (2022).</w:t>
      </w:r>
      <w:r>
        <w:t xml:space="preserve"> </w:t>
      </w:r>
      <w:r>
        <w:t xml:space="preserve">“</w:t>
      </w:r>
      <w:r>
        <w:t xml:space="preserve">Exome Sequencing of 5 Families with</w:t>
      </w:r>
      <w:r>
        <w:t xml:space="preserve"> </w:t>
      </w:r>
      <w:r>
        <w:t xml:space="preserve">Severe Early-Onset Periodontitis.</w:t>
      </w:r>
      <w:r>
        <w:t xml:space="preserve">”</w:t>
      </w:r>
      <w:r>
        <w:t xml:space="preserve"> </w:t>
      </w:r>
      <w:r>
        <w:rPr>
          <w:iCs/>
          <w:i/>
        </w:rPr>
        <w:t xml:space="preserve">J Dent Res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(2), 151-157. doi:10.1177/00220345211029266</w:t>
      </w:r>
    </w:p>
    <w:p>
      <w:pPr>
        <w:pStyle w:val="BodyText"/>
      </w:pPr>
      <w:r>
        <w:t xml:space="preserve">Coutelier M,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Jäger M, Flöttman R, Mensah M,</w:t>
      </w:r>
      <w:r>
        <w:t xml:space="preserve"> </w:t>
      </w:r>
      <w:r>
        <w:t xml:space="preserve">Spielmann M, Krawitz P, Horn D,</w:t>
      </w:r>
      <w:r>
        <w:t xml:space="preserve"> </w:t>
      </w:r>
      <w:r>
        <w:rPr>
          <w:bCs/>
          <w:b/>
        </w:rPr>
        <w:t xml:space="preserve">Beule D</w:t>
      </w:r>
      <w:r>
        <w:t xml:space="preserve">, Mundlos S</w:t>
      </w:r>
      <w: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Combining callers improves the detection of copy</w:t>
      </w:r>
      <w:r>
        <w:t xml:space="preserve"> </w:t>
      </w:r>
      <w:r>
        <w:t xml:space="preserve">number variants from whole-genome sequencing.</w:t>
      </w:r>
      <w:r>
        <w:t xml:space="preserve">”</w:t>
      </w:r>
      <w:r>
        <w:t xml:space="preserve"> </w:t>
      </w:r>
      <w:r>
        <w:rPr>
          <w:iCs/>
          <w:i/>
        </w:rPr>
        <w:t xml:space="preserve">Eur J Hum</w:t>
      </w:r>
      <w:r>
        <w:rPr>
          <w:iCs/>
          <w:i/>
        </w:rPr>
        <w:t xml:space="preserve"> </w:t>
      </w:r>
      <w:r>
        <w:rPr>
          <w:iCs/>
          <w:i/>
        </w:rPr>
        <w:t xml:space="preserve">Genet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(2), 178-186. doi:10.1038/s41431-021-00983-x</w:t>
      </w:r>
    </w:p>
    <w:p>
      <w:pPr>
        <w:pStyle w:val="BodyText"/>
      </w:pPr>
      <w:r>
        <w:t xml:space="preserve">Vogt G, Verheyen S, Schwartzmann S, Ehmke N, Potratz C,</w:t>
      </w:r>
      <w:r>
        <w:t xml:space="preserve"> </w:t>
      </w:r>
      <w:r>
        <w:t xml:space="preserve">Schwerin-Nagel A, Plecko B,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Seelow D,</w:t>
      </w:r>
      <w:r>
        <w:t xml:space="preserve"> </w:t>
      </w:r>
      <w:r>
        <w:t xml:space="preserve">Blatterer J, Speicher M, Kornak U, Horn D, Mundlos S,</w:t>
      </w:r>
      <w:r>
        <w:t xml:space="preserve"> </w:t>
      </w:r>
      <w:r>
        <w:t xml:space="preserve">Fischer-Zirnsak B, Boschann F (2022).</w:t>
      </w:r>
      <w:r>
        <w:t xml:space="preserve"> </w:t>
      </w:r>
      <w:r>
        <w:t xml:space="preserve">“</w:t>
      </w:r>
      <w:r>
        <w:t xml:space="preserve">Biallelic</w:t>
      </w:r>
      <w:r>
        <w:t xml:space="preserve"> </w:t>
      </w:r>
      <w:r>
        <w:t xml:space="preserve">truncating variants in ATP9A cause a novel</w:t>
      </w:r>
      <w:r>
        <w:t xml:space="preserve"> </w:t>
      </w:r>
      <w:r>
        <w:t xml:space="preserve">neurodevelopmental disorder involving postnatal</w:t>
      </w:r>
      <w:r>
        <w:t xml:space="preserve"> </w:t>
      </w:r>
      <w:r>
        <w:t xml:space="preserve">microcephaly and failure to thrive.</w:t>
      </w:r>
      <w:r>
        <w:t xml:space="preserve">”</w:t>
      </w:r>
      <w:r>
        <w:t xml:space="preserve"> </w:t>
      </w:r>
      <w:r>
        <w:rPr>
          <w:iCs/>
          <w:i/>
        </w:rPr>
        <w:t xml:space="preserve">J Med Genet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(7), 662-668. doi:10.1136/jmedgenet-2021-107843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2023-01-12T18:31:55Z</dcterms:created>
  <dcterms:modified xsi:type="dcterms:W3CDTF">2023-01-12T18:31:55Z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