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Holtgrewe M</w:t>
      </w:r>
      <w:r>
        <w:t xml:space="preserve">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Nieminen M</w:t>
      </w:r>
      <w:r>
        <w:t xml:space="preserve">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(2019).</w:t>
      </w:r>
      <w:r>
        <w:t xml:space="preserve"> </w:t>
      </w:r>
      <w:r>
        <w:t xml:space="preserve">“</w:t>
      </w:r>
      <w:r>
        <w:t xml:space="preserve">Digestiflow:</w:t>
      </w:r>
      <w:r>
        <w:t xml:space="preserve"> </w:t>
      </w:r>
      <w:r>
        <w:t xml:space="preserve">From BCL to FASTQ with Ease.</w:t>
      </w:r>
      <w:r>
        <w:t xml:space="preserve">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.</w:t>
      </w:r>
    </w:p>
    <w:p>
      <w:pPr>
        <w:pStyle w:val="BodyText"/>
      </w:pPr>
      <w:r>
        <w:t xml:space="preserve">Schumann F,</w:t>
      </w:r>
      <w:r>
        <w:t xml:space="preserve"> </w:t>
      </w:r>
      <w:r>
        <w:rPr>
          <w:bCs/>
          <w:b/>
        </w:rPr>
        <w:t xml:space="preserve">Blanc E</w:t>
      </w:r>
      <w:r>
        <w:t xml:space="preserve">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 Blankenstein T, Busse A,</w:t>
      </w:r>
      <w:r>
        <w:t xml:space="preserve"> </w:t>
      </w:r>
      <w:r>
        <w:rPr>
          <w:bCs/>
          <w:b/>
        </w:rPr>
        <w:t xml:space="preserve">Beule D</w:t>
      </w:r>
      <w:r>
        <w:t xml:space="preserve"> </w:t>
      </w:r>
      <w:r>
        <w:t xml:space="preserve">(2019).</w:t>
      </w:r>
      <w:r>
        <w:t xml:space="preserve"> </w:t>
      </w:r>
      <w:r>
        <w:t xml:space="preserve">“</w:t>
      </w:r>
      <w:r>
        <w:t xml:space="preserve">SigsPack, a package for cancer mutational signatures.</w:t>
      </w:r>
      <w:r>
        <w:t xml:space="preserve">”</w:t>
      </w:r>
      <w:r>
        <w:t xml:space="preserve"> </w:t>
      </w:r>
      <w:r>
        <w:rPr>
          <w:iCs/>
          <w:i/>
        </w:rPr>
        <w:t xml:space="preserve">BMC</w:t>
      </w:r>
      <w:r>
        <w:rPr>
          <w:iCs/>
          <w:i/>
        </w:rPr>
        <w:t xml:space="preserve"> </w:t>
      </w:r>
      <w:r>
        <w:rPr>
          <w:iCs/>
          <w:i/>
        </w:rPr>
        <w:t xml:space="preserve">Bioinformatics</w:t>
      </w:r>
      <w:r>
        <w:t xml:space="preserve">,</w:t>
      </w:r>
      <w:r>
        <w:t xml:space="preserve"> </w:t>
      </w:r>
      <w:r>
        <w:rPr>
          <w:iCs/>
          <w:i/>
        </w:rPr>
        <w:t xml:space="preserve">20</w:t>
      </w:r>
      <w:r>
        <w:t xml:space="preserve">, 450. doi:10.1186/s12859-019-3043-7</w:t>
      </w:r>
      <w:r>
        <w:t xml:space="preserve"> </w:t>
      </w:r>
      <w:hyperlink r:id="rId20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Blanc E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Dhamodaran A,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 Willimsky G,</w:t>
      </w:r>
      <w:r>
        <w:t xml:space="preserve"> </w:t>
      </w:r>
      <w:r>
        <w:t xml:space="preserve">Blankenstein T,</w:t>
      </w:r>
      <w:r>
        <w:t xml:space="preserve"> </w:t>
      </w:r>
      <w:r>
        <w:rPr>
          <w:bCs/>
          <w:b/>
        </w:rPr>
        <w:t xml:space="preserve">Beule D</w:t>
      </w:r>
      <w:r>
        <w:rPr>
          <w:bCs/>
          <w:b/>
        </w:rPr>
        <w:t xml:space="preserve"> </w:t>
      </w:r>
      <w:r>
        <w:t xml:space="preserve">(2019).</w:t>
      </w:r>
      <w:r>
        <w:t xml:space="preserve"> </w:t>
      </w:r>
      <w:r>
        <w:t xml:space="preserve">“</w:t>
      </w:r>
      <w:r>
        <w:t xml:space="preserve">Identification and ranking of recurrent</w:t>
      </w:r>
      <w:r>
        <w:t xml:space="preserve"> </w:t>
      </w:r>
      <w:r>
        <w:t xml:space="preserve">neo-epitopes in cancer.</w:t>
      </w:r>
      <w:r>
        <w:t xml:space="preserve">”</w:t>
      </w:r>
      <w:r>
        <w:t xml:space="preserve"> </w:t>
      </w:r>
      <w:r>
        <w:rPr>
          <w:iCs/>
          <w:i/>
        </w:rPr>
        <w:t xml:space="preserve">BMC Med Genomics</w:t>
      </w:r>
      <w:r>
        <w:t xml:space="preserve">,</w:t>
      </w:r>
      <w:r>
        <w:t xml:space="preserve"> </w:t>
      </w:r>
      <w:r>
        <w:rPr>
          <w:iCs/>
          <w:i/>
        </w:rPr>
        <w:t xml:space="preserve">12</w:t>
      </w:r>
      <w:r>
        <w:t xml:space="preserve">, 171.</w:t>
      </w:r>
      <w:r>
        <w:t xml:space="preserve"> </w:t>
      </w:r>
      <w:r>
        <w:t xml:space="preserve">doi:10.1186/s12920-019-0611-7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Boeddrich A, Babila J, Wiglenda T, Diez L, Jacob M, Nietfeld W, Huska M,</w:t>
      </w:r>
      <w:r>
        <w:t xml:space="preserve"> </w:t>
      </w:r>
      <w:r>
        <w:t xml:space="preserve">Haenig C, Groenke N, Buntru A,</w:t>
      </w:r>
      <w:r>
        <w:t xml:space="preserve"> </w:t>
      </w:r>
      <w:r>
        <w:rPr>
          <w:bCs/>
          <w:b/>
        </w:rPr>
        <w:t xml:space="preserve">Blanc E</w:t>
      </w:r>
      <w:r>
        <w:t xml:space="preserve">, Meier J, Vannoni E, Erck C,</w:t>
      </w:r>
      <w:r>
        <w:t xml:space="preserve"> </w:t>
      </w:r>
      <w:r>
        <w:t xml:space="preserve">Friedrich B, Martens H, Neuendorf N, Schnoegl S, Wolfer D, Loos M,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t xml:space="preserve">Andrade-Navarro M, Wanker E (2019).</w:t>
      </w:r>
      <w:r>
        <w:t xml:space="preserve"> </w:t>
      </w:r>
      <w:r>
        <w:t xml:space="preserve">“</w:t>
      </w:r>
      <w:r>
        <w:t xml:space="preserve">The Anti-amyloid Compound DO1</w:t>
      </w:r>
      <w:r>
        <w:t xml:space="preserve"> </w:t>
      </w:r>
      <w:r>
        <w:t xml:space="preserve">Decreases Plaque Pathology and Neuroinflammation-Related Expression Changes</w:t>
      </w:r>
      <w:r>
        <w:t xml:space="preserve"> </w:t>
      </w:r>
      <w:r>
        <w:t xml:space="preserve">in 5xFAD Transgenic Mice.</w:t>
      </w:r>
      <w:r>
        <w:t xml:space="preserve">”</w:t>
      </w:r>
      <w:r>
        <w:t xml:space="preserve"> </w:t>
      </w:r>
      <w:r>
        <w:rPr>
          <w:iCs/>
          <w:i/>
        </w:rPr>
        <w:t xml:space="preserve">Cell Chem Biol</w:t>
      </w:r>
      <w:r>
        <w:t xml:space="preserve">,</w:t>
      </w:r>
      <w:r>
        <w:t xml:space="preserve"> </w:t>
      </w:r>
      <w:r>
        <w:rPr>
          <w:iCs/>
          <w:i/>
        </w:rPr>
        <w:t xml:space="preserve">26</w:t>
      </w:r>
      <w:r>
        <w:t xml:space="preserve">, 109-120.e7.</w:t>
      </w:r>
      <w:r>
        <w:t xml:space="preserve"> </w:t>
      </w:r>
      <w:r>
        <w:t xml:space="preserve">doi:10.1016/j.chembiol.2018.10.013</w:t>
      </w:r>
      <w:r>
        <w:t xml:space="preserve"> </w:t>
      </w:r>
      <w:hyperlink r:id="rId22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Borgsmüller N, Gloaguen Y, Opialla T,</w:t>
      </w:r>
      <w:r>
        <w:t xml:space="preserve"> </w:t>
      </w:r>
      <w:r>
        <w:rPr>
          <w:bCs/>
          <w:b/>
        </w:rPr>
        <w:t xml:space="preserve">Blanc E</w:t>
      </w:r>
      <w:r>
        <w:t xml:space="preserve">, Sicard E, Royer A, Le BB,</w:t>
      </w:r>
      <w:r>
        <w:t xml:space="preserve"> </w:t>
      </w:r>
      <w:r>
        <w:t xml:space="preserve">Durand S, Migné C, Pétéra M, Pujos-Guillot E, Giacomoni F, Guitton Y, Beule</w:t>
      </w:r>
      <w:r>
        <w:t xml:space="preserve"> </w:t>
      </w:r>
      <w:r>
        <w:t xml:space="preserve">D, Kirwan J (2019).</w:t>
      </w:r>
      <w:r>
        <w:t xml:space="preserve"> </w:t>
      </w:r>
      <w:r>
        <w:t xml:space="preserve">“</w:t>
      </w:r>
      <w:r>
        <w:t xml:space="preserve">WiPP: Workflow for Improved Peak Picking for Gas</w:t>
      </w:r>
      <w:r>
        <w:t xml:space="preserve"> </w:t>
      </w:r>
      <w:r>
        <w:t xml:space="preserve">Chromatography-Mass Spectrometry (GC-MS) Data.</w:t>
      </w:r>
      <w:r>
        <w:t xml:space="preserve">”</w:t>
      </w:r>
      <w:r>
        <w:t xml:space="preserve"> </w:t>
      </w:r>
      <w:r>
        <w:rPr>
          <w:iCs/>
          <w:i/>
        </w:rPr>
        <w:t xml:space="preserve">Metabolites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</w:t>
      </w:r>
      <w:r>
        <w:t xml:space="preserve"> </w:t>
      </w:r>
      <w:r>
        <w:t xml:space="preserve">doi:10.3390/metabo9090171</w:t>
      </w:r>
      <w:r>
        <w:t xml:space="preserve"> </w:t>
      </w:r>
      <w:hyperlink r:id="rId23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Buonfiglioli A, Efe I, Guneykaya D,</w:t>
      </w:r>
      <w:r>
        <w:t xml:space="preserve"> </w:t>
      </w:r>
      <w:r>
        <w:rPr>
          <w:bCs/>
          <w:b/>
        </w:rPr>
        <w:t xml:space="preserve">Ivanov A</w:t>
      </w:r>
      <w:r>
        <w:t xml:space="preserve">, Huang Y, Orlowski E, Krüger</w:t>
      </w:r>
      <w:r>
        <w:t xml:space="preserve"> </w:t>
      </w:r>
      <w:r>
        <w:t xml:space="preserve">C, Deisz R, Markovic D, Flüh C, Newman A, Schneider U,</w:t>
      </w:r>
      <w:r>
        <w:t xml:space="preserve"> </w:t>
      </w:r>
      <w:r>
        <w:rPr>
          <w:bCs/>
          <w:b/>
        </w:rPr>
        <w:t xml:space="preserve">Beule D</w:t>
      </w:r>
      <w:r>
        <w:t xml:space="preserve">, Wolf S,</w:t>
      </w:r>
      <w:r>
        <w:t xml:space="preserve"> </w:t>
      </w:r>
      <w:r>
        <w:t xml:space="preserve">Dzaye O, Gutmann D, Semtner M, Kettenmann H, Lehnardt S (2019).</w:t>
      </w:r>
      <w:r>
        <w:t xml:space="preserve"> </w:t>
      </w:r>
      <w:r>
        <w:t xml:space="preserve">“</w:t>
      </w:r>
      <w:r>
        <w:t xml:space="preserve">let-7</w:t>
      </w:r>
      <w:r>
        <w:t xml:space="preserve"> </w:t>
      </w:r>
      <w:r>
        <w:t xml:space="preserve">MicroRNAs Regulate Microglial Function and Suppress Glioma Growth through</w:t>
      </w:r>
      <w:r>
        <w:t xml:space="preserve"> </w:t>
      </w:r>
      <w:r>
        <w:t xml:space="preserve">Toll-Like Receptor 7.</w:t>
      </w:r>
      <w:r>
        <w:t xml:space="preserve">”</w:t>
      </w:r>
      <w:r>
        <w:t xml:space="preserve"> </w:t>
      </w:r>
      <w:r>
        <w:rPr>
          <w:iCs/>
          <w:i/>
        </w:rPr>
        <w:t xml:space="preserve">Cell Rep</w:t>
      </w:r>
      <w:r>
        <w:t xml:space="preserve">,</w:t>
      </w:r>
      <w:r>
        <w:t xml:space="preserve"> </w:t>
      </w:r>
      <w:r>
        <w:rPr>
          <w:iCs/>
          <w:i/>
        </w:rPr>
        <w:t xml:space="preserve">29</w:t>
      </w:r>
      <w:r>
        <w:t xml:space="preserve">, 3460-3471.e7.</w:t>
      </w:r>
      <w:r>
        <w:t xml:space="preserve"> </w:t>
      </w:r>
      <w:r>
        <w:t xml:space="preserve">doi:10.1016/j.celrep.2019.11.029</w:t>
      </w:r>
      <w:r>
        <w:t xml:space="preserve"> </w:t>
      </w:r>
      <w:hyperlink r:id="rId24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Kühnisch J, Herbst C, Al-Wakeel-Marquard N, Dartsch J,</w:t>
      </w:r>
      <w:r>
        <w:t xml:space="preserve"> </w:t>
      </w:r>
      <w:r>
        <w:rPr>
          <w:bCs/>
          <w:b/>
        </w:rPr>
        <w:t xml:space="preserve">Holtgrewe M</w:t>
      </w:r>
      <w:r>
        <w:t xml:space="preserve">, Baban</w:t>
      </w:r>
      <w:r>
        <w:t xml:space="preserve"> </w:t>
      </w:r>
      <w:r>
        <w:t xml:space="preserve">A, Mearini G, Hardt J, Kolokotronis K, Gerull B, Carrier L,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t xml:space="preserve">Schubert S, Messroghli D, Degener F, Berger F, Klaassen S (2019).</w:t>
      </w:r>
      <w:r>
        <w:t xml:space="preserve"> </w:t>
      </w:r>
      <w:r>
        <w:t xml:space="preserve">“</w:t>
      </w:r>
      <w:r>
        <w:t xml:space="preserve">Targeted</w:t>
      </w:r>
      <w:r>
        <w:t xml:space="preserve"> </w:t>
      </w:r>
      <w:r>
        <w:t xml:space="preserve">panel sequencing in pediatric primary cardiomyopathy supports a critical</w:t>
      </w:r>
      <w:r>
        <w:t xml:space="preserve"> </w:t>
      </w:r>
      <w:r>
        <w:t xml:space="preserve">role of TNNI3.</w:t>
      </w:r>
      <w:r>
        <w:t xml:space="preserve">”</w:t>
      </w:r>
      <w:r>
        <w:t xml:space="preserve"> </w:t>
      </w:r>
      <w:r>
        <w:rPr>
          <w:iCs/>
          <w:i/>
        </w:rPr>
        <w:t xml:space="preserve">Clin Genet</w:t>
      </w:r>
      <w:r>
        <w:t xml:space="preserve">,</w:t>
      </w:r>
      <w:r>
        <w:t xml:space="preserve"> </w:t>
      </w:r>
      <w:r>
        <w:rPr>
          <w:iCs/>
          <w:i/>
        </w:rPr>
        <w:t xml:space="preserve">96</w:t>
      </w:r>
      <w:r>
        <w:t xml:space="preserve">, 549-559. doi:10.1111/cge.13645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rPr>
          <w:bCs/>
          <w:b/>
        </w:rPr>
        <w:t xml:space="preserve">Kuhring M</w:t>
      </w:r>
      <w:r>
        <w:t xml:space="preserve">,</w:t>
      </w:r>
      <w:r>
        <w:t xml:space="preserve"> </w:t>
      </w:r>
      <w:r>
        <w:rPr>
          <w:bCs/>
          <w:b/>
        </w:rPr>
        <w:t xml:space="preserve">Nieminen M</w:t>
      </w:r>
      <w:r>
        <w:t xml:space="preserve">, Kirwan J,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rPr>
          <w:bCs/>
          <w:b/>
        </w:rPr>
        <w:t xml:space="preserve">Holtgrewe M</w:t>
      </w:r>
      <w:r>
        <w:rPr>
          <w:bCs/>
          <w:b/>
        </w:rPr>
        <w:t xml:space="preserve"> </w:t>
      </w:r>
      <w:r>
        <w:t xml:space="preserve">(2019).</w:t>
      </w:r>
      <w:r>
        <w:t xml:space="preserve"> </w:t>
      </w:r>
      <w:r>
        <w:t xml:space="preserve">“</w:t>
      </w:r>
      <w:r>
        <w:t xml:space="preserve">AltamISA: A</w:t>
      </w:r>
      <w:r>
        <w:t xml:space="preserve"> </w:t>
      </w:r>
      <w:r>
        <w:t xml:space="preserve">Python API for ISA-Tab Files.</w:t>
      </w:r>
      <w:r>
        <w:t xml:space="preserve">”</w:t>
      </w:r>
      <w:r>
        <w:t xml:space="preserve"> </w:t>
      </w:r>
      <w:r>
        <w:rPr>
          <w:iCs/>
          <w:i/>
        </w:rPr>
        <w:t xml:space="preserve">JOSS</w:t>
      </w:r>
      <w:r>
        <w:t xml:space="preserve">. doi:10.21105/joss.01610</w:t>
      </w:r>
    </w:p>
    <w:p>
      <w:pPr>
        <w:pStyle w:val="BodyText"/>
      </w:pPr>
      <w:r>
        <w:t xml:space="preserve">Lamping M, Rieke D, Klauschen F, Jöhrens K, Anagnostopoulos I, Lenze D,</w:t>
      </w:r>
      <w:r>
        <w:t xml:space="preserve"> </w:t>
      </w:r>
      <w:r>
        <w:t xml:space="preserve">Tinhofer I,</w:t>
      </w:r>
      <w:r>
        <w:t xml:space="preserve"> </w:t>
      </w:r>
      <w:r>
        <w:rPr>
          <w:bCs/>
          <w:b/>
        </w:rPr>
        <w:t xml:space="preserve">Benary M</w:t>
      </w:r>
      <w:r>
        <w:t xml:space="preserve">, Ochsenreither S, Klinghammer K, Burock S, Jann H,</w:t>
      </w:r>
      <w:r>
        <w:t xml:space="preserve"> </w:t>
      </w:r>
      <w:r>
        <w:t xml:space="preserve">Stüven A, Ditzen D,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rPr>
          <w:bCs/>
          <w:b/>
        </w:rPr>
        <w:t xml:space="preserve">Messerschmidt C</w:t>
      </w:r>
      <w:r>
        <w:t xml:space="preserve">,</w:t>
      </w:r>
      <w:r>
        <w:t xml:space="preserve"> </w:t>
      </w:r>
      <w:r>
        <w:rPr>
          <w:bCs/>
          <w:b/>
        </w:rPr>
        <w:t xml:space="preserve">Blanc E</w:t>
      </w:r>
      <w:r>
        <w:t xml:space="preserve">, Schäfer R, Keilholz</w:t>
      </w:r>
      <w:r>
        <w:t xml:space="preserve"> </w:t>
      </w:r>
      <w:r>
        <w:t xml:space="preserve">U (2019).</w:t>
      </w:r>
      <w:r>
        <w:t xml:space="preserve"> </w:t>
      </w:r>
      <w:r>
        <w:t xml:space="preserve">“</w:t>
      </w:r>
      <w:r>
        <w:t xml:space="preserve">Clinical Impact of Comprehensive versus Targeted Genomic</w:t>
      </w:r>
      <w:r>
        <w:t xml:space="preserve"> </w:t>
      </w:r>
      <w:r>
        <w:t xml:space="preserve">Analysis for Precision Oncology.</w:t>
      </w:r>
      <w:r>
        <w:t xml:space="preserve">”</w:t>
      </w:r>
      <w:r>
        <w:t xml:space="preserve"> </w:t>
      </w:r>
      <w:r>
        <w:rPr>
          <w:iCs/>
          <w:i/>
        </w:rPr>
        <w:t xml:space="preserve">J Clin Oncol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(15_suppl),</w:t>
      </w:r>
      <w:r>
        <w:t xml:space="preserve"> </w:t>
      </w:r>
      <w:r>
        <w:t xml:space="preserve">e13033-e13033. doi:10.1200/JCO.2019.37.15_suppl.e13033</w:t>
      </w:r>
      <w:r>
        <w:t xml:space="preserve"> </w:t>
      </w:r>
      <w:hyperlink r:id="rId26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Herda S, Heimann A, Althoff S, Ruß J, Bullinger L,</w:t>
      </w:r>
      <w:r>
        <w:t xml:space="preserve"> </w:t>
      </w:r>
      <w:r>
        <w:rPr>
          <w:bCs/>
          <w:b/>
        </w:rPr>
        <w:t xml:space="preserve">Beule D</w:t>
      </w:r>
      <w:r>
        <w:t xml:space="preserve">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Na</w:t>
      </w:r>
      <w:r>
        <w:t xml:space="preserve"> </w:t>
      </w:r>
      <w:r>
        <w:t xml:space="preserve">I (2019).</w:t>
      </w:r>
      <w:r>
        <w:t xml:space="preserve"> </w:t>
      </w:r>
      <w:r>
        <w:t xml:space="preserve">“</w:t>
      </w:r>
      <w:r>
        <w:t xml:space="preserve">Long-Term T Cell Expansion Results in Increased Numbers of</w:t>
      </w:r>
      <w:r>
        <w:t xml:space="preserve"> </w:t>
      </w:r>
      <w:r>
        <w:t xml:space="preserve">Central Memory T Cells with Sustained Functional Properties for Adoptive T</w:t>
      </w:r>
      <w:r>
        <w:t xml:space="preserve"> </w:t>
      </w:r>
      <w:r>
        <w:t xml:space="preserve">Cell Therapy.</w:t>
      </w:r>
      <w:r>
        <w:t xml:space="preserve">”</w:t>
      </w:r>
      <w:r>
        <w:t xml:space="preserve"> </w:t>
      </w:r>
      <w:r>
        <w:rPr>
          <w:iCs/>
          <w:i/>
        </w:rPr>
        <w:t xml:space="preserve">Blood</w:t>
      </w:r>
      <w:r>
        <w:t xml:space="preserve">. doi:10.1182/blood-2019-124736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</w:p>
    <w:p>
      <w:pPr>
        <w:pStyle w:val="BodyText"/>
      </w:pPr>
      <w:r>
        <w:t xml:space="preserve">van HS, Witte F, Schneider-Lunitz V, Schulz J, Adami E, Faber A, Kirchner</w:t>
      </w:r>
      <w:r>
        <w:t xml:space="preserve"> </w:t>
      </w:r>
      <w:r>
        <w:t xml:space="preserve">M, Maatz H, Blachut S, Sandmann C, Kanda M, Worth C, Schafer S, Calviello</w:t>
      </w:r>
      <w:r>
        <w:t xml:space="preserve"> </w:t>
      </w:r>
      <w:r>
        <w:t xml:space="preserve">L, Merriott R, Patone G, Hummel O, Wyler E,</w:t>
      </w:r>
      <w:r>
        <w:t xml:space="preserve"> </w:t>
      </w:r>
      <w:r>
        <w:rPr>
          <w:bCs/>
          <w:b/>
        </w:rPr>
        <w:t xml:space="preserve">Obermayer B</w:t>
      </w:r>
      <w:r>
        <w:t xml:space="preserve">, Mücke M, Lindberg</w:t>
      </w:r>
      <w:r>
        <w:t xml:space="preserve"> </w:t>
      </w:r>
      <w:r>
        <w:t xml:space="preserve">E, Trnka F, Memczak S, Schilling M, Felkin L, Barton P, Quaife N, Vanezis</w:t>
      </w:r>
      <w:r>
        <w:t xml:space="preserve"> </w:t>
      </w:r>
      <w:r>
        <w:t xml:space="preserve">K, Diecke S, Mukai M, Mah N, Oh S, Kurtz A, Schramm C, Schwinge D, Sebode</w:t>
      </w:r>
      <w:r>
        <w:t xml:space="preserve"> </w:t>
      </w:r>
      <w:r>
        <w:t xml:space="preserve">M, Harakalova M, Asselbergs F, Vink A, de WR, Viswanathan S, Widjaja A,</w:t>
      </w:r>
      <w:r>
        <w:t xml:space="preserve"> </w:t>
      </w:r>
      <w:r>
        <w:t xml:space="preserve">Gärtner-Rommel A, Milting H, Dos RC, Knosalla C, Mertins P, Landthaler M,</w:t>
      </w:r>
      <w:r>
        <w:t xml:space="preserve"> </w:t>
      </w:r>
      <w:r>
        <w:t xml:space="preserve">Vingron M, Linke W, Seidman J, Seidman C, Rajewsky N, Ohler U, Cook S,</w:t>
      </w:r>
      <w:r>
        <w:t xml:space="preserve"> </w:t>
      </w:r>
      <w:r>
        <w:t xml:space="preserve">Hubner N (2019).</w:t>
      </w:r>
      <w:r>
        <w:t xml:space="preserve"> </w:t>
      </w:r>
      <w:r>
        <w:t xml:space="preserve">“</w:t>
      </w:r>
      <w:r>
        <w:t xml:space="preserve">The Translational Landscape of the Human Heart.</w:t>
      </w:r>
      <w:r>
        <w:t xml:space="preserve">”</w:t>
      </w:r>
      <w:r>
        <w:t xml:space="preserve"> </w:t>
      </w:r>
      <w:r>
        <w:rPr>
          <w:iCs/>
          <w:i/>
        </w:rPr>
        <w:t xml:space="preserve">Cell</w:t>
      </w:r>
      <w:r>
        <w:t xml:space="preserve">,</w:t>
      </w:r>
      <w:r>
        <w:t xml:space="preserve"> </w:t>
      </w:r>
      <w:r>
        <w:rPr>
          <w:iCs/>
          <w:i/>
        </w:rPr>
        <w:t xml:space="preserve">178</w:t>
      </w:r>
      <w:r>
        <w:t xml:space="preserve">, 242-260.e29. doi:10.1016/j.cell.2019.05.010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16/j.cell.2019.05.010" TargetMode="External" /><Relationship Type="http://schemas.openxmlformats.org/officeDocument/2006/relationships/hyperlink" Id="rId24" Target="https://doi.org/10.1016/j.celrep.2019.11.029" TargetMode="External" /><Relationship Type="http://schemas.openxmlformats.org/officeDocument/2006/relationships/hyperlink" Id="rId22" Target="https://doi.org/10.1016/j.chembiol.2018.10.013" TargetMode="External" /><Relationship Type="http://schemas.openxmlformats.org/officeDocument/2006/relationships/hyperlink" Id="rId25" Target="https://doi.org/10.1111/cge.13645" TargetMode="External" /><Relationship Type="http://schemas.openxmlformats.org/officeDocument/2006/relationships/hyperlink" Id="rId20" Target="https://doi.org/10.1186/s12859-019-3043-7" TargetMode="External" /><Relationship Type="http://schemas.openxmlformats.org/officeDocument/2006/relationships/hyperlink" Id="rId21" Target="https://doi.org/10.1186/s12920-019-0611-7" TargetMode="External" /><Relationship Type="http://schemas.openxmlformats.org/officeDocument/2006/relationships/hyperlink" Id="rId26" Target="https://doi.org/10.1200/JCO.2019.37.15_suppl.e13033" TargetMode="External" /><Relationship Type="http://schemas.openxmlformats.org/officeDocument/2006/relationships/hyperlink" Id="rId23" Target="https://doi.org/10.3390/metabo9090171" TargetMode="External" /><Relationship Type="http://schemas.openxmlformats.org/officeDocument/2006/relationships/hyperlink" Id="rId27" Target="https://www.sciencedirect.com/science/article/pii/S000649711859860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016/j.cell.2019.05.010" TargetMode="External" /><Relationship Type="http://schemas.openxmlformats.org/officeDocument/2006/relationships/hyperlink" Id="rId24" Target="https://doi.org/10.1016/j.celrep.2019.11.029" TargetMode="External" /><Relationship Type="http://schemas.openxmlformats.org/officeDocument/2006/relationships/hyperlink" Id="rId22" Target="https://doi.org/10.1016/j.chembiol.2018.10.013" TargetMode="External" /><Relationship Type="http://schemas.openxmlformats.org/officeDocument/2006/relationships/hyperlink" Id="rId25" Target="https://doi.org/10.1111/cge.13645" TargetMode="External" /><Relationship Type="http://schemas.openxmlformats.org/officeDocument/2006/relationships/hyperlink" Id="rId20" Target="https://doi.org/10.1186/s12859-019-3043-7" TargetMode="External" /><Relationship Type="http://schemas.openxmlformats.org/officeDocument/2006/relationships/hyperlink" Id="rId21" Target="https://doi.org/10.1186/s12920-019-0611-7" TargetMode="External" /><Relationship Type="http://schemas.openxmlformats.org/officeDocument/2006/relationships/hyperlink" Id="rId26" Target="https://doi.org/10.1200/JCO.2019.37.15_suppl.e13033" TargetMode="External" /><Relationship Type="http://schemas.openxmlformats.org/officeDocument/2006/relationships/hyperlink" Id="rId23" Target="https://doi.org/10.3390/metabo9090171" TargetMode="External" /><Relationship Type="http://schemas.openxmlformats.org/officeDocument/2006/relationships/hyperlink" Id="rId27" Target="https://www.sciencedirect.com/science/article/pii/S000649711859860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2023-01-13T11:35:58Z</dcterms:created>
  <dcterms:modified xsi:type="dcterms:W3CDTF">2023-01-13T11:35:58Z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