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Mattei D,</w:t>
      </w:r>
      <w:r>
        <w:t xml:space="preserve"> </w:t>
      </w:r>
      <w:r>
        <w:rPr>
          <w:bCs/>
          <w:b/>
        </w:rPr>
        <w:t xml:space="preserve">Ivanov A</w:t>
      </w:r>
      <w:r>
        <w:t xml:space="preserve">, van OM, Pantelyushin S, Richetto J, Mueller F,</w:t>
      </w:r>
      <w:r>
        <w:t xml:space="preserve"> </w:t>
      </w:r>
      <w:r>
        <w:t xml:space="preserve">Beffinger M, Schellhammer L, Vom BJ, Wollscheid B,</w:t>
      </w:r>
      <w:r>
        <w:t xml:space="preserve"> </w:t>
      </w:r>
      <w:r>
        <w:rPr>
          <w:bCs/>
          <w:b/>
        </w:rPr>
        <w:t xml:space="preserve">Beule D</w:t>
      </w:r>
      <w:r>
        <w:t xml:space="preserve">, Paolicelli R,</w:t>
      </w:r>
      <w:r>
        <w:t xml:space="preserve"> </w:t>
      </w:r>
      <w:r>
        <w:t xml:space="preserve">Meyer U (2020).</w:t>
      </w:r>
      <w:r>
        <w:t xml:space="preserve"> </w:t>
      </w:r>
      <w:r>
        <w:t xml:space="preserve">“</w:t>
      </w:r>
      <w:r>
        <w:t xml:space="preserve">Enzymatic Dissociation Induces Transcriptional and</w:t>
      </w:r>
      <w:r>
        <w:t xml:space="preserve"> </w:t>
      </w:r>
      <w:r>
        <w:t xml:space="preserve">Proteotype Bias in Brain Cell Populations.</w:t>
      </w:r>
      <w:r>
        <w:t xml:space="preserve">”</w:t>
      </w:r>
      <w:r>
        <w:t xml:space="preserve"> </w:t>
      </w:r>
      <w:r>
        <w:rPr>
          <w:iCs/>
          <w:i/>
        </w:rPr>
        <w:t xml:space="preserve">Int J Mol Sci</w:t>
      </w:r>
      <w:r>
        <w:t xml:space="preserve">,</w:t>
      </w:r>
      <w:r>
        <w:t xml:space="preserve"> </w:t>
      </w:r>
      <w:r>
        <w:rPr>
          <w:iCs/>
          <w:i/>
        </w:rPr>
        <w:t xml:space="preserve">21</w:t>
      </w:r>
      <w:r>
        <w:t xml:space="preserve">.</w:t>
      </w:r>
      <w:r>
        <w:t xml:space="preserve"> </w:t>
      </w:r>
      <w:r>
        <w:t xml:space="preserve">doi:10.3390/ijms21217944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Kuhring M</w:t>
      </w:r>
      <w:r>
        <w:t xml:space="preserve">, Eisenberger A, Schmidt V, Kränkel N, Leistner D, Kirwan J, Beule</w:t>
      </w:r>
      <w:r>
        <w:t xml:space="preserve"> </w:t>
      </w:r>
      <w:r>
        <w:t xml:space="preserve">D (2020).</w:t>
      </w:r>
      <w:r>
        <w:t xml:space="preserve"> </w:t>
      </w:r>
      <w:r>
        <w:t xml:space="preserve">“</w:t>
      </w:r>
      <w:r>
        <w:t xml:space="preserve">Concepts and Software Package for Efficient Quality Control in</w:t>
      </w:r>
      <w:r>
        <w:t xml:space="preserve"> </w:t>
      </w:r>
      <w:r>
        <w:t xml:space="preserve">Targeted Metabolomics Studies: MeTaQuaC.</w:t>
      </w:r>
      <w:r>
        <w:t xml:space="preserve">”</w:t>
      </w:r>
      <w:r>
        <w:t xml:space="preserve"> </w:t>
      </w:r>
      <w:r>
        <w:rPr>
          <w:iCs/>
          <w:i/>
        </w:rPr>
        <w:t xml:space="preserve">Anal Chem</w:t>
      </w:r>
      <w:r>
        <w:t xml:space="preserve">,</w:t>
      </w:r>
      <w:r>
        <w:t xml:space="preserve"> </w:t>
      </w:r>
      <w:r>
        <w:rPr>
          <w:iCs/>
          <w:i/>
        </w:rPr>
        <w:t xml:space="preserve">92</w:t>
      </w:r>
      <w:r>
        <w:t xml:space="preserve">, 10241-10245.</w:t>
      </w:r>
      <w:r>
        <w:t xml:space="preserve"> </w:t>
      </w:r>
      <w:r>
        <w:t xml:space="preserve">doi:10.1021/acs.analchem.0c00136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Koche R, Rodriguez-Fos E, Helmsauer K, Burkert M, MacArthur I, Maag J,</w:t>
      </w:r>
      <w:r>
        <w:t xml:space="preserve"> </w:t>
      </w:r>
      <w:r>
        <w:t xml:space="preserve">Chamorro R, Munoz-Perez N, Puiggròs M, Dorado GH, Bei Y, Röefzaad C,</w:t>
      </w:r>
      <w:r>
        <w:t xml:space="preserve"> </w:t>
      </w:r>
      <w:r>
        <w:t xml:space="preserve">Bardinet V, Szymansky A, Winkler A, Thole T, Timme N, Kasack K, Fuchs S,</w:t>
      </w:r>
      <w:r>
        <w:t xml:space="preserve"> </w:t>
      </w:r>
      <w:r>
        <w:t xml:space="preserve">Klironomos F, Thiessen N,</w:t>
      </w:r>
      <w:r>
        <w:t xml:space="preserve"> </w:t>
      </w:r>
      <w:r>
        <w:rPr>
          <w:bCs/>
          <w:b/>
        </w:rPr>
        <w:t xml:space="preserve">Blanc E</w:t>
      </w:r>
      <w:r>
        <w:t xml:space="preserve">, Schmelz K, Künkele A, Hundsdörfer P,</w:t>
      </w:r>
      <w:r>
        <w:t xml:space="preserve"> </w:t>
      </w:r>
      <w:r>
        <w:t xml:space="preserve">Rosswog C, Theissen J,</w:t>
      </w:r>
      <w:r>
        <w:t xml:space="preserve"> </w:t>
      </w:r>
      <w:r>
        <w:rPr>
          <w:bCs/>
          <w:b/>
        </w:rPr>
        <w:t xml:space="preserve">Beule D</w:t>
      </w:r>
      <w:r>
        <w:t xml:space="preserve">, Deubzer H, Sauer S, Toedling J, Fischer M,</w:t>
      </w:r>
      <w:r>
        <w:t xml:space="preserve"> </w:t>
      </w:r>
      <w:r>
        <w:t xml:space="preserve">Hertwig F, Schwarz R, Eggert A, Torrents D, Schulte J, Henssen A (2020).</w:t>
      </w:r>
      <w:r>
        <w:t xml:space="preserve"> </w:t>
      </w:r>
      <w:r>
        <w:t xml:space="preserve">“</w:t>
      </w:r>
      <w:r>
        <w:t xml:space="preserve">Extrachromosomal circular DNA drives oncogenic genome remodeling in</w:t>
      </w:r>
      <w:r>
        <w:t xml:space="preserve"> </w:t>
      </w:r>
      <w:r>
        <w:t xml:space="preserve">neuroblastoma.</w:t>
      </w:r>
      <w:r>
        <w:t xml:space="preserve">”</w:t>
      </w:r>
      <w:r>
        <w:t xml:space="preserve"> </w:t>
      </w:r>
      <w:r>
        <w:rPr>
          <w:iCs/>
          <w:i/>
        </w:rPr>
        <w:t xml:space="preserve">Nat Genet</w:t>
      </w:r>
      <w:r>
        <w:t xml:space="preserve">,</w:t>
      </w:r>
      <w:r>
        <w:t xml:space="preserve"> </w:t>
      </w:r>
      <w:r>
        <w:rPr>
          <w:iCs/>
          <w:i/>
        </w:rPr>
        <w:t xml:space="preserve">52</w:t>
      </w:r>
      <w:r>
        <w:t xml:space="preserve">, 29-34. doi:10.1038/s41588-019-0547-z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Holtgrewe M</w:t>
      </w:r>
      <w:r>
        <w:t xml:space="preserve">,</w:t>
      </w:r>
      <w:r>
        <w:t xml:space="preserve"> </w:t>
      </w:r>
      <w:r>
        <w:rPr>
          <w:bCs/>
          <w:b/>
        </w:rPr>
        <w:t xml:space="preserve">Stolpe O</w:t>
      </w:r>
      <w:r>
        <w:t xml:space="preserve">,</w:t>
      </w:r>
      <w:r>
        <w:t xml:space="preserve"> </w:t>
      </w:r>
      <w:r>
        <w:rPr>
          <w:bCs/>
          <w:b/>
        </w:rPr>
        <w:t xml:space="preserve">Nieminen M</w:t>
      </w:r>
      <w:r>
        <w:t xml:space="preserve">, Mundlos S, Knaus A, Kornak U, Seelow D,</w:t>
      </w:r>
      <w:r>
        <w:t xml:space="preserve"> </w:t>
      </w:r>
      <w:r>
        <w:t xml:space="preserve">Segebrecht L, Spielmann M, Fischer-Zirnsak B, Boschann F, Scholl U, Ehmke</w:t>
      </w:r>
      <w:r>
        <w:t xml:space="preserve"> </w:t>
      </w:r>
      <w:r>
        <w:t xml:space="preserve">N,</w:t>
      </w:r>
      <w:r>
        <w:t xml:space="preserve"> </w:t>
      </w:r>
      <w:r>
        <w:rPr>
          <w:bCs/>
          <w:b/>
        </w:rPr>
        <w:t xml:space="preserve">Beule D</w:t>
      </w:r>
      <w:r>
        <w:rPr>
          <w:bCs/>
          <w:b/>
        </w:rPr>
        <w:t xml:space="preserve"> </w:t>
      </w:r>
      <w:r>
        <w:t xml:space="preserve">(2020).</w:t>
      </w:r>
      <w:r>
        <w:t xml:space="preserve"> </w:t>
      </w:r>
      <w:r>
        <w:t xml:space="preserve">“</w:t>
      </w:r>
      <w:r>
        <w:t xml:space="preserve">VarFish: comprehensive DNA variant analysis for</w:t>
      </w:r>
      <w:r>
        <w:t xml:space="preserve"> </w:t>
      </w:r>
      <w:r>
        <w:t xml:space="preserve">diagnostics and research.</w:t>
      </w:r>
      <w:r>
        <w:t xml:space="preserve">”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, W162-W169.</w:t>
      </w:r>
      <w:r>
        <w:t xml:space="preserve"> </w:t>
      </w:r>
      <w:r>
        <w:t xml:space="preserve">doi:10.1093/nar/gkaa241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Obermayer B</w:t>
      </w:r>
      <w:r>
        <w:t xml:space="preserve">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</w:t>
      </w:r>
      <w:r>
        <w:t xml:space="preserve"> </w:t>
      </w:r>
      <w:r>
        <w:rPr>
          <w:bCs/>
          <w:b/>
        </w:rPr>
        <w:t xml:space="preserve">Nieminen M</w:t>
      </w:r>
      <w:r>
        <w:t xml:space="preserve">,</w:t>
      </w:r>
      <w:r>
        <w:t xml:space="preserve"> </w:t>
      </w:r>
      <w:r>
        <w:rPr>
          <w:bCs/>
          <w:b/>
        </w:rPr>
        <w:t xml:space="preserve">Messerschmidt C</w:t>
      </w:r>
      <w:r>
        <w:t xml:space="preserve">,</w:t>
      </w:r>
      <w:r>
        <w:t xml:space="preserve"> </w:t>
      </w:r>
      <w:r>
        <w:rPr>
          <w:bCs/>
          <w:b/>
        </w:rPr>
        <w:t xml:space="preserve">Beule D</w:t>
      </w:r>
      <w:r>
        <w:rPr>
          <w:bCs/>
          <w:b/>
        </w:rPr>
        <w:t xml:space="preserve"> </w:t>
      </w:r>
      <w:r>
        <w:t xml:space="preserve">(2020).</w:t>
      </w:r>
      <w:r>
        <w:t xml:space="preserve"> </w:t>
      </w:r>
      <w:r>
        <w:t xml:space="preserve">“</w:t>
      </w:r>
      <w:r>
        <w:t xml:space="preserve">SCelVis: exploratory single cell data analysis on the desktop and in the</w:t>
      </w:r>
      <w:r>
        <w:t xml:space="preserve"> </w:t>
      </w:r>
      <w:r>
        <w:t xml:space="preserve">cloud.</w:t>
      </w:r>
      <w:r>
        <w:t xml:space="preserve">”</w:t>
      </w:r>
      <w:r>
        <w:t xml:space="preserve"> </w:t>
      </w:r>
      <w:r>
        <w:rPr>
          <w:iCs/>
          <w:i/>
        </w:rPr>
        <w:t xml:space="preserve">PeerJ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, e8607. doi:10.7717/peerj.8607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Nieminen M</w:t>
      </w:r>
      <w:r>
        <w:t xml:space="preserve">,</w:t>
      </w:r>
      <w:r>
        <w:t xml:space="preserve"> </w:t>
      </w:r>
      <w:r>
        <w:rPr>
          <w:bCs/>
          <w:b/>
        </w:rPr>
        <w:t xml:space="preserve">Stolpe O</w:t>
      </w:r>
      <w:r>
        <w:t xml:space="preserve">, Schumann F (2020).</w:t>
      </w:r>
      <w:r>
        <w:t xml:space="preserve"> </w:t>
      </w:r>
      <w:r>
        <w:t xml:space="preserve">“</w:t>
      </w:r>
      <w:r>
        <w:t xml:space="preserve">SODAR Core: a Django-based</w:t>
      </w:r>
      <w:r>
        <w:t xml:space="preserve"> </w:t>
      </w:r>
      <w:r>
        <w:t xml:space="preserve">framework for scientific data management and analysis web apps.</w:t>
      </w:r>
      <w:r>
        <w:t xml:space="preserve">”</w:t>
      </w:r>
      <w: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Open Source Software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(55), 1584. doi:10.21105/joss.01584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Akpa C, Kleo K, Oker E, Tomaszewski N,</w:t>
      </w:r>
      <w:r>
        <w:t xml:space="preserve"> </w:t>
      </w:r>
      <w:r>
        <w:rPr>
          <w:bCs/>
          <w:b/>
        </w:rPr>
        <w:t xml:space="preserve">Messerschmidt C</w:t>
      </w:r>
      <w:r>
        <w:t xml:space="preserve">, López C, Wagener R,</w:t>
      </w:r>
      <w:r>
        <w:t xml:space="preserve"> </w:t>
      </w:r>
      <w:r>
        <w:t xml:space="preserve">Oehl-Huber K, Dettmer K, Schoeler A, Lenze D, Oefner P,</w:t>
      </w:r>
      <w:r>
        <w:t xml:space="preserve"> </w:t>
      </w:r>
      <w:r>
        <w:rPr>
          <w:bCs/>
          <w:b/>
        </w:rPr>
        <w:t xml:space="preserve">Beule D</w:t>
      </w:r>
      <w:r>
        <w:t xml:space="preserve">, Siebert R,</w:t>
      </w:r>
      <w:r>
        <w:t xml:space="preserve"> </w:t>
      </w:r>
      <w:r>
        <w:t xml:space="preserve">Capper D, Dimitrova L, Hummel M (2020).</w:t>
      </w:r>
      <w:r>
        <w:t xml:space="preserve"> </w:t>
      </w:r>
      <w:r>
        <w:t xml:space="preserve">“</w:t>
      </w:r>
      <w:r>
        <w:t xml:space="preserve">Acquired resistance to</w:t>
      </w:r>
      <w:r>
        <w:t xml:space="preserve"> </w:t>
      </w:r>
      <w:r>
        <w:t xml:space="preserve">DZNep-mediated apoptosis is associated with copy number gains of AHCY in a</w:t>
      </w:r>
      <w:r>
        <w:t xml:space="preserve"> </w:t>
      </w:r>
      <w:r>
        <w:t xml:space="preserve">B-cell lymphoma model.</w:t>
      </w:r>
      <w:r>
        <w:t xml:space="preserve">”</w:t>
      </w:r>
      <w:r>
        <w:t xml:space="preserve"> </w:t>
      </w:r>
      <w:r>
        <w:rPr>
          <w:iCs/>
          <w:i/>
        </w:rPr>
        <w:t xml:space="preserve">BMC Cancer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, 427.</w:t>
      </w:r>
      <w:r>
        <w:t xml:space="preserve"> </w:t>
      </w:r>
      <w:r>
        <w:t xml:space="preserve">doi:10.1186/s12885-020-06937-8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Foddis M, Winek K,</w:t>
      </w:r>
      <w:r>
        <w:t xml:space="preserve"> </w:t>
      </w:r>
      <w:r>
        <w:rPr>
          <w:bCs/>
          <w:b/>
        </w:rPr>
        <w:t xml:space="preserve">Bentele K</w:t>
      </w:r>
      <w:r>
        <w:t xml:space="preserve">, Mueller S, Blumenau S, Reichhart NN,</w:t>
      </w:r>
      <w:r>
        <w:t xml:space="preserve"> </w:t>
      </w:r>
      <w:r>
        <w:t xml:space="preserve">Crespo-Garcia S, Harnett D,</w:t>
      </w:r>
      <w:r>
        <w:t xml:space="preserve"> </w:t>
      </w:r>
      <w:r>
        <w:rPr>
          <w:bCs/>
          <w:b/>
        </w:rPr>
        <w:t xml:space="preserve">Ivanov A</w:t>
      </w:r>
      <w:r>
        <w:t xml:space="preserve">, Meisel A, Joussen A, Strauss O, Beule</w:t>
      </w:r>
      <w:r>
        <w:t xml:space="preserve"> </w:t>
      </w:r>
      <w:r>
        <w:t xml:space="preserve">D, Dirnagl U, Sassi C (2020).</w:t>
      </w:r>
      <w:r>
        <w:t xml:space="preserve"> </w:t>
      </w:r>
      <w:r>
        <w:t xml:space="preserve">“</w:t>
      </w:r>
      <w:r>
        <w:t xml:space="preserve">An exploratory investigation of brain</w:t>
      </w:r>
      <w:r>
        <w:t xml:space="preserve"> </w:t>
      </w:r>
      <w:r>
        <w:t xml:space="preserve">collateral circulation plasticity after cerebral ischemia in two</w:t>
      </w:r>
      <w:r>
        <w:t xml:space="preserve"> </w:t>
      </w:r>
      <w:r>
        <w:t xml:space="preserve">experimental C57BL/6 mouse models.</w:t>
      </w:r>
      <w:r>
        <w:t xml:space="preserve">”</w:t>
      </w:r>
      <w:r>
        <w:t xml:space="preserve"> </w:t>
      </w:r>
      <w:r>
        <w:rPr>
          <w:iCs/>
          <w:i/>
        </w:rPr>
        <w:t xml:space="preserve">J Cereb Blood Flow Metab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,</w:t>
      </w:r>
      <w:r>
        <w:t xml:space="preserve"> </w:t>
      </w:r>
      <w:r>
        <w:t xml:space="preserve">276-287. doi:10.1177/0271678X19827251</w:t>
      </w:r>
      <w:r>
        <w:t xml:space="preserve"> </w:t>
      </w:r>
      <w:hyperlink r:id="rId27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Messerschmidt C</w:t>
      </w:r>
      <w:r>
        <w:t xml:space="preserve">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Klinghammer K, Ochsenreither S, Treue D,</w:t>
      </w:r>
      <w:r>
        <w:t xml:space="preserve"> </w:t>
      </w:r>
      <w:r>
        <w:t xml:space="preserve">Stenzinger A, Glimm H, Fröhling S, Kindler T, Brandts C, Schulze-Osthoff K,</w:t>
      </w:r>
      <w:r>
        <w:t xml:space="preserve"> </w:t>
      </w:r>
      <w:r>
        <w:t xml:space="preserve">Weichert W, Tinhofer I, Klauschen F, Keilholz U,</w:t>
      </w:r>
      <w:r>
        <w:t xml:space="preserve"> </w:t>
      </w:r>
      <w:r>
        <w:rPr>
          <w:bCs/>
          <w:b/>
        </w:rPr>
        <w:t xml:space="preserve">Beule D</w:t>
      </w:r>
      <w:r>
        <w:t xml:space="preserve">, Rieke D (2020).</w:t>
      </w:r>
      <w:r>
        <w:t xml:space="preserve"> </w:t>
      </w:r>
      <w:r>
        <w:t xml:space="preserve">“</w:t>
      </w:r>
      <w:r>
        <w:t xml:space="preserve">Distinct immune evasion in APOBEC-enriched, HPV-negative HNSCC.</w:t>
      </w:r>
      <w:r>
        <w:t xml:space="preserve">”</w:t>
      </w:r>
      <w:r>
        <w:t xml:space="preserve"> </w:t>
      </w:r>
      <w:r>
        <w:rPr>
          <w:iCs/>
          <w:i/>
        </w:rPr>
        <w:t xml:space="preserve">Int J</w:t>
      </w:r>
      <w:r>
        <w:rPr>
          <w:iCs/>
          <w:i/>
        </w:rPr>
        <w:t xml:space="preserve"> </w:t>
      </w:r>
      <w:r>
        <w:rPr>
          <w:iCs/>
          <w:i/>
        </w:rPr>
        <w:t xml:space="preserve">Cancer</w:t>
      </w:r>
      <w:r>
        <w:t xml:space="preserve">,</w:t>
      </w:r>
      <w:r>
        <w:t xml:space="preserve"> </w:t>
      </w:r>
      <w:r>
        <w:rPr>
          <w:iCs/>
          <w:i/>
        </w:rPr>
        <w:t xml:space="preserve">147</w:t>
      </w:r>
      <w:r>
        <w:t xml:space="preserve">, 2293-2302. doi:10.1002/ijc.33123</w:t>
      </w:r>
      <w:r>
        <w:t xml:space="preserve"> </w:t>
      </w:r>
      <w:hyperlink r:id="rId28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Boschann F, Fischer-Zirnsak B, Wienker T,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Seelow D, Eichhorn</w:t>
      </w:r>
      <w:r>
        <w:t xml:space="preserve"> </w:t>
      </w:r>
      <w:r>
        <w:t xml:space="preserve">B, Döhnert S, Fahsold R, Horn D, Graul-Neumann L (2020).</w:t>
      </w:r>
      <w:r>
        <w:t xml:space="preserve"> </w:t>
      </w:r>
      <w:r>
        <w:t xml:space="preserve">“</w:t>
      </w:r>
      <w:r>
        <w:t xml:space="preserve">An intronic</w:t>
      </w:r>
      <w:r>
        <w:t xml:space="preserve"> </w:t>
      </w:r>
      <w:r>
        <w:t xml:space="preserve">splice site alteration in combination with a large deletion affecting</w:t>
      </w:r>
      <w:r>
        <w:t xml:space="preserve"> </w:t>
      </w:r>
      <w:r>
        <w:t xml:space="preserve">VPS13B (COH1) causes Cohen syndrome.</w:t>
      </w:r>
      <w:r>
        <w:t xml:space="preserve">”</w:t>
      </w:r>
      <w:r>
        <w:t xml:space="preserve"> </w:t>
      </w:r>
      <w:r>
        <w:rPr>
          <w:iCs/>
          <w:i/>
        </w:rPr>
        <w:t xml:space="preserve">Eur J Med Genet</w:t>
      </w:r>
      <w:r>
        <w:t xml:space="preserve">,</w:t>
      </w:r>
      <w:r>
        <w:t xml:space="preserve"> </w:t>
      </w:r>
      <w:r>
        <w:rPr>
          <w:iCs/>
          <w:i/>
        </w:rPr>
        <w:t xml:space="preserve">63</w:t>
      </w:r>
      <w:r>
        <w:t xml:space="preserve">, 103973.</w:t>
      </w:r>
      <w:r>
        <w:t xml:space="preserve"> </w:t>
      </w:r>
      <w:r>
        <w:t xml:space="preserve">doi:10.1016/j.ejmg.2020.103973</w:t>
      </w:r>
      <w:r>
        <w:t xml:space="preserve"> </w:t>
      </w:r>
      <w:hyperlink r:id="rId29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Rieke D, Klinghammer K,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</w:t>
      </w:r>
      <w:r>
        <w:t xml:space="preserve"> </w:t>
      </w:r>
      <w:r>
        <w:rPr>
          <w:bCs/>
          <w:b/>
        </w:rPr>
        <w:t xml:space="preserve">Blanc E</w:t>
      </w:r>
      <w:r>
        <w:t xml:space="preserve">,</w:t>
      </w:r>
      <w:r>
        <w:t xml:space="preserve"> </w:t>
      </w:r>
      <w:r>
        <w:rPr>
          <w:bCs/>
          <w:b/>
        </w:rPr>
        <w:t xml:space="preserve">Messerschmidt C</w:t>
      </w:r>
      <w:r>
        <w:t xml:space="preserve">, Jöhrens K,</w:t>
      </w:r>
      <w:r>
        <w:t xml:space="preserve"> </w:t>
      </w:r>
      <w:r>
        <w:t xml:space="preserve">Klauschen F, Tinhofer I,</w:t>
      </w:r>
      <w:r>
        <w:t xml:space="preserve"> </w:t>
      </w:r>
      <w:r>
        <w:rPr>
          <w:bCs/>
          <w:b/>
        </w:rPr>
        <w:t xml:space="preserve">Beule D</w:t>
      </w:r>
      <w:r>
        <w:t xml:space="preserve">, Keilholz U, Ochsenreither S (2020).</w:t>
      </w:r>
      <w:r>
        <w:t xml:space="preserve"> </w:t>
      </w:r>
      <w:r>
        <w:t xml:space="preserve">“</w:t>
      </w:r>
      <w:r>
        <w:t xml:space="preserve">Association of a STK11/KEAP1-Mutation Gene Expression Signature in Lung</w:t>
      </w:r>
      <w:r>
        <w:t xml:space="preserve"> </w:t>
      </w:r>
      <w:r>
        <w:t xml:space="preserve">Adenocarcinoma with Immune Desertion in Squamous Cell Carcinomas and</w:t>
      </w:r>
      <w:r>
        <w:t xml:space="preserve"> </w:t>
      </w:r>
      <w:r>
        <w:t xml:space="preserve">Mediation by NFE2L2 Deregulation.</w:t>
      </w:r>
      <w:r>
        <w:t xml:space="preserve">”</w:t>
      </w:r>
      <w:r>
        <w:t xml:space="preserve"> </w:t>
      </w:r>
      <w:r>
        <w:rPr>
          <w:iCs/>
          <w:i/>
        </w:rPr>
        <w:t xml:space="preserve">J Clin Oncol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(15_suppl),</w:t>
      </w:r>
      <w:r>
        <w:t xml:space="preserve"> </w:t>
      </w:r>
      <w:r>
        <w:t xml:space="preserve">3082-3082. doi:10.1200/JCO.2020.38.15_suppl.3082</w:t>
      </w:r>
      <w:r>
        <w:t xml:space="preserve"> </w:t>
      </w:r>
      <w:hyperlink r:id="rId30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Ehmke N, Cusmano-Ozog K, Koenig R,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Nur B, Mihci E, Babcock H,</w:t>
      </w:r>
      <w:r>
        <w:t xml:space="preserve"> </w:t>
      </w:r>
      <w:r>
        <w:t xml:space="preserve">Gonzaga-Jauregui C, Overton J, Xiao J, Martinez A, Muenke M, Balzer A,</w:t>
      </w:r>
      <w:r>
        <w:t xml:space="preserve"> </w:t>
      </w:r>
      <w:r>
        <w:t xml:space="preserve">Jochim J, El CN, Fischer-Zirnsak B, Huber C, Kornak U, Elsea S,</w:t>
      </w:r>
      <w:r>
        <w:t xml:space="preserve"> </w:t>
      </w:r>
      <w:r>
        <w:t xml:space="preserve">Cormier-Daire V, Ferreira C (2020).</w:t>
      </w:r>
      <w:r>
        <w:t xml:space="preserve"> </w:t>
      </w:r>
      <w:r>
        <w:t xml:space="preserve">“</w:t>
      </w:r>
      <w:r>
        <w:t xml:space="preserve">Biallelic variants in KYNU cause a</w:t>
      </w:r>
      <w:r>
        <w:t xml:space="preserve"> </w:t>
      </w:r>
      <w:r>
        <w:t xml:space="preserve">multisystemic syndrome with hand hyperphalangism.</w:t>
      </w:r>
      <w:r>
        <w:t xml:space="preserve">”</w:t>
      </w:r>
      <w:r>
        <w:t xml:space="preserve"> </w:t>
      </w:r>
      <w:r>
        <w:rPr>
          <w:iCs/>
          <w:i/>
        </w:rPr>
        <w:t xml:space="preserve">Bone</w:t>
      </w:r>
      <w:r>
        <w:t xml:space="preserve">,</w:t>
      </w:r>
      <w:r>
        <w:t xml:space="preserve"> </w:t>
      </w:r>
      <w:r>
        <w:rPr>
          <w:iCs/>
          <w:i/>
        </w:rPr>
        <w:t xml:space="preserve">133</w:t>
      </w:r>
      <w:r>
        <w:t xml:space="preserve">, 115219.</w:t>
      </w:r>
      <w:r>
        <w:t xml:space="preserve"> </w:t>
      </w:r>
      <w:r>
        <w:t xml:space="preserve">doi:10.1016/j.bone.2019.115219</w:t>
      </w:r>
      <w:r>
        <w:t xml:space="preserve"> </w:t>
      </w:r>
      <w:hyperlink r:id="rId31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Seidel E, Walenda G,</w:t>
      </w:r>
      <w:r>
        <w:t xml:space="preserve"> </w:t>
      </w:r>
      <w:r>
        <w:rPr>
          <w:bCs/>
          <w:b/>
        </w:rPr>
        <w:t xml:space="preserve">Messerschmidt C</w:t>
      </w:r>
      <w:r>
        <w:t xml:space="preserve">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Peitzsch M, Wallace P,</w:t>
      </w:r>
      <w:r>
        <w:t xml:space="preserve"> </w:t>
      </w:r>
      <w:r>
        <w:t xml:space="preserve">Bahethi R, Yoo T, Choi M, Schrade P, Bachmann S, Liebisch G, Eisenhofer G,</w:t>
      </w:r>
      <w:r>
        <w:t xml:space="preserve"> </w:t>
      </w:r>
      <w:r>
        <w:rPr>
          <w:bCs/>
          <w:b/>
        </w:rPr>
        <w:t xml:space="preserve">Beule D</w:t>
      </w:r>
      <w:r>
        <w:t xml:space="preserve">, Scholl U (2020).</w:t>
      </w:r>
      <w:r>
        <w:t xml:space="preserve"> </w:t>
      </w:r>
      <w:r>
        <w:t xml:space="preserve">“</w:t>
      </w:r>
      <w:r>
        <w:t xml:space="preserve">Generation and characterization of a</w:t>
      </w:r>
      <w:r>
        <w:t xml:space="preserve"> </w:t>
      </w:r>
      <w:r>
        <w:t xml:space="preserve">mitotane-resistant adrenocortical cell line.</w:t>
      </w:r>
      <w:r>
        <w:t xml:space="preserve">”</w:t>
      </w:r>
      <w:r>
        <w:t xml:space="preserve"> </w:t>
      </w:r>
      <w:r>
        <w:rPr>
          <w:iCs/>
          <w:i/>
        </w:rPr>
        <w:t xml:space="preserve">Endocr Connect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,</w:t>
      </w:r>
      <w:r>
        <w:t xml:space="preserve"> </w:t>
      </w:r>
      <w:r>
        <w:t xml:space="preserve">122-134. doi:10.1530/EC-19-0510</w:t>
      </w:r>
      <w:r>
        <w:t xml:space="preserve"> </w:t>
      </w:r>
      <w:hyperlink r:id="rId3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Melo U, Schöpflin R, Acuna-Hidalgo R, Mensah M, Fischer-Zirnsak B,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Klever M, Türkmen S, Heinrich V, Pluym I, Matoso E, Bernardo</w:t>
      </w:r>
      <w:r>
        <w:t xml:space="preserve"> </w:t>
      </w:r>
      <w:r>
        <w:t xml:space="preserve">dSS, Louro P, Hülsemann W, Cohen M, Dufke A, Latos-Bieleńska A, Vingron M,</w:t>
      </w:r>
      <w:r>
        <w:t xml:space="preserve"> </w:t>
      </w:r>
      <w:r>
        <w:t xml:space="preserve">Kalscheuer V, Quintero-Rivera F, Spielmann M, Mundlos S (2020).</w:t>
      </w:r>
      <w:r>
        <w:t xml:space="preserve"> </w:t>
      </w:r>
      <w:r>
        <w:t xml:space="preserve">“</w:t>
      </w:r>
      <w:r>
        <w:t xml:space="preserve">Hi-C</w:t>
      </w:r>
      <w:r>
        <w:t xml:space="preserve"> </w:t>
      </w:r>
      <w:r>
        <w:t xml:space="preserve">Identifies Complex Genomic Rearrangements and TAD-Shuffling in</w:t>
      </w:r>
      <w:r>
        <w:t xml:space="preserve"> </w:t>
      </w:r>
      <w:r>
        <w:t xml:space="preserve">Developmental Diseases.</w:t>
      </w:r>
      <w:r>
        <w:t xml:space="preserve">”</w:t>
      </w:r>
      <w:r>
        <w:t xml:space="preserve"> </w:t>
      </w:r>
      <w:r>
        <w:rPr>
          <w:iCs/>
          <w:i/>
        </w:rPr>
        <w:t xml:space="preserve">Am J Hum Genet</w:t>
      </w:r>
      <w:r>
        <w:t xml:space="preserve">,</w:t>
      </w:r>
      <w:r>
        <w:t xml:space="preserve"> </w:t>
      </w:r>
      <w:r>
        <w:rPr>
          <w:iCs/>
          <w:i/>
        </w:rPr>
        <w:t xml:space="preserve">106</w:t>
      </w:r>
      <w:r>
        <w:t xml:space="preserve">, 872-884.</w:t>
      </w:r>
      <w:r>
        <w:t xml:space="preserve"> </w:t>
      </w:r>
      <w:r>
        <w:t xml:space="preserve">doi:10.1016/j.ajhg.2020.04.016</w:t>
      </w:r>
      <w:r>
        <w:t xml:space="preserve"> </w:t>
      </w:r>
      <w:hyperlink r:id="rId3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Robinson P, Ravanmehr V, Jacobsen J, Danis D, Zhang X, Carmody L, Gargano</w:t>
      </w:r>
      <w:r>
        <w:t xml:space="preserve"> </w:t>
      </w:r>
      <w:r>
        <w:t xml:space="preserve">M, Thaxton C, UNC BC, Karlebach G, Reese J,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Köhler S, McMurry</w:t>
      </w:r>
      <w:r>
        <w:t xml:space="preserve"> </w:t>
      </w:r>
      <w:r>
        <w:t xml:space="preserve">J, Haendel M, Smedley D (2020).</w:t>
      </w:r>
      <w:r>
        <w:t xml:space="preserve"> </w:t>
      </w:r>
      <w:r>
        <w:t xml:space="preserve">“</w:t>
      </w:r>
      <w:r>
        <w:t xml:space="preserve">Interpretable Clinical Genomics with a</w:t>
      </w:r>
      <w:r>
        <w:t xml:space="preserve"> </w:t>
      </w:r>
      <w:r>
        <w:t xml:space="preserve">Likelihood Ratio Paradigm.</w:t>
      </w:r>
      <w:r>
        <w:t xml:space="preserve">”</w:t>
      </w:r>
      <w:r>
        <w:t xml:space="preserve"> </w:t>
      </w:r>
      <w:r>
        <w:rPr>
          <w:iCs/>
          <w:i/>
        </w:rPr>
        <w:t xml:space="preserve">Am J Hum Genet</w:t>
      </w:r>
      <w:r>
        <w:t xml:space="preserve">,</w:t>
      </w:r>
      <w:r>
        <w:t xml:space="preserve"> </w:t>
      </w:r>
      <w:r>
        <w:rPr>
          <w:iCs/>
          <w:i/>
        </w:rPr>
        <w:t xml:space="preserve">107</w:t>
      </w:r>
      <w:r>
        <w:t xml:space="preserve">, 403-417.</w:t>
      </w:r>
      <w:r>
        <w:t xml:space="preserve"> </w:t>
      </w:r>
      <w:r>
        <w:t xml:space="preserve">doi:10.1016/j.ajhg.2020.06.021</w:t>
      </w:r>
      <w:r>
        <w:t xml:space="preserve"> </w:t>
      </w:r>
      <w:hyperlink r:id="rId3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Blumenau S, Foddis M, Müller S,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</w:t>
      </w:r>
      <w:r>
        <w:t xml:space="preserve"> </w:t>
      </w:r>
      <w:r>
        <w:rPr>
          <w:bCs/>
          <w:b/>
        </w:rPr>
        <w:t xml:space="preserve">Bentele K</w:t>
      </w:r>
      <w:r>
        <w:t xml:space="preserve">, Berchtold D, Beule</w:t>
      </w:r>
      <w:r>
        <w:t xml:space="preserve"> </w:t>
      </w:r>
      <w:r>
        <w:t xml:space="preserve">D, Dirnagl U, Sassi C (2020).</w:t>
      </w:r>
      <w:r>
        <w:t xml:space="preserve"> </w:t>
      </w:r>
      <w:r>
        <w:t xml:space="preserve">“</w:t>
      </w:r>
      <w:r>
        <w:t xml:space="preserve">Investigating APOE, APP-Aβ metabolism genes</w:t>
      </w:r>
      <w:r>
        <w:t xml:space="preserve"> </w:t>
      </w:r>
      <w:r>
        <w:t xml:space="preserve">and Alzheimer’s disease GWAS hits in brain small vessel ischemic disease.</w:t>
      </w:r>
      <w:r>
        <w:t xml:space="preserve">”</w:t>
      </w:r>
      <w:r>
        <w:t xml:space="preserve"> </w:t>
      </w:r>
      <w:r>
        <w:rPr>
          <w:iCs/>
          <w:i/>
        </w:rPr>
        <w:t xml:space="preserve">Sci Rep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, 7103. doi:10.1038/s41598-020-63183-5</w:t>
      </w:r>
      <w:r>
        <w:t xml:space="preserve"> </w:t>
      </w:r>
      <w:hyperlink r:id="rId35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Quade A, Thiel A, Kurth I,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Elbracht M,</w:t>
      </w:r>
      <w:r>
        <w:t xml:space="preserve"> </w:t>
      </w:r>
      <w:r>
        <w:rPr>
          <w:bCs/>
          <w:b/>
        </w:rPr>
        <w:t xml:space="preserve">Beule D</w:t>
      </w:r>
      <w:r>
        <w:t xml:space="preserve">, Eggermann K,</w:t>
      </w:r>
      <w:r>
        <w:t xml:space="preserve"> </w:t>
      </w:r>
      <w:r>
        <w:t xml:space="preserve">Scholl U, Häusler M (2020).</w:t>
      </w:r>
      <w:r>
        <w:t xml:space="preserve"> </w:t>
      </w:r>
      <w:r>
        <w:t xml:space="preserve">“</w:t>
      </w:r>
      <w:r>
        <w:t xml:space="preserve">Paroxysmal tonic upgaze: A heterogeneous</w:t>
      </w:r>
      <w:r>
        <w:t xml:space="preserve"> </w:t>
      </w:r>
      <w:r>
        <w:t xml:space="preserve">clinical condition responsive to carbonic anhydrase inhibition.</w:t>
      </w:r>
      <w:r>
        <w:t xml:space="preserve">”</w:t>
      </w:r>
      <w:r>
        <w:t xml:space="preserve"> </w:t>
      </w:r>
      <w:r>
        <w:rPr>
          <w:iCs/>
          <w:i/>
        </w:rPr>
        <w:t xml:space="preserve">Eur J</w:t>
      </w:r>
      <w:r>
        <w:rPr>
          <w:iCs/>
          <w:i/>
        </w:rPr>
        <w:t xml:space="preserve"> </w:t>
      </w:r>
      <w:r>
        <w:rPr>
          <w:iCs/>
          <w:i/>
        </w:rPr>
        <w:t xml:space="preserve">Paediatr Neurol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, 181-186. doi:10.1016/j.ejpn.2019.11.002</w:t>
      </w:r>
      <w:r>
        <w:t xml:space="preserve"> </w:t>
      </w:r>
      <w:hyperlink r:id="rId3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Thole T, Toedling J, Sprüssel A, Pfeil S, Savelyeva L, Capper D,</w:t>
      </w:r>
      <w:r>
        <w:t xml:space="preserve"> </w:t>
      </w:r>
      <w:r>
        <w:rPr>
          <w:bCs/>
          <w:b/>
        </w:rPr>
        <w:t xml:space="preserve">Messerschmidt C</w:t>
      </w:r>
      <w:r>
        <w:t xml:space="preserve">,</w:t>
      </w:r>
      <w:r>
        <w:t xml:space="preserve"> </w:t>
      </w:r>
      <w:r>
        <w:rPr>
          <w:bCs/>
          <w:b/>
        </w:rPr>
        <w:t xml:space="preserve">Beule D</w:t>
      </w:r>
      <w:r>
        <w:t xml:space="preserve">, Groeneveld-Krentz S, Eckert C, Gambara G, Henssen</w:t>
      </w:r>
      <w:r>
        <w:t xml:space="preserve"> </w:t>
      </w:r>
      <w:r>
        <w:t xml:space="preserve">A, Finkler S, Schulte J, Sieber A, Bluethgen N, Regenbrecht C, Künkele A,</w:t>
      </w:r>
      <w:r>
        <w:t xml:space="preserve"> </w:t>
      </w:r>
      <w:r>
        <w:t xml:space="preserve">Lodrini M, Eggert A, Deubzer H (2020).</w:t>
      </w:r>
      <w:r>
        <w:t xml:space="preserve"> </w:t>
      </w:r>
      <w:r>
        <w:t xml:space="preserve">“</w:t>
      </w:r>
      <w:r>
        <w:t xml:space="preserve">Reflection of neuroblastoma</w:t>
      </w:r>
      <w:r>
        <w:t xml:space="preserve"> </w:t>
      </w:r>
      <w:r>
        <w:t xml:space="preserve">intratumor heterogeneity in the new OHC-NB1 disease model.</w:t>
      </w:r>
      <w:r>
        <w:t xml:space="preserve">”</w:t>
      </w:r>
      <w:r>
        <w:t xml:space="preserve"> </w:t>
      </w:r>
      <w:r>
        <w:rPr>
          <w:iCs/>
          <w:i/>
        </w:rPr>
        <w:t xml:space="preserve">Int J Cancer</w:t>
      </w:r>
      <w:r>
        <w:t xml:space="preserve">,</w:t>
      </w:r>
      <w:r>
        <w:t xml:space="preserve"> </w:t>
      </w:r>
      <w:r>
        <w:rPr>
          <w:iCs/>
          <w:i/>
        </w:rPr>
        <w:t xml:space="preserve">146</w:t>
      </w:r>
      <w:r>
        <w:t xml:space="preserve">, 1031-1041. doi:10.1002/ijc.32572</w:t>
      </w:r>
      <w:r>
        <w:t xml:space="preserve"> </w:t>
      </w:r>
      <w:hyperlink r:id="rId37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Lamping M,</w:t>
      </w:r>
      <w:r>
        <w:t xml:space="preserve"> </w:t>
      </w:r>
      <w:r>
        <w:rPr>
          <w:bCs/>
          <w:b/>
        </w:rPr>
        <w:t xml:space="preserve">Benary M</w:t>
      </w:r>
      <w:r>
        <w:t xml:space="preserve">, Leyvraz S,</w:t>
      </w:r>
      <w:r>
        <w:t xml:space="preserve"> </w:t>
      </w:r>
      <w:r>
        <w:rPr>
          <w:bCs/>
          <w:b/>
        </w:rPr>
        <w:t xml:space="preserve">Messerschmidt C</w:t>
      </w:r>
      <w:r>
        <w:t xml:space="preserve">,</w:t>
      </w:r>
      <w:r>
        <w:t xml:space="preserve"> </w:t>
      </w:r>
      <w:r>
        <w:rPr>
          <w:bCs/>
          <w:b/>
        </w:rPr>
        <w:t xml:space="preserve">Blanc E</w:t>
      </w:r>
      <w:r>
        <w:t xml:space="preserve">, Kessler T,</w:t>
      </w:r>
      <w:r>
        <w:t xml:space="preserve"> </w:t>
      </w:r>
      <w:r>
        <w:t xml:space="preserve">Schütte M, Lenze D, Jöhrens K, Burock S, Klinghammer K, Ochsenreither S,</w:t>
      </w:r>
      <w:r>
        <w:t xml:space="preserve"> </w:t>
      </w:r>
      <w:r>
        <w:t xml:space="preserve">Sers C, Schäfer R, Tinhofer I,</w:t>
      </w:r>
      <w:r>
        <w:t xml:space="preserve"> </w:t>
      </w:r>
      <w:r>
        <w:rPr>
          <w:bCs/>
          <w:b/>
        </w:rPr>
        <w:t xml:space="preserve">Beule D</w:t>
      </w:r>
      <w:r>
        <w:t xml:space="preserve">, Klauschen F, Yaspo M, Keilholz U,</w:t>
      </w:r>
      <w:r>
        <w:t xml:space="preserve"> </w:t>
      </w:r>
      <w:r>
        <w:t xml:space="preserve">Rieke D (2020).</w:t>
      </w:r>
      <w:r>
        <w:t xml:space="preserve"> </w:t>
      </w:r>
      <w:r>
        <w:t xml:space="preserve">“</w:t>
      </w:r>
      <w:r>
        <w:t xml:space="preserve">Support of a molecular tumour board by an evidence-based</w:t>
      </w:r>
      <w:r>
        <w:t xml:space="preserve"> </w:t>
      </w:r>
      <w:r>
        <w:t xml:space="preserve">decision management system for precision oncology.</w:t>
      </w:r>
      <w:r>
        <w:t xml:space="preserve">”</w:t>
      </w:r>
      <w:r>
        <w:t xml:space="preserve"> </w:t>
      </w:r>
      <w:r>
        <w:rPr>
          <w:iCs/>
          <w:i/>
        </w:rPr>
        <w:t xml:space="preserve">Eur J Cancer</w:t>
      </w:r>
      <w:r>
        <w:t xml:space="preserve">,</w:t>
      </w:r>
      <w:r>
        <w:t xml:space="preserve"> </w:t>
      </w:r>
      <w:r>
        <w:rPr>
          <w:iCs/>
          <w:i/>
        </w:rPr>
        <w:t xml:space="preserve">127</w:t>
      </w:r>
      <w:r>
        <w:t xml:space="preserve">,</w:t>
      </w:r>
      <w:r>
        <w:t xml:space="preserve"> </w:t>
      </w:r>
      <w:r>
        <w:t xml:space="preserve">41-51. doi:10.1016/j.ejca.2019.12.017</w:t>
      </w:r>
      <w:r>
        <w:t xml:space="preserve"> </w:t>
      </w:r>
      <w:hyperlink r:id="rId38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Praktiknjo S,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Zhu Q, Fang L, Liu H, Quinn H, Stoeckius M,</w:t>
      </w:r>
      <w:r>
        <w:t xml:space="preserve"> </w:t>
      </w:r>
      <w:r>
        <w:t xml:space="preserve">Kocks C, Birchmeier W, Rajewsky N (2020).</w:t>
      </w:r>
      <w:r>
        <w:t xml:space="preserve"> </w:t>
      </w:r>
      <w:r>
        <w:t xml:space="preserve">“</w:t>
      </w:r>
      <w:r>
        <w:t xml:space="preserve">Tracing tumorigenesis in a solid</w:t>
      </w:r>
      <w:r>
        <w:t xml:space="preserve"> </w:t>
      </w:r>
      <w:r>
        <w:t xml:space="preserve">tumor model at single-cell resolution.</w:t>
      </w:r>
      <w:r>
        <w:t xml:space="preserve">”</w:t>
      </w:r>
      <w:r>
        <w:t xml:space="preserve"> </w:t>
      </w:r>
      <w:r>
        <w:rPr>
          <w:iCs/>
          <w:i/>
        </w:rPr>
        <w:t xml:space="preserve">Nat Commun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, 991.</w:t>
      </w:r>
      <w:r>
        <w:t xml:space="preserve"> </w:t>
      </w:r>
      <w:r>
        <w:t xml:space="preserve">doi:10.1038/s41467-020-14777-0</w:t>
      </w:r>
      <w:r>
        <w:t xml:space="preserve"> </w:t>
      </w:r>
      <w:hyperlink r:id="rId39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Suter A, Santos-Simarro F, Toerring P, Abad PA, Ramos-Mejia R, Heath K,</w:t>
      </w:r>
      <w:r>
        <w:t xml:space="preserve"> </w:t>
      </w:r>
      <w:r>
        <w:t xml:space="preserve">Huckstadt V, Parrón-Pajares M, Mensah M, Hülsemann W,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Mundlos</w:t>
      </w:r>
      <w:r>
        <w:t xml:space="preserve"> </w:t>
      </w:r>
      <w:r>
        <w:t xml:space="preserve">S, Kornak U, Bartsch O, Ehmke N (2020).</w:t>
      </w:r>
      <w:r>
        <w:t xml:space="preserve"> </w:t>
      </w:r>
      <w:r>
        <w:t xml:space="preserve">“</w:t>
      </w:r>
      <w:r>
        <w:t xml:space="preserve">Variable pulmonary manifestations</w:t>
      </w:r>
      <w:r>
        <w:t xml:space="preserve"> </w:t>
      </w:r>
      <w:r>
        <w:t xml:space="preserve">in Chitayat syndrome: Six additional affected individuals.</w:t>
      </w:r>
      <w:r>
        <w:t xml:space="preserve">”</w:t>
      </w:r>
      <w:r>
        <w:t xml:space="preserve"> </w:t>
      </w:r>
      <w:r>
        <w:rPr>
          <w:iCs/>
          <w:i/>
        </w:rPr>
        <w:t xml:space="preserve">Am J Med Genet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t xml:space="preserve">,</w:t>
      </w:r>
      <w:r>
        <w:t xml:space="preserve"> </w:t>
      </w:r>
      <w:r>
        <w:rPr>
          <w:iCs/>
          <w:i/>
        </w:rPr>
        <w:t xml:space="preserve">182</w:t>
      </w:r>
      <w:r>
        <w:t xml:space="preserve">, 2068-2076. doi:10.1002/ajmg.a.61735</w:t>
      </w:r>
      <w:r>
        <w:t xml:space="preserve"> </w:t>
      </w:r>
      <w:hyperlink r:id="rId40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Bockstahler M, Fischer A, Goetzke C, Neumaier H, Sauter M, Kespohl M,</w:t>
      </w:r>
      <w:r>
        <w:t xml:space="preserve"> </w:t>
      </w:r>
      <w:r>
        <w:t xml:space="preserve">Müller A, Meckes C, Salbach C, Schenk M, Heuser A, Landmesser U,</w:t>
      </w:r>
      <w:r>
        <w:t xml:space="preserve"> </w:t>
      </w:r>
      <w:r>
        <w:rPr>
          <w:bCs/>
          <w:b/>
        </w:rPr>
        <w:t xml:space="preserve">Weiner J</w:t>
      </w:r>
      <w:r>
        <w:t xml:space="preserve">,</w:t>
      </w:r>
      <w:r>
        <w:t xml:space="preserve"> </w:t>
      </w:r>
      <w:r>
        <w:t xml:space="preserve">Meder B, Lehmann L, Kratzer A, Klingel K, Katus H, Kaya Z, Beling A (2020).</w:t>
      </w:r>
      <w:r>
        <w:t xml:space="preserve"> </w:t>
      </w:r>
      <w:r>
        <w:t xml:space="preserve">“</w:t>
      </w:r>
      <w:r>
        <w:t xml:space="preserve">Heart-Specific Immune Responses in an Animal Model of Autoimmune-Related</w:t>
      </w:r>
      <w:r>
        <w:t xml:space="preserve"> </w:t>
      </w:r>
      <w:r>
        <w:t xml:space="preserve">Myocarditis Mitigated by an Immunoproteasome Inhibitor and Genetic</w:t>
      </w:r>
      <w:r>
        <w:t xml:space="preserve"> </w:t>
      </w:r>
      <w:r>
        <w:t xml:space="preserve">Ablation.</w:t>
      </w:r>
      <w:r>
        <w:t xml:space="preserve">”</w:t>
      </w:r>
      <w:r>
        <w:t xml:space="preserve"> </w:t>
      </w:r>
      <w:r>
        <w:rPr>
          <w:iCs/>
          <w:i/>
        </w:rPr>
        <w:t xml:space="preserve">Circulation</w:t>
      </w:r>
      <w:r>
        <w:t xml:space="preserve">,</w:t>
      </w:r>
      <w:r>
        <w:t xml:space="preserve"> </w:t>
      </w:r>
      <w:r>
        <w:rPr>
          <w:iCs/>
          <w:i/>
        </w:rPr>
        <w:t xml:space="preserve">141</w:t>
      </w:r>
      <w:r>
        <w:t xml:space="preserve">, 1885-1902.</w:t>
      </w:r>
      <w:r>
        <w:t xml:space="preserve"> </w:t>
      </w:r>
      <w:r>
        <w:t xml:space="preserve">doi:10.1161/CIRCULATIONAHA.119.043171</w:t>
      </w:r>
      <w:r>
        <w:t xml:space="preserve"> </w:t>
      </w:r>
      <w:hyperlink r:id="rId41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Krishnamoorthy G, Kaiser P, Abu AU,</w:t>
      </w:r>
      <w:r>
        <w:t xml:space="preserve"> </w:t>
      </w:r>
      <w:r>
        <w:rPr>
          <w:bCs/>
          <w:b/>
        </w:rPr>
        <w:t xml:space="preserve">Weiner J</w:t>
      </w:r>
      <w:r>
        <w:t xml:space="preserve">3, Moura-Alves P, Brinkmann V,</w:t>
      </w:r>
      <w:r>
        <w:t xml:space="preserve"> </w:t>
      </w:r>
      <w:r>
        <w:t xml:space="preserve">Kaufmann S (2020).</w:t>
      </w:r>
      <w:r>
        <w:t xml:space="preserve"> </w:t>
      </w:r>
      <w:r>
        <w:t xml:space="preserve">“</w:t>
      </w:r>
      <w:r>
        <w:t xml:space="preserve">FX11 limits Mycobacterium tuberculosis growth and</w:t>
      </w:r>
      <w:r>
        <w:t xml:space="preserve"> </w:t>
      </w:r>
      <w:r>
        <w:t xml:space="preserve">potentiates bactericidal activity of isoniazid through host-directed</w:t>
      </w:r>
      <w:r>
        <w:t xml:space="preserve"> </w:t>
      </w:r>
      <w:r>
        <w:t xml:space="preserve">activity.</w:t>
      </w:r>
      <w:r>
        <w:t xml:space="preserve">”</w:t>
      </w:r>
      <w:r>
        <w:t xml:space="preserve"> </w:t>
      </w:r>
      <w:r>
        <w:rPr>
          <w:iCs/>
          <w:i/>
        </w:rPr>
        <w:t xml:space="preserve">Dis Model Mech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doi:10.1242/dmm.041954</w:t>
      </w:r>
      <w:r>
        <w:t xml:space="preserve"> </w:t>
      </w:r>
      <w:hyperlink r:id="rId4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Tregoning J,</w:t>
      </w:r>
      <w:r>
        <w:t xml:space="preserve"> </w:t>
      </w:r>
      <w:r>
        <w:rPr>
          <w:bCs/>
          <w:b/>
        </w:rPr>
        <w:t xml:space="preserve">Weiner J</w:t>
      </w:r>
      <w:r>
        <w:t xml:space="preserve">, Cizmeci D, Hake D, Maertzdorf J, Kaufmann S,</w:t>
      </w:r>
      <w:r>
        <w:t xml:space="preserve"> </w:t>
      </w:r>
      <w:r>
        <w:t xml:space="preserve">Leroux-Roels G, Maes C, Aerssens A, Calvert A, Jones C (2020).</w:t>
      </w:r>
      <w:r>
        <w:t xml:space="preserve"> </w:t>
      </w:r>
      <w:r>
        <w:t xml:space="preserve">“</w:t>
      </w:r>
      <w:r>
        <w:t xml:space="preserve">Pregnancy</w:t>
      </w:r>
      <w:r>
        <w:t xml:space="preserve"> </w:t>
      </w:r>
      <w:r>
        <w:t xml:space="preserve">has a minimal impact on the acute transcriptional signature to</w:t>
      </w:r>
      <w:r>
        <w:t xml:space="preserve"> </w:t>
      </w:r>
      <w:r>
        <w:t xml:space="preserve">vaccination.</w:t>
      </w:r>
      <w:r>
        <w:t xml:space="preserve">”</w:t>
      </w:r>
      <w:r>
        <w:t xml:space="preserve"> </w:t>
      </w:r>
      <w:r>
        <w:rPr>
          <w:iCs/>
          <w:i/>
        </w:rPr>
        <w:t xml:space="preserve">NPJ Vaccines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, 29. doi:10.1038/s41541-020-0177-6</w:t>
      </w:r>
      <w:r>
        <w:t xml:space="preserve"> </w:t>
      </w:r>
      <w:hyperlink r:id="rId4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Weiner J</w:t>
      </w:r>
      <w:r>
        <w:t xml:space="preserve">, Domaszewska T, Donkor S, Kaufmann S, Hill P, Sutherland J (2020).</w:t>
      </w:r>
      <w:r>
        <w:t xml:space="preserve"> </w:t>
      </w:r>
      <w:r>
        <w:t xml:space="preserve">“</w:t>
      </w:r>
      <w:r>
        <w:t xml:space="preserve">Changes in Transcript, Metabolite, and Antibody Reactivity During the</w:t>
      </w:r>
      <w:r>
        <w:t xml:space="preserve"> </w:t>
      </w:r>
      <w:r>
        <w:t xml:space="preserve">Early Protective Immune Response in Humans to Mycobacterium tuberculosis</w:t>
      </w:r>
      <w:r>
        <w:t xml:space="preserve"> </w:t>
      </w:r>
      <w:r>
        <w:t xml:space="preserve">Infection.</w:t>
      </w:r>
      <w:r>
        <w:t xml:space="preserve">”</w:t>
      </w:r>
      <w:r>
        <w:t xml:space="preserve"> </w:t>
      </w:r>
      <w:r>
        <w:rPr>
          <w:iCs/>
          <w:i/>
        </w:rPr>
        <w:t xml:space="preserve">Clin Infect Dis</w:t>
      </w:r>
      <w:r>
        <w:t xml:space="preserve">,</w:t>
      </w:r>
      <w:r>
        <w:t xml:space="preserve"> </w:t>
      </w:r>
      <w:r>
        <w:rPr>
          <w:iCs/>
          <w:i/>
        </w:rPr>
        <w:t xml:space="preserve">71</w:t>
      </w:r>
      <w:r>
        <w:t xml:space="preserve">, 30-40. doi:10.1093/cid/ciz785</w:t>
      </w:r>
      <w:r>
        <w:t xml:space="preserve"> </w:t>
      </w:r>
      <w:hyperlink r:id="rId4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Win Z,</w:t>
      </w:r>
      <w:r>
        <w:t xml:space="preserve"> </w:t>
      </w:r>
      <w:r>
        <w:rPr>
          <w:bCs/>
          <w:b/>
        </w:rPr>
        <w:t xml:space="preserve">Weiner RJ</w:t>
      </w:r>
      <w:r>
        <w:t xml:space="preserve">, Listanco A, Patel N, Sharma R, Greenwood A, Maertzdorf J,</w:t>
      </w:r>
      <w:r>
        <w:t xml:space="preserve"> </w:t>
      </w:r>
      <w:r>
        <w:t xml:space="preserve">Mollenkopf H, Pizzoferro K, Cole T, Bodinham C, Kaufmann S, Denoel P, Del</w:t>
      </w:r>
      <w:r>
        <w:t xml:space="preserve"> </w:t>
      </w:r>
      <w:r>
        <w:t xml:space="preserve">GG, Lewis D (2020).</w:t>
      </w:r>
      <w:r>
        <w:t xml:space="preserve"> </w:t>
      </w:r>
      <w:r>
        <w:t xml:space="preserve">“</w:t>
      </w:r>
      <w:r>
        <w:t xml:space="preserve">Systematic Evaluation of Kinetics and Distribution of</w:t>
      </w:r>
      <w:r>
        <w:t xml:space="preserve"> </w:t>
      </w:r>
      <w:r>
        <w:t xml:space="preserve">Muscle and Lymph Node Activation Measured by (18)F-FDG- and</w:t>
      </w:r>
      <w:r>
        <w:t xml:space="preserve"> </w:t>
      </w:r>
      <w:r>
        <w:t xml:space="preserve">(11)C-PBR28-PET/CT Imaging, and Whole Blood and Muscle Transcriptomics</w:t>
      </w:r>
      <w:r>
        <w:t xml:space="preserve"> </w:t>
      </w:r>
      <w:r>
        <w:t xml:space="preserve">After Immunization of Healthy Humans With Adjuvanted and Unadjuvanted</w:t>
      </w:r>
      <w:r>
        <w:t xml:space="preserve"> </w:t>
      </w:r>
      <w:r>
        <w:t xml:space="preserve">Vaccines.</w:t>
      </w:r>
      <w:r>
        <w:t xml:space="preserve">”</w:t>
      </w:r>
      <w:r>
        <w:t xml:space="preserve"> </w:t>
      </w:r>
      <w:r>
        <w:rPr>
          <w:iCs/>
          <w:i/>
        </w:rPr>
        <w:t xml:space="preserve">Front Immunol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, 613496. doi:10.3389/fimmu.2020.613496</w:t>
      </w:r>
      <w:r>
        <w:t xml:space="preserve"> </w:t>
      </w:r>
      <w:hyperlink r:id="rId45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Mochel F, Rastetter A, Ceulemans B, Platzer K, Yang S, Shinde D, Helbig K,</w:t>
      </w:r>
      <w:r>
        <w:t xml:space="preserve"> </w:t>
      </w:r>
      <w:r>
        <w:t xml:space="preserve">Lopergolo D, Mari F, Renieri A, Benetti E, Canitano R, Waisfisz Q, Plomp A,</w:t>
      </w:r>
      <w:r>
        <w:t xml:space="preserve"> </w:t>
      </w:r>
      <w:r>
        <w:t xml:space="preserve">Huisman S, Wilson G, Cathey S, Louie R, Gaudio D, Waggoner D, Kacker S,</w:t>
      </w:r>
      <w:r>
        <w:t xml:space="preserve"> </w:t>
      </w:r>
      <w:r>
        <w:t xml:space="preserve">Nugent K, Roeder E, Bruel A, Thevenon J, Ehmke N, Horn D,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</w:t>
      </w:r>
      <w:r>
        <w:t xml:space="preserve"> </w:t>
      </w:r>
      <w:r>
        <w:t xml:space="preserve">Kaiser F, Kamphausen S, Abou JR, Weckhuysen S, Dalle C, Depienne C (2020).</w:t>
      </w:r>
      <w:r>
        <w:t xml:space="preserve"> </w:t>
      </w:r>
      <w:r>
        <w:t xml:space="preserve">“</w:t>
      </w:r>
      <w:r>
        <w:t xml:space="preserve">Variants in the SK2 channel gene (KCNN2) lead to dominant</w:t>
      </w:r>
      <w:r>
        <w:t xml:space="preserve"> </w:t>
      </w:r>
      <w:r>
        <w:t xml:space="preserve">neurodevelopmental movement disorders.</w:t>
      </w:r>
      <w:r>
        <w:t xml:space="preserve">”</w:t>
      </w:r>
      <w:r>
        <w:t xml:space="preserve"> </w:t>
      </w:r>
      <w:r>
        <w:rPr>
          <w:iCs/>
          <w:i/>
        </w:rPr>
        <w:t xml:space="preserve">Brain</w:t>
      </w:r>
      <w:r>
        <w:t xml:space="preserve">,</w:t>
      </w:r>
      <w:r>
        <w:t xml:space="preserve"> </w:t>
      </w:r>
      <w:r>
        <w:rPr>
          <w:iCs/>
          <w:i/>
        </w:rPr>
        <w:t xml:space="preserve">143</w:t>
      </w:r>
      <w:r>
        <w:t xml:space="preserve">(12), 3564-3573.</w:t>
      </w:r>
      <w:r>
        <w:t xml:space="preserve"> </w:t>
      </w:r>
      <w:r>
        <w:t xml:space="preserve">doi:10.1093/brain/awaa346</w:t>
      </w:r>
      <w:r>
        <w:t xml:space="preserve"> </w:t>
      </w:r>
      <w:hyperlink r:id="rId4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Foddis M, Winek K,</w:t>
      </w:r>
      <w:r>
        <w:t xml:space="preserve"> </w:t>
      </w:r>
      <w:r>
        <w:rPr>
          <w:bCs/>
          <w:b/>
        </w:rPr>
        <w:t xml:space="preserve">Bentele K</w:t>
      </w:r>
      <w:r>
        <w:t xml:space="preserve">, Mueller S, Blumenau S, Reichhart NN,</w:t>
      </w:r>
      <w:r>
        <w:t xml:space="preserve"> </w:t>
      </w:r>
      <w:r>
        <w:t xml:space="preserve">Crespo-Garcia S, Harnett D,</w:t>
      </w:r>
      <w:r>
        <w:t xml:space="preserve"> </w:t>
      </w:r>
      <w:r>
        <w:rPr>
          <w:bCs/>
          <w:b/>
        </w:rPr>
        <w:t xml:space="preserve">Ivanov A</w:t>
      </w:r>
      <w:r>
        <w:t xml:space="preserve">, Meisel A, Joussen A, Strauss O, Beule</w:t>
      </w:r>
      <w:r>
        <w:t xml:space="preserve"> </w:t>
      </w:r>
      <w:r>
        <w:t xml:space="preserve">D, Dirnagl U, Sassi C (2020).</w:t>
      </w:r>
      <w:r>
        <w:t xml:space="preserve"> </w:t>
      </w:r>
      <w:r>
        <w:t xml:space="preserve">“</w:t>
      </w:r>
      <w:r>
        <w:t xml:space="preserve">An exploratory investigation of brain</w:t>
      </w:r>
      <w:r>
        <w:t xml:space="preserve"> </w:t>
      </w:r>
      <w:r>
        <w:t xml:space="preserve">collateral circulation plasticity after cerebral ischemia in two</w:t>
      </w:r>
      <w:r>
        <w:t xml:space="preserve"> </w:t>
      </w:r>
      <w:r>
        <w:t xml:space="preserve">experimental C57BL/6 mouse models.</w:t>
      </w:r>
      <w:r>
        <w:t xml:space="preserve">”</w:t>
      </w:r>
      <w:r>
        <w:t xml:space="preserve"> </w:t>
      </w:r>
      <w:r>
        <w:rPr>
          <w:iCs/>
          <w:i/>
        </w:rPr>
        <w:t xml:space="preserve">J Cereb Blood Flow Metab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,</w:t>
      </w:r>
      <w:r>
        <w:t xml:space="preserve"> </w:t>
      </w:r>
      <w:r>
        <w:t xml:space="preserve">276-287. doi:10.1177/0271678X19827251</w:t>
      </w:r>
      <w:r>
        <w:t xml:space="preserve"> </w:t>
      </w:r>
      <w:hyperlink r:id="rId27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Quade A, Thiel A, Kurth I,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Elbracht M,</w:t>
      </w:r>
      <w:r>
        <w:t xml:space="preserve"> </w:t>
      </w:r>
      <w:r>
        <w:rPr>
          <w:bCs/>
          <w:b/>
        </w:rPr>
        <w:t xml:space="preserve">Beule D</w:t>
      </w:r>
      <w:r>
        <w:t xml:space="preserve">, Eggermann K,</w:t>
      </w:r>
      <w:r>
        <w:t xml:space="preserve"> </w:t>
      </w:r>
      <w:r>
        <w:t xml:space="preserve">Scholl U, Häusler M (2020).</w:t>
      </w:r>
      <w:r>
        <w:t xml:space="preserve"> </w:t>
      </w:r>
      <w:r>
        <w:t xml:space="preserve">“</w:t>
      </w:r>
      <w:r>
        <w:t xml:space="preserve">Paroxysmal tonic upgaze: A heterogeneous</w:t>
      </w:r>
      <w:r>
        <w:t xml:space="preserve"> </w:t>
      </w:r>
      <w:r>
        <w:t xml:space="preserve">clinical condition responsive to carbonic anhydrase inhibition.</w:t>
      </w:r>
      <w:r>
        <w:t xml:space="preserve">”</w:t>
      </w:r>
      <w:r>
        <w:t xml:space="preserve"> </w:t>
      </w:r>
      <w:r>
        <w:rPr>
          <w:iCs/>
          <w:i/>
        </w:rPr>
        <w:t xml:space="preserve">Eur J</w:t>
      </w:r>
      <w:r>
        <w:rPr>
          <w:iCs/>
          <w:i/>
        </w:rPr>
        <w:t xml:space="preserve"> </w:t>
      </w:r>
      <w:r>
        <w:rPr>
          <w:iCs/>
          <w:i/>
        </w:rPr>
        <w:t xml:space="preserve">Paediatr Neurol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, 181-186. doi:10.1016/j.ejpn.2019.11.002</w:t>
      </w:r>
      <w:r>
        <w:t xml:space="preserve"> </w:t>
      </w:r>
      <w:hyperlink r:id="rId36">
        <w:r>
          <w:rPr>
            <w:rStyle w:val="Hyperlink"/>
          </w:rPr>
          <w:t xml:space="preserve">Link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edoc.mdc-berlin.de/19748/1/19748oa.pdf" TargetMode="External" /><Relationship Type="http://schemas.openxmlformats.org/officeDocument/2006/relationships/hyperlink" Id="rId40" Target="https://doi.org/10.1002/ajmg.a.61735" TargetMode="External" /><Relationship Type="http://schemas.openxmlformats.org/officeDocument/2006/relationships/hyperlink" Id="rId37" Target="https://doi.org/10.1002/ijc.32572" TargetMode="External" /><Relationship Type="http://schemas.openxmlformats.org/officeDocument/2006/relationships/hyperlink" Id="rId28" Target="https://doi.org/10.1002/ijc.33123" TargetMode="External" /><Relationship Type="http://schemas.openxmlformats.org/officeDocument/2006/relationships/hyperlink" Id="rId33" Target="https://doi.org/10.1016/j.ajhg.2020.04.016" TargetMode="External" /><Relationship Type="http://schemas.openxmlformats.org/officeDocument/2006/relationships/hyperlink" Id="rId34" Target="https://doi.org/10.1016/j.ajhg.2020.06.021" TargetMode="External" /><Relationship Type="http://schemas.openxmlformats.org/officeDocument/2006/relationships/hyperlink" Id="rId31" Target="https://doi.org/10.1016/j.bone.2019.115219" TargetMode="External" /><Relationship Type="http://schemas.openxmlformats.org/officeDocument/2006/relationships/hyperlink" Id="rId38" Target="https://doi.org/10.1016/j.ejca.2019.12.017" TargetMode="External" /><Relationship Type="http://schemas.openxmlformats.org/officeDocument/2006/relationships/hyperlink" Id="rId29" Target="https://doi.org/10.1016/j.ejmg.2020.103973" TargetMode="External" /><Relationship Type="http://schemas.openxmlformats.org/officeDocument/2006/relationships/hyperlink" Id="rId36" Target="https://doi.org/10.1016/j.ejpn.2019.11.002" TargetMode="External" /><Relationship Type="http://schemas.openxmlformats.org/officeDocument/2006/relationships/hyperlink" Id="rId21" Target="https://doi.org/10.1021/acs.analchem.0c00136" TargetMode="External" /><Relationship Type="http://schemas.openxmlformats.org/officeDocument/2006/relationships/hyperlink" Id="rId39" Target="https://doi.org/10.1038/s41467-020-14777-0" TargetMode="External" /><Relationship Type="http://schemas.openxmlformats.org/officeDocument/2006/relationships/hyperlink" Id="rId43" Target="https://doi.org/10.1038/s41541-020-0177-6" TargetMode="External" /><Relationship Type="http://schemas.openxmlformats.org/officeDocument/2006/relationships/hyperlink" Id="rId22" Target="https://doi.org/10.1038/s41588-019-0547-z" TargetMode="External" /><Relationship Type="http://schemas.openxmlformats.org/officeDocument/2006/relationships/hyperlink" Id="rId35" Target="https://doi.org/10.1038/s41598-020-63183-5" TargetMode="External" /><Relationship Type="http://schemas.openxmlformats.org/officeDocument/2006/relationships/hyperlink" Id="rId46" Target="https://doi.org/10.1093/brain/awaa346" TargetMode="External" /><Relationship Type="http://schemas.openxmlformats.org/officeDocument/2006/relationships/hyperlink" Id="rId44" Target="https://doi.org/10.1093/cid/ciz785" TargetMode="External" /><Relationship Type="http://schemas.openxmlformats.org/officeDocument/2006/relationships/hyperlink" Id="rId23" Target="https://doi.org/10.1093/nar/gkaa241" TargetMode="External" /><Relationship Type="http://schemas.openxmlformats.org/officeDocument/2006/relationships/hyperlink" Id="rId41" Target="https://doi.org/10.1161/CIRCULATIONAHA.119.043171" TargetMode="External" /><Relationship Type="http://schemas.openxmlformats.org/officeDocument/2006/relationships/hyperlink" Id="rId27" Target="https://doi.org/10.1177/0271678X19827251" TargetMode="External" /><Relationship Type="http://schemas.openxmlformats.org/officeDocument/2006/relationships/hyperlink" Id="rId26" Target="https://doi.org/10.1186/s12885-020-06937-8" TargetMode="External" /><Relationship Type="http://schemas.openxmlformats.org/officeDocument/2006/relationships/hyperlink" Id="rId30" Target="https://doi.org/10.1200/JCO.2020.38.15_suppl.3082" TargetMode="External" /><Relationship Type="http://schemas.openxmlformats.org/officeDocument/2006/relationships/hyperlink" Id="rId42" Target="https://doi.org/10.1242/dmm.041954" TargetMode="External" /><Relationship Type="http://schemas.openxmlformats.org/officeDocument/2006/relationships/hyperlink" Id="rId32" Target="https://doi.org/10.1530/EC-19-0510" TargetMode="External" /><Relationship Type="http://schemas.openxmlformats.org/officeDocument/2006/relationships/hyperlink" Id="rId45" Target="https://doi.org/10.3389/fimmu.2020.613496" TargetMode="External" /><Relationship Type="http://schemas.openxmlformats.org/officeDocument/2006/relationships/hyperlink" Id="rId20" Target="https://doi.org/10.3390/ijms21217944" TargetMode="External" /><Relationship Type="http://schemas.openxmlformats.org/officeDocument/2006/relationships/hyperlink" Id="rId24" Target="https://doi.org/10.7717/peerj.86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edoc.mdc-berlin.de/19748/1/19748oa.pdf" TargetMode="External" /><Relationship Type="http://schemas.openxmlformats.org/officeDocument/2006/relationships/hyperlink" Id="rId40" Target="https://doi.org/10.1002/ajmg.a.61735" TargetMode="External" /><Relationship Type="http://schemas.openxmlformats.org/officeDocument/2006/relationships/hyperlink" Id="rId37" Target="https://doi.org/10.1002/ijc.32572" TargetMode="External" /><Relationship Type="http://schemas.openxmlformats.org/officeDocument/2006/relationships/hyperlink" Id="rId28" Target="https://doi.org/10.1002/ijc.33123" TargetMode="External" /><Relationship Type="http://schemas.openxmlformats.org/officeDocument/2006/relationships/hyperlink" Id="rId33" Target="https://doi.org/10.1016/j.ajhg.2020.04.016" TargetMode="External" /><Relationship Type="http://schemas.openxmlformats.org/officeDocument/2006/relationships/hyperlink" Id="rId34" Target="https://doi.org/10.1016/j.ajhg.2020.06.021" TargetMode="External" /><Relationship Type="http://schemas.openxmlformats.org/officeDocument/2006/relationships/hyperlink" Id="rId31" Target="https://doi.org/10.1016/j.bone.2019.115219" TargetMode="External" /><Relationship Type="http://schemas.openxmlformats.org/officeDocument/2006/relationships/hyperlink" Id="rId38" Target="https://doi.org/10.1016/j.ejca.2019.12.017" TargetMode="External" /><Relationship Type="http://schemas.openxmlformats.org/officeDocument/2006/relationships/hyperlink" Id="rId29" Target="https://doi.org/10.1016/j.ejmg.2020.103973" TargetMode="External" /><Relationship Type="http://schemas.openxmlformats.org/officeDocument/2006/relationships/hyperlink" Id="rId36" Target="https://doi.org/10.1016/j.ejpn.2019.11.002" TargetMode="External" /><Relationship Type="http://schemas.openxmlformats.org/officeDocument/2006/relationships/hyperlink" Id="rId21" Target="https://doi.org/10.1021/acs.analchem.0c00136" TargetMode="External" /><Relationship Type="http://schemas.openxmlformats.org/officeDocument/2006/relationships/hyperlink" Id="rId39" Target="https://doi.org/10.1038/s41467-020-14777-0" TargetMode="External" /><Relationship Type="http://schemas.openxmlformats.org/officeDocument/2006/relationships/hyperlink" Id="rId43" Target="https://doi.org/10.1038/s41541-020-0177-6" TargetMode="External" /><Relationship Type="http://schemas.openxmlformats.org/officeDocument/2006/relationships/hyperlink" Id="rId22" Target="https://doi.org/10.1038/s41588-019-0547-z" TargetMode="External" /><Relationship Type="http://schemas.openxmlformats.org/officeDocument/2006/relationships/hyperlink" Id="rId35" Target="https://doi.org/10.1038/s41598-020-63183-5" TargetMode="External" /><Relationship Type="http://schemas.openxmlformats.org/officeDocument/2006/relationships/hyperlink" Id="rId46" Target="https://doi.org/10.1093/brain/awaa346" TargetMode="External" /><Relationship Type="http://schemas.openxmlformats.org/officeDocument/2006/relationships/hyperlink" Id="rId44" Target="https://doi.org/10.1093/cid/ciz785" TargetMode="External" /><Relationship Type="http://schemas.openxmlformats.org/officeDocument/2006/relationships/hyperlink" Id="rId23" Target="https://doi.org/10.1093/nar/gkaa241" TargetMode="External" /><Relationship Type="http://schemas.openxmlformats.org/officeDocument/2006/relationships/hyperlink" Id="rId41" Target="https://doi.org/10.1161/CIRCULATIONAHA.119.043171" TargetMode="External" /><Relationship Type="http://schemas.openxmlformats.org/officeDocument/2006/relationships/hyperlink" Id="rId27" Target="https://doi.org/10.1177/0271678X19827251" TargetMode="External" /><Relationship Type="http://schemas.openxmlformats.org/officeDocument/2006/relationships/hyperlink" Id="rId26" Target="https://doi.org/10.1186/s12885-020-06937-8" TargetMode="External" /><Relationship Type="http://schemas.openxmlformats.org/officeDocument/2006/relationships/hyperlink" Id="rId30" Target="https://doi.org/10.1200/JCO.2020.38.15_suppl.3082" TargetMode="External" /><Relationship Type="http://schemas.openxmlformats.org/officeDocument/2006/relationships/hyperlink" Id="rId42" Target="https://doi.org/10.1242/dmm.041954" TargetMode="External" /><Relationship Type="http://schemas.openxmlformats.org/officeDocument/2006/relationships/hyperlink" Id="rId32" Target="https://doi.org/10.1530/EC-19-0510" TargetMode="External" /><Relationship Type="http://schemas.openxmlformats.org/officeDocument/2006/relationships/hyperlink" Id="rId45" Target="https://doi.org/10.3389/fimmu.2020.613496" TargetMode="External" /><Relationship Type="http://schemas.openxmlformats.org/officeDocument/2006/relationships/hyperlink" Id="rId20" Target="https://doi.org/10.3390/ijms21217944" TargetMode="External" /><Relationship Type="http://schemas.openxmlformats.org/officeDocument/2006/relationships/hyperlink" Id="rId24" Target="https://doi.org/10.7717/peerj.86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2023-01-13T11:35:58Z</dcterms:created>
  <dcterms:modified xsi:type="dcterms:W3CDTF">2023-01-13T11:35:58Z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