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Weiner J</w:t>
      </w:r>
      <w:r>
        <w:t xml:space="preserve">, Suwalski P,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Rakitko A, Thibeault C, Müller M,</w:t>
      </w:r>
      <w:r>
        <w:t xml:space="preserve"> </w:t>
      </w:r>
      <w:r>
        <w:t xml:space="preserve">Patriki D, Quedenau C, Krüger U, Ilinsky V, Popov I, Balnis J, Jaitovich A,</w:t>
      </w:r>
      <w:r>
        <w:t xml:space="preserve"> </w:t>
      </w:r>
      <w:r>
        <w:t xml:space="preserve">Helbig E, Lippert L, Stubbemann P, Real L, Macías J, Pineda J,</w:t>
      </w:r>
      <w:r>
        <w:t xml:space="preserve"> </w:t>
      </w:r>
      <w:r>
        <w:t xml:space="preserve">Fernandez-Fuertes M, Wang X, Karadeniz Z, Saccomanno J, Doehn J, Hübner R,</w:t>
      </w:r>
      <w:r>
        <w:t xml:space="preserve"> </w:t>
      </w:r>
      <w:r>
        <w:t xml:space="preserve">Hinzmann B, Salvo M, Blueher A, Siemann S, Jurisic S, Beer J, Rutishauser</w:t>
      </w:r>
      <w:r>
        <w:t xml:space="preserve"> </w:t>
      </w:r>
      <w:r>
        <w:t xml:space="preserve">J, Wiggli B, Schmid H, Danninger K, Binder R, Corman V, Mühlemann B, Arjun</w:t>
      </w:r>
      <w:r>
        <w:t xml:space="preserve"> </w:t>
      </w:r>
      <w:r>
        <w:t xml:space="preserve">AR, Fragiadakis G, Mick E, Comet C, Calfee C, Erle D, Hendrickson C,</w:t>
      </w:r>
      <w:r>
        <w:t xml:space="preserve"> </w:t>
      </w:r>
      <w:r>
        <w:t xml:space="preserve">Kangelaris K, Krummel M, Woodruff P, Langelier C, Venkataramani U, García</w:t>
      </w:r>
      <w:r>
        <w:t xml:space="preserve"> </w:t>
      </w:r>
      <w:r>
        <w:t xml:space="preserve">F, Zyla J, Drosten C, Alice B, Jones T, Suttorp N, Witzenrath M,</w:t>
      </w:r>
      <w:r>
        <w:t xml:space="preserve"> </w:t>
      </w:r>
      <w:r>
        <w:t xml:space="preserve">Hippenstiel S, Zemojtel T, Skurk C, Poller W, Borodina T, Pa-Covid S, Ripke</w:t>
      </w:r>
      <w:r>
        <w:t xml:space="preserve"> </w:t>
      </w:r>
      <w:r>
        <w:t xml:space="preserve">S, Sander L,</w:t>
      </w:r>
      <w:r>
        <w:t xml:space="preserve"> </w:t>
      </w:r>
      <w:r>
        <w:rPr>
          <w:bCs/>
          <w:b/>
        </w:rPr>
        <w:t xml:space="preserve">Beule D</w:t>
      </w:r>
      <w:r>
        <w:t xml:space="preserve">, Landmesser U, Guettouche T, Kurth F, Heidecker B</w:t>
      </w:r>
      <w:r>
        <w:t xml:space="preserve"> </w:t>
      </w:r>
      <w:r>
        <w:t xml:space="preserve">(2021). “Increased risk of severe clinical course of COVID-19 in carriers</w:t>
      </w:r>
      <w:r>
        <w:t xml:space="preserve"> </w:t>
      </w:r>
      <w:r>
        <w:t xml:space="preserve">of HLA-C</w:t>
      </w:r>
      <w:r>
        <w:rPr>
          <w:iCs/>
          <w:i/>
        </w:rPr>
        <w:t xml:space="preserve">04:01.”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EClinicalMedicine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t xml:space="preserve">40*, 101099.</w:t>
      </w:r>
      <w:r>
        <w:t xml:space="preserve"> </w:t>
      </w:r>
      <w:r>
        <w:t xml:space="preserve">doi:10.1016/j.eclinm.2021.101099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Domaszewska T, Zyla J, Otto R, Kaufmann S,</w:t>
      </w:r>
      <w:r>
        <w:t xml:space="preserve"> </w:t>
      </w:r>
      <w:r>
        <w:rPr>
          <w:bCs/>
          <w:b/>
        </w:rPr>
        <w:t xml:space="preserve">Weiner J</w:t>
      </w:r>
      <w:r>
        <w:rPr>
          <w:bCs/>
          <w:b/>
        </w:rPr>
        <w:t xml:space="preserve"> </w:t>
      </w:r>
      <w:r>
        <w:t xml:space="preserve">(2021).</w:t>
      </w:r>
      <w:r>
        <w:t xml:space="preserve"> </w:t>
      </w:r>
      <w:r>
        <w:t xml:space="preserve">“</w:t>
      </w:r>
      <w:r>
        <w:t xml:space="preserve">Gene Set</w:t>
      </w:r>
      <w:r>
        <w:t xml:space="preserve"> </w:t>
      </w:r>
      <w:r>
        <w:t xml:space="preserve">Enrichment Analysis Reveals Individual Variability in Host Responses in</w:t>
      </w:r>
      <w:r>
        <w:t xml:space="preserve"> </w:t>
      </w:r>
      <w:r>
        <w:t xml:space="preserve">Tuberculosis Patients.</w:t>
      </w:r>
      <w:r>
        <w:t xml:space="preserve">”</w:t>
      </w:r>
      <w:r>
        <w:t xml:space="preserve"> </w:t>
      </w:r>
      <w:r>
        <w:rPr>
          <w:iCs/>
          <w:i/>
        </w:rPr>
        <w:t xml:space="preserve">Front Immunol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694680.</w:t>
      </w:r>
      <w:r>
        <w:t xml:space="preserve"> </w:t>
      </w:r>
      <w:r>
        <w:t xml:space="preserve">doi:10.3389/fimmu.2021.694680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Nouailles G, Wyler E, Pennitz P, Postmus D (2021).</w:t>
      </w:r>
      <w:r>
        <w:t xml:space="preserve"> </w:t>
      </w:r>
      <w:r>
        <w:t xml:space="preserve">“</w:t>
      </w:r>
      <w:r>
        <w:t xml:space="preserve">Single-cell-sequencing</w:t>
      </w:r>
      <w:r>
        <w:t xml:space="preserve"> </w:t>
      </w:r>
      <w:r>
        <w:t xml:space="preserve">in SARS-COV-2-infected hamsters sheds light on endothelial cell involvement</w:t>
      </w:r>
      <w:r>
        <w:t xml:space="preserve"> </w:t>
      </w:r>
      <w:r>
        <w:t xml:space="preserve">in 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European Respiratory Journal</w:t>
      </w:r>
      <w:r>
        <w:t xml:space="preserve">.</w:t>
      </w:r>
      <w:r>
        <w:t xml:space="preserve"> </w:t>
      </w:r>
      <w:r>
        <w:t xml:space="preserve">doi:10.1183/13993003.congress-2021.PA2355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Bischoff P, Trinks A,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Pett J</w:t>
      </w:r>
      <w:r>
        <w:t xml:space="preserve">, Wiederspahn J, Uhlitz F, Liang</w:t>
      </w:r>
      <w:r>
        <w:t xml:space="preserve"> </w:t>
      </w:r>
      <w:r>
        <w:t xml:space="preserve">X, Lehmann A, Jurmeister P, Elsner A, Dziodzio T, Rückert J, Neudecker J,</w:t>
      </w:r>
      <w:r>
        <w:t xml:space="preserve"> </w:t>
      </w:r>
      <w:r>
        <w:t xml:space="preserve">Falk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Sers C, Morkel M, Horst D, Blüthgen N, Klauschen F (2021).</w:t>
      </w:r>
      <w:r>
        <w:t xml:space="preserve"> </w:t>
      </w:r>
      <w:r>
        <w:t xml:space="preserve">“</w:t>
      </w:r>
      <w:r>
        <w:t xml:space="preserve">Single-cell RNA sequencing reveals distinct tumor microenvironmental</w:t>
      </w:r>
      <w:r>
        <w:t xml:space="preserve"> </w:t>
      </w:r>
      <w:r>
        <w:t xml:space="preserve">patterns in lung adenocarcinoma.</w:t>
      </w:r>
      <w:r>
        <w:t xml:space="preserve">”</w:t>
      </w:r>
      <w:r>
        <w:t xml:space="preserve"> </w:t>
      </w:r>
      <w:r>
        <w:rPr>
          <w:iCs/>
          <w:i/>
        </w:rPr>
        <w:t xml:space="preserve">Oncogene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 6748-6758.</w:t>
      </w:r>
      <w:r>
        <w:t xml:space="preserve"> </w:t>
      </w:r>
      <w:r>
        <w:t xml:space="preserve">doi:10.1038/s41388-021-02054-3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Uhlitz F, Bischoff P, Peidli S, Sieber A, Trinks A, Lüthen 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</w:t>
      </w:r>
      <w:r>
        <w:t xml:space="preserve"> </w:t>
      </w:r>
      <w:r>
        <w:rPr>
          <w:bCs/>
          <w:b/>
        </w:rPr>
        <w:t xml:space="preserve">Blanc E</w:t>
      </w:r>
      <w:r>
        <w:t xml:space="preserve">, Ruchiy Y, Sell T, Mamlouk S, Arsie R, Wei T, Klotz-Noack K,</w:t>
      </w:r>
      <w:r>
        <w:t xml:space="preserve"> </w:t>
      </w:r>
      <w:r>
        <w:t xml:space="preserve">Schwarz R, Sawitzki B, Kamphues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Landthaler M, Sers C, Horst D,</w:t>
      </w:r>
      <w:r>
        <w:t xml:space="preserve"> </w:t>
      </w:r>
      <w:r>
        <w:t xml:space="preserve">Blüthgen N, Morkel M (2021).</w:t>
      </w:r>
      <w:r>
        <w:t xml:space="preserve"> </w:t>
      </w:r>
      <w:r>
        <w:t xml:space="preserve">“</w:t>
      </w:r>
      <w:r>
        <w:t xml:space="preserve">Mitogen-activated protein kinase activity</w:t>
      </w:r>
      <w:r>
        <w:t xml:space="preserve"> </w:t>
      </w:r>
      <w:r>
        <w:t xml:space="preserve">drives cell trajectories in colorectal cancer.</w:t>
      </w:r>
      <w:r>
        <w:t xml:space="preserve">”</w:t>
      </w:r>
      <w:r>
        <w:t xml:space="preserve"> </w:t>
      </w:r>
      <w:r>
        <w:rPr>
          <w:iCs/>
          <w:i/>
        </w:rPr>
        <w:t xml:space="preserve">EMBO Mol Med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</w:t>
      </w:r>
      <w:r>
        <w:t xml:space="preserve"> </w:t>
      </w:r>
      <w:r>
        <w:t xml:space="preserve">e14123. doi:10.15252/emmm.202114123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Nouailles G, Wyler E, Pennitz P, Postmus D, Vladimirova D, Kazmierski J,</w:t>
      </w:r>
      <w:r>
        <w:t xml:space="preserve"> </w:t>
      </w:r>
      <w:r>
        <w:t xml:space="preserve">Pott F, Dietert K, Muelleder M, Farztdinov V,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Wienhold S,</w:t>
      </w:r>
      <w:r>
        <w:t xml:space="preserve"> </w:t>
      </w:r>
      <w:r>
        <w:t xml:space="preserve">Andreotti S, Hoefler T, Sawitzki B, Drosten C, Sander L, Suttorp N, Ralser</w:t>
      </w:r>
      <w:r>
        <w:t xml:space="preserve"> </w:t>
      </w:r>
      <w:r>
        <w:t xml:space="preserve">M,</w:t>
      </w:r>
      <w:r>
        <w:t xml:space="preserve"> </w:t>
      </w:r>
      <w:r>
        <w:rPr>
          <w:bCs/>
          <w:b/>
        </w:rPr>
        <w:t xml:space="preserve">Beule D</w:t>
      </w:r>
      <w:r>
        <w:t xml:space="preserve">, Gruber A, Goffinet C, Landthaler M, Trimpert J, Witzenrath M</w:t>
      </w:r>
      <w:r>
        <w:t xml:space="preserve"> </w:t>
      </w:r>
      <w:r>
        <w:t xml:space="preserve">(2021).</w:t>
      </w:r>
      <w:r>
        <w:t xml:space="preserve"> </w:t>
      </w:r>
      <w:r>
        <w:t xml:space="preserve">“</w:t>
      </w:r>
      <w:r>
        <w:t xml:space="preserve">Temporal omics analysis in Syrian hamsters unravel cellular</w:t>
      </w:r>
      <w:r>
        <w:t xml:space="preserve"> </w:t>
      </w:r>
      <w:r>
        <w:t xml:space="preserve">effector responses to moderate COVID-19.</w:t>
      </w:r>
      <w:r>
        <w:t xml:space="preserve">”</w:t>
      </w:r>
      <w:r>
        <w:t xml:space="preserve"> </w:t>
      </w:r>
      <w:r>
        <w:rPr>
          <w:iCs/>
          <w:i/>
        </w:rPr>
        <w:t xml:space="preserve">Nat Commun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4869.</w:t>
      </w:r>
      <w:r>
        <w:t xml:space="preserve"> </w:t>
      </w:r>
      <w:r>
        <w:t xml:space="preserve">doi:10.1038/s41467-021-25030-7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Paterson S, Kar S, Ung S, Gardener Z, Bergstrom E, Ascough S, Kalyan M,</w:t>
      </w:r>
      <w:r>
        <w:t xml:space="preserve"> </w:t>
      </w:r>
      <w:r>
        <w:t xml:space="preserve">Zyla J, Maertzdorf J, Mollenkopf H,</w:t>
      </w:r>
      <w:r>
        <w:t xml:space="preserve"> </w:t>
      </w:r>
      <w:r>
        <w:rPr>
          <w:bCs/>
          <w:b/>
        </w:rPr>
        <w:t xml:space="preserve">Weiner J</w:t>
      </w:r>
      <w:r>
        <w:t xml:space="preserve">, Jozwik A, Jarvis H, Jha A,</w:t>
      </w:r>
      <w:r>
        <w:t xml:space="preserve"> </w:t>
      </w:r>
      <w:r>
        <w:t xml:space="preserve">Nicholson B, Veldman T, Woods C, Mallia P, Kon O, Kaufmann S, Openshaw P,</w:t>
      </w:r>
      <w:r>
        <w:t xml:space="preserve"> </w:t>
      </w:r>
      <w:r>
        <w:t xml:space="preserve">Chiu C (2021).</w:t>
      </w:r>
      <w:r>
        <w:t xml:space="preserve"> </w:t>
      </w:r>
      <w:r>
        <w:t xml:space="preserve">“</w:t>
      </w:r>
      <w:r>
        <w:t xml:space="preserve">Innate-like Gene Expression of Lung-Resident Memory CD8(+)</w:t>
      </w:r>
      <w:r>
        <w:t xml:space="preserve"> </w:t>
      </w:r>
      <w:r>
        <w:t xml:space="preserve">T Cells during Experimental Human Influenza: A Clinical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 J</w:t>
      </w:r>
      <w:r>
        <w:rPr>
          <w:iCs/>
          <w:i/>
        </w:rPr>
        <w:t xml:space="preserve"> </w:t>
      </w:r>
      <w:r>
        <w:rPr>
          <w:iCs/>
          <w:i/>
        </w:rPr>
        <w:t xml:space="preserve">Respir Crit Care Med</w:t>
      </w:r>
      <w:r>
        <w:t xml:space="preserve">,</w:t>
      </w:r>
      <w:r>
        <w:t xml:space="preserve"> </w:t>
      </w:r>
      <w:r>
        <w:rPr>
          <w:iCs/>
          <w:i/>
        </w:rPr>
        <w:t xml:space="preserve">204</w:t>
      </w:r>
      <w:r>
        <w:t xml:space="preserve">, 826-841. doi:10.1164/rccm.202103-0620OC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Rajasekaran S, Siddiqui J, Rakijas J, Nicolay B, Lin C, Khan E, Patel R,</w:t>
      </w:r>
      <w:r>
        <w:t xml:space="preserve"> </w:t>
      </w:r>
      <w:r>
        <w:t xml:space="preserve">Morris R, Wyler E, Boukhali M, Balasubramanyam J, Ranjith KR, Van RC, Vogel</w:t>
      </w:r>
      <w:r>
        <w:t xml:space="preserve"> </w:t>
      </w:r>
      <w:r>
        <w:t xml:space="preserve">C, Elchuri S, Landthaler M,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Haas W, Dyson N, Miles W (2021).</w:t>
      </w:r>
      <w:r>
        <w:t xml:space="preserve"> </w:t>
      </w:r>
      <w:r>
        <w:t xml:space="preserve">“</w:t>
      </w:r>
      <w:r>
        <w:t xml:space="preserve">Integrated multi-omics analysis of RB-loss identifies widespread cellular</w:t>
      </w:r>
      <w:r>
        <w:t xml:space="preserve"> </w:t>
      </w:r>
      <w:r>
        <w:t xml:space="preserve">programming and synthetic weaknesses.</w:t>
      </w:r>
      <w:r>
        <w:t xml:space="preserve">”</w:t>
      </w:r>
      <w:r>
        <w:t xml:space="preserve"> </w:t>
      </w:r>
      <w:r>
        <w:rPr>
          <w:iCs/>
          <w:i/>
        </w:rPr>
        <w:t xml:space="preserve">Commun Biol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977.</w:t>
      </w:r>
      <w:r>
        <w:t xml:space="preserve"> </w:t>
      </w:r>
      <w:r>
        <w:t xml:space="preserve">doi:10.1038/s42003-021-02495-2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Schinke C, Fernandez VV,</w:t>
      </w:r>
      <w:r>
        <w:t xml:space="preserve"> </w:t>
      </w:r>
      <w:r>
        <w:rPr>
          <w:bCs/>
          <w:b/>
        </w:rPr>
        <w:t xml:space="preserve">Ivanov A</w:t>
      </w:r>
      <w:r>
        <w:t xml:space="preserve">, Peng Y, Körtvelyessy P, Nolte L,</w:t>
      </w:r>
      <w:r>
        <w:t xml:space="preserve"> </w:t>
      </w:r>
      <w:r>
        <w:t xml:space="preserve">Huehnchen P,</w:t>
      </w:r>
      <w:r>
        <w:t xml:space="preserve"> </w:t>
      </w:r>
      <w:r>
        <w:rPr>
          <w:bCs/>
          <w:b/>
        </w:rPr>
        <w:t xml:space="preserve">Beule D</w:t>
      </w:r>
      <w:r>
        <w:t xml:space="preserve">, Stachelscheid H, Boehmerle W, Endres M (2021).</w:t>
      </w:r>
      <w:r>
        <w:t xml:space="preserve"> </w:t>
      </w:r>
      <w:r>
        <w:t xml:space="preserve">“</w:t>
      </w:r>
      <w:r>
        <w:t xml:space="preserve">Modeling chemotherapy induced neurotoxicity with human induced pluripotent</w:t>
      </w:r>
      <w:r>
        <w:t xml:space="preserve"> </w:t>
      </w:r>
      <w:r>
        <w:t xml:space="preserve">stem cell (iPSC) -derived sensory neurons.</w:t>
      </w:r>
      <w:r>
        <w:t xml:space="preserve">”</w:t>
      </w:r>
      <w:r>
        <w:t xml:space="preserve"> </w:t>
      </w:r>
      <w:r>
        <w:rPr>
          <w:iCs/>
          <w:i/>
        </w:rPr>
        <w:t xml:space="preserve">Neurobiol Dis</w:t>
      </w:r>
      <w:r>
        <w:t xml:space="preserve">,</w:t>
      </w:r>
      <w:r>
        <w:t xml:space="preserve"> </w:t>
      </w:r>
      <w:r>
        <w:rPr>
          <w:iCs/>
          <w:i/>
        </w:rPr>
        <w:t xml:space="preserve">155</w:t>
      </w:r>
      <w:r>
        <w:t xml:space="preserve">, 105391.</w:t>
      </w:r>
      <w:r>
        <w:t xml:space="preserve"> </w:t>
      </w:r>
      <w:r>
        <w:t xml:space="preserve">doi:10.1016/j.nbd.2021.105391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Pei G, Zyla J, He L, Moura-Alves P, Steinle H, Saikali P, Lozza L,</w:t>
      </w:r>
      <w:r>
        <w:t xml:space="preserve"> </w:t>
      </w:r>
      <w:r>
        <w:t xml:space="preserve">Nieuwenhuizen N,</w:t>
      </w:r>
      <w:r>
        <w:t xml:space="preserve"> </w:t>
      </w:r>
      <w:r>
        <w:rPr>
          <w:bCs/>
          <w:b/>
        </w:rPr>
        <w:t xml:space="preserve">Weiner J</w:t>
      </w:r>
      <w:r>
        <w:t xml:space="preserve">, Mollenkopf H, Ellwanger K, Arnold C, Duan M,</w:t>
      </w:r>
      <w:r>
        <w:t xml:space="preserve"> </w:t>
      </w:r>
      <w:r>
        <w:t xml:space="preserve">Dagil Y, Pashenkov M, Boneca I, Kufer T, Dorhoi A, Kaufmann S (2021).</w:t>
      </w:r>
      <w:r>
        <w:t xml:space="preserve"> </w:t>
      </w:r>
      <w:r>
        <w:t xml:space="preserve">“</w:t>
      </w:r>
      <w:r>
        <w:t xml:space="preserve">Cellular stress promotes NOD1/2-dependent inflammation via the endogenous</w:t>
      </w:r>
      <w:r>
        <w:t xml:space="preserve"> </w:t>
      </w:r>
      <w:r>
        <w:t xml:space="preserve">metabolite sphingosine-1-phosphate.</w:t>
      </w:r>
      <w:r>
        <w:t xml:space="preserve">”</w:t>
      </w:r>
      <w:r>
        <w:t xml:space="preserve"> </w:t>
      </w:r>
      <w:r>
        <w:rPr>
          <w:iCs/>
          <w:i/>
        </w:rPr>
        <w:t xml:space="preserve">EMBO J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 e106272.</w:t>
      </w:r>
      <w:r>
        <w:t xml:space="preserve"> </w:t>
      </w:r>
      <w:r>
        <w:t xml:space="preserve">doi:10.15252/embj.2020106272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Herda S, Heimann A,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Ciraolo E, Althoff S, Ruß J, Grunert C,</w:t>
      </w:r>
      <w:r>
        <w:t xml:space="preserve"> </w:t>
      </w:r>
      <w:r>
        <w:t xml:space="preserve">Busse A, Bullinger L, Pezzutto A, Blankenstein T,</w:t>
      </w:r>
      <w:r>
        <w:t xml:space="preserve"> </w:t>
      </w:r>
      <w:r>
        <w:rPr>
          <w:bCs/>
          <w:b/>
        </w:rPr>
        <w:t xml:space="preserve">Beule D</w:t>
      </w:r>
      <w:r>
        <w:t xml:space="preserve">, Na I (2021).</w:t>
      </w:r>
      <w:r>
        <w:t xml:space="preserve"> </w:t>
      </w:r>
      <w:r>
        <w:t xml:space="preserve">“</w:t>
      </w:r>
      <w:r>
        <w:t xml:space="preserve">Long-term in vitro expansion ensures increased yield of central memory T</w:t>
      </w:r>
      <w:r>
        <w:t xml:space="preserve"> </w:t>
      </w:r>
      <w:r>
        <w:t xml:space="preserve">cells as perspective for manufacturing challenges.</w:t>
      </w:r>
      <w:r>
        <w:t xml:space="preserve">”</w:t>
      </w:r>
      <w:r>
        <w:t xml:space="preserve"> </w:t>
      </w:r>
      <w:r>
        <w:rPr>
          <w:iCs/>
          <w:i/>
        </w:rPr>
        <w:t xml:space="preserve">Int J Cancer</w:t>
      </w:r>
      <w:r>
        <w:t xml:space="preserve">,</w:t>
      </w:r>
      <w:r>
        <w:t xml:space="preserve"> </w:t>
      </w:r>
      <w:r>
        <w:rPr>
          <w:iCs/>
          <w:i/>
        </w:rPr>
        <w:t xml:space="preserve">148</w:t>
      </w:r>
      <w:r>
        <w:t xml:space="preserve">,</w:t>
      </w:r>
      <w:r>
        <w:t xml:space="preserve"> </w:t>
      </w:r>
      <w:r>
        <w:t xml:space="preserve">3097-3110. doi:10.1002/ijc.33523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Kraushar M, Krupp F, Harnett D, Turko P, Ambrozkiewicz M, Sprink T, Imami</w:t>
      </w:r>
      <w:r>
        <w:t xml:space="preserve"> </w:t>
      </w:r>
      <w:r>
        <w:t xml:space="preserve">K, Günnigmann M, Zinnall U, Vieira-Vieira C, Schaub T, Münster-Wandowski A,</w:t>
      </w:r>
      <w:r>
        <w:t xml:space="preserve"> </w:t>
      </w:r>
      <w:r>
        <w:t xml:space="preserve">Bürger J, Borisova E, Yamamoto H, Rasin M, Ohler U,</w:t>
      </w:r>
      <w:r>
        <w:t xml:space="preserve"> </w:t>
      </w:r>
      <w:r>
        <w:rPr>
          <w:bCs/>
          <w:b/>
        </w:rPr>
        <w:t xml:space="preserve">Beule D</w:t>
      </w:r>
      <w:r>
        <w:t xml:space="preserve">, Mielke T,</w:t>
      </w:r>
      <w:r>
        <w:t xml:space="preserve"> </w:t>
      </w:r>
      <w:r>
        <w:t xml:space="preserve">Tarabykin V, Landthaler M, Kramer G, Vida I, Selbach M, Spahn C (2021).</w:t>
      </w:r>
      <w:r>
        <w:t xml:space="preserve"> </w:t>
      </w:r>
      <w:r>
        <w:t xml:space="preserve">“</w:t>
      </w:r>
      <w:r>
        <w:t xml:space="preserve">Protein Synthesis in the Developing Neocortex at Near-Atomic Resolution</w:t>
      </w:r>
      <w:r>
        <w:t xml:space="preserve"> </w:t>
      </w:r>
      <w:r>
        <w:t xml:space="preserve">Reveals Ebp1-Mediated Neuronal Proteostasis at the 60S Tunnel Exit.</w:t>
      </w:r>
      <w:r>
        <w:t xml:space="preserve">”</w:t>
      </w:r>
      <w:r>
        <w:t xml:space="preserve"> </w:t>
      </w:r>
      <w:r>
        <w:rPr>
          <w:iCs/>
          <w:i/>
        </w:rPr>
        <w:t xml:space="preserve">Mol</w:t>
      </w:r>
      <w:r>
        <w:rPr>
          <w:iCs/>
          <w:i/>
        </w:rPr>
        <w:t xml:space="preserve"> </w:t>
      </w:r>
      <w:r>
        <w:rPr>
          <w:iCs/>
          <w:i/>
        </w:rPr>
        <w:t xml:space="preserve">Cell</w:t>
      </w:r>
      <w:r>
        <w:t xml:space="preserve">,</w:t>
      </w:r>
      <w:r>
        <w:t xml:space="preserve"> </w:t>
      </w:r>
      <w:r>
        <w:rPr>
          <w:iCs/>
          <w:i/>
        </w:rPr>
        <w:t xml:space="preserve">81</w:t>
      </w:r>
      <w:r>
        <w:t xml:space="preserve">, 304-322.e16. doi:10.1016/j.molcel.2020.11.037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Heyckendorf J, Marwitz S, Reimann M, Avsar K, DiNardo A, Günther G,</w:t>
      </w:r>
      <w:r>
        <w:t xml:space="preserve"> </w:t>
      </w:r>
      <w:r>
        <w:t xml:space="preserve">Hoelscher M, Ibraim E, Kalsdorf B, Kaufmann S, Kontsevaya I, van LF,</w:t>
      </w:r>
      <w:r>
        <w:t xml:space="preserve"> </w:t>
      </w:r>
      <w:r>
        <w:t xml:space="preserve">Mandalakas A, Maurer F, Müller M, Nitschkowski D, Olaru I, Popa C, Rachow</w:t>
      </w:r>
      <w:r>
        <w:t xml:space="preserve"> </w:t>
      </w:r>
      <w:r>
        <w:t xml:space="preserve">A, Rolling T, Rybniker J, Salzer H, Sanchez-Carballo P, Schuhmann M, Schaub</w:t>
      </w:r>
      <w:r>
        <w:t xml:space="preserve"> </w:t>
      </w:r>
      <w:r>
        <w:t xml:space="preserve">D, Spinu V, Suárez I, Terhalle E, Unnewehr M,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Goldmann T, Lange</w:t>
      </w:r>
      <w:r>
        <w:t xml:space="preserve"> </w:t>
      </w:r>
      <w:r>
        <w:t xml:space="preserve">C (2021).</w:t>
      </w:r>
      <w:r>
        <w:t xml:space="preserve"> </w:t>
      </w:r>
      <w:r>
        <w:t xml:space="preserve">“</w:t>
      </w:r>
      <w:r>
        <w:t xml:space="preserve">Prediction of anti-tuberculosis treatment duration based on a</w:t>
      </w:r>
      <w:r>
        <w:t xml:space="preserve"> </w:t>
      </w:r>
      <w:r>
        <w:t xml:space="preserve">22-gene transcriptomic model.</w:t>
      </w:r>
      <w:r>
        <w:t xml:space="preserve">”</w:t>
      </w:r>
      <w:r>
        <w:t xml:space="preserve"> </w:t>
      </w:r>
      <w:r>
        <w:rPr>
          <w:iCs/>
          <w:i/>
        </w:rPr>
        <w:t xml:space="preserve">Eur Respir J</w:t>
      </w:r>
      <w:r>
        <w:t xml:space="preserve">,</w:t>
      </w:r>
      <w:r>
        <w:t xml:space="preserve"> </w:t>
      </w:r>
      <w:r>
        <w:rPr>
          <w:iCs/>
          <w:i/>
        </w:rPr>
        <w:t xml:space="preserve">58</w:t>
      </w:r>
      <w:r>
        <w:t xml:space="preserve">.</w:t>
      </w:r>
      <w:r>
        <w:t xml:space="preserve"> </w:t>
      </w:r>
      <w:r>
        <w:t xml:space="preserve">doi:10.1183/13993003.03492-2020</w:t>
      </w:r>
      <w:r>
        <w:t xml:space="preserve"> </w:t>
      </w:r>
      <w:hyperlink r:id="rId3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Bao X,</w:t>
      </w:r>
      <w:r>
        <w:t xml:space="preserve"> </w:t>
      </w:r>
      <w:r>
        <w:rPr>
          <w:bCs/>
          <w:b/>
        </w:rPr>
        <w:t xml:space="preserve">Weiner J</w:t>
      </w:r>
      <w:r>
        <w:t xml:space="preserve">3, Meckes O, Dommisch H, Schaefer A (2021).</w:t>
      </w:r>
      <w:r>
        <w:t xml:space="preserve"> </w:t>
      </w:r>
      <w:r>
        <w:t xml:space="preserve">“</w:t>
      </w:r>
      <w:r>
        <w:t xml:space="preserve">Entamoeba</w:t>
      </w:r>
      <w:r>
        <w:t xml:space="preserve"> </w:t>
      </w:r>
      <w:r>
        <w:t xml:space="preserve">gingivalis Exerts Severe Pathogenic Effects on the Oral Mucosa.</w:t>
      </w:r>
      <w:r>
        <w:t xml:space="preserve">”</w:t>
      </w:r>
      <w:r>
        <w:t xml:space="preserve"> </w:t>
      </w:r>
      <w:r>
        <w:rPr>
          <w:iCs/>
          <w:i/>
        </w:rPr>
        <w:t xml:space="preserve">J Dent</w:t>
      </w:r>
      <w:r>
        <w:rPr>
          <w:iCs/>
          <w:i/>
        </w:rPr>
        <w:t xml:space="preserve"> </w:t>
      </w:r>
      <w:r>
        <w:rPr>
          <w:iCs/>
          <w:i/>
        </w:rPr>
        <w:t xml:space="preserve">Res</w:t>
      </w:r>
      <w:r>
        <w:t xml:space="preserve">,</w:t>
      </w:r>
      <w:r>
        <w:t xml:space="preserve"> </w:t>
      </w:r>
      <w:r>
        <w:rPr>
          <w:iCs/>
          <w:i/>
        </w:rPr>
        <w:t xml:space="preserve">100</w:t>
      </w:r>
      <w:r>
        <w:t xml:space="preserve">, 771-776. doi:10.1177/00220345211004498</w:t>
      </w:r>
      <w:r>
        <w:t xml:space="preserve"> </w:t>
      </w:r>
      <w:hyperlink r:id="rId3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Eckold C, Kumar V,</w:t>
      </w:r>
      <w:r>
        <w:t xml:space="preserve"> </w:t>
      </w:r>
      <w:r>
        <w:rPr>
          <w:bCs/>
          <w:b/>
        </w:rPr>
        <w:t xml:space="preserve">Weiner J</w:t>
      </w:r>
      <w:r>
        <w:t xml:space="preserve">, Alisjahbana B, Riza A, Ronacher K, Coronel J,</w:t>
      </w:r>
      <w:r>
        <w:t xml:space="preserve"> </w:t>
      </w:r>
      <w:r>
        <w:t xml:space="preserve">Kerry-Barnard S, Malherbe S, Kleynhans L, Stanley K, Ruslami R, Ioana M,</w:t>
      </w:r>
      <w:r>
        <w:t xml:space="preserve"> </w:t>
      </w:r>
      <w:r>
        <w:t xml:space="preserve">Ugarte-Gil C, Walzl G, van CR, Wijmenga C, Critchley J, Dockrell H, Cliff</w:t>
      </w:r>
      <w:r>
        <w:t xml:space="preserve"> </w:t>
      </w:r>
      <w:r>
        <w:t xml:space="preserve">J, TANDEM c (2021).</w:t>
      </w:r>
      <w:r>
        <w:t xml:space="preserve"> </w:t>
      </w:r>
      <w:r>
        <w:t xml:space="preserve">“</w:t>
      </w:r>
      <w:r>
        <w:t xml:space="preserve">Impact of Intermediate Hyperglycemia and Diabetes on</w:t>
      </w:r>
      <w:r>
        <w:t xml:space="preserve"> </w:t>
      </w:r>
      <w:r>
        <w:t xml:space="preserve">Immune Dysfunction in Tuberculosis.</w:t>
      </w:r>
      <w:r>
        <w:t xml:space="preserve">”</w:t>
      </w:r>
      <w:r>
        <w:t xml:space="preserve"> </w:t>
      </w:r>
      <w:r>
        <w:rPr>
          <w:iCs/>
          <w:i/>
        </w:rPr>
        <w:t xml:space="preserve">Clin Infect Dis</w:t>
      </w:r>
      <w:r>
        <w:t xml:space="preserve">,</w:t>
      </w:r>
      <w:r>
        <w:t xml:space="preserve"> </w:t>
      </w:r>
      <w:r>
        <w:rPr>
          <w:iCs/>
          <w:i/>
        </w:rPr>
        <w:t xml:space="preserve">72</w:t>
      </w:r>
      <w:r>
        <w:t xml:space="preserve">, 69-78.</w:t>
      </w:r>
      <w:r>
        <w:t xml:space="preserve"> </w:t>
      </w:r>
      <w:r>
        <w:t xml:space="preserve">doi:10.1093/cid/ciaa751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Wyler E, Mösbauer K, Franke V, Diag A, Gottula L, Arsiè R, Klironomos F,</w:t>
      </w:r>
      <w:r>
        <w:t xml:space="preserve"> </w:t>
      </w:r>
      <w:r>
        <w:t xml:space="preserve">Koppstein D, Hönzke K, Ayoub S, Buccitelli C, Hoffmann K, Richter A,</w:t>
      </w:r>
      <w:r>
        <w:t xml:space="preserve"> </w:t>
      </w:r>
      <w:r>
        <w:t xml:space="preserve">Legnini I,</w:t>
      </w:r>
      <w:r>
        <w:t xml:space="preserve"> </w:t>
      </w:r>
      <w:r>
        <w:rPr>
          <w:bCs/>
          <w:b/>
        </w:rPr>
        <w:t xml:space="preserve">Ivanov A</w:t>
      </w:r>
      <w:r>
        <w:t xml:space="preserve">, Mari T, Del GS, Papies J, Praktiknjo S, Meyer T,</w:t>
      </w:r>
      <w:r>
        <w:t xml:space="preserve"> </w:t>
      </w:r>
      <w:r>
        <w:t xml:space="preserve">Müller M, Niemeyer D, Hocke A, Selbach M, Akalin A, Rajewsky N, Drosten C,</w:t>
      </w:r>
      <w:r>
        <w:t xml:space="preserve"> </w:t>
      </w:r>
      <w:r>
        <w:t xml:space="preserve">Landthaler M (2021).</w:t>
      </w:r>
      <w:r>
        <w:t xml:space="preserve"> </w:t>
      </w:r>
      <w:r>
        <w:t xml:space="preserve">“</w:t>
      </w:r>
      <w:r>
        <w:t xml:space="preserve">Transcriptomic profiling of SARS-CoV-2 infected human</w:t>
      </w:r>
      <w:r>
        <w:t xml:space="preserve"> </w:t>
      </w:r>
      <w:r>
        <w:t xml:space="preserve">cell lines identifies HSP90 as target for COVID-19 therapy.</w:t>
      </w:r>
      <w:r>
        <w:t xml:space="preserve">”</w:t>
      </w:r>
      <w:r>
        <w:t xml:space="preserve"> </w:t>
      </w:r>
      <w:r>
        <w:rPr>
          <w:iCs/>
          <w:i/>
        </w:rPr>
        <w:t xml:space="preserve">iScience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, 102151. doi:10.1016/j.isci.2021.102151</w:t>
      </w:r>
      <w:r>
        <w:t xml:space="preserve"> </w:t>
      </w:r>
      <w:hyperlink r:id="rId3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Mölder F, Jablonski K, Letcher B, Hall M, Tomkins-Tinch C, Sochat V,</w:t>
      </w:r>
      <w:r>
        <w:t xml:space="preserve"> </w:t>
      </w:r>
      <w:r>
        <w:t xml:space="preserve">Forster J, Lee S, Twardziok S, Kanitz A, Wilm A,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Rahmann S,</w:t>
      </w:r>
      <w:r>
        <w:t xml:space="preserve"> </w:t>
      </w:r>
      <w:r>
        <w:t xml:space="preserve">Nahnsen S, Köster J (2021).</w:t>
      </w:r>
      <w:r>
        <w:t xml:space="preserve"> </w:t>
      </w:r>
      <w:r>
        <w:t xml:space="preserve">“</w:t>
      </w:r>
      <w:r>
        <w:t xml:space="preserve">Sustainable data analysis with Snakemake.</w:t>
      </w:r>
      <w:r>
        <w:t xml:space="preserve">”</w:t>
      </w:r>
      <w:r>
        <w:t xml:space="preserve"> </w:t>
      </w:r>
      <w:r>
        <w:rPr>
          <w:iCs/>
          <w:i/>
        </w:rPr>
        <w:t xml:space="preserve">F1000Res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 33. doi:10.12688/f1000research.29032.2</w:t>
      </w:r>
      <w:r>
        <w:t xml:space="preserve"> </w:t>
      </w:r>
      <w:hyperlink r:id="rId3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Messerschmidt C</w:t>
      </w:r>
      <w:r>
        <w:t xml:space="preserve">, Foddis M, Blumenau S, Müller S,</w:t>
      </w:r>
      <w:r>
        <w:t xml:space="preserve"> </w:t>
      </w:r>
      <w:r>
        <w:rPr>
          <w:bCs/>
          <w:b/>
        </w:rPr>
        <w:t xml:space="preserve">Bentele K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Kun-Rodrigues C, Alonso I, do CMM, Morgadinho A, Velon A, Santo G, Santana</w:t>
      </w:r>
      <w:r>
        <w:t xml:space="preserve"> </w:t>
      </w:r>
      <w:r>
        <w:t xml:space="preserve">I, Mönkäre S, Kuuluvainen L, Schleutker J, Pöyhönen M, Myllykangas L,</w:t>
      </w:r>
      <w:r>
        <w:t xml:space="preserve"> </w:t>
      </w:r>
      <w:r>
        <w:t xml:space="preserve">Senatore A, Berchtold D, Winek K, Meisel A, Pavlovic A, Kostic V, Dobricic</w:t>
      </w:r>
      <w:r>
        <w:t xml:space="preserve"> </w:t>
      </w:r>
      <w:r>
        <w:t xml:space="preserve">V, Lohmann E, Hanagasi H, Guven G, Bilgic B, Bras J, Guerreiro R,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Dirnagl U, Sassi C (2021).</w:t>
      </w:r>
      <w:r>
        <w:t xml:space="preserve"> </w:t>
      </w:r>
      <w:r>
        <w:t xml:space="preserve">“</w:t>
      </w:r>
      <w:r>
        <w:t xml:space="preserve">PHACTR1 genetic variability is not critical in</w:t>
      </w:r>
      <w:r>
        <w:t xml:space="preserve"> </w:t>
      </w:r>
      <w:r>
        <w:t xml:space="preserve">small vessel ischemic disease patients and PcomA recruitment in C57BL/6J</w:t>
      </w:r>
      <w:r>
        <w:t xml:space="preserve"> </w:t>
      </w:r>
      <w:r>
        <w:t xml:space="preserve">mice.</w:t>
      </w:r>
      <w:r>
        <w:t xml:space="preserve">”</w:t>
      </w:r>
      <w:r>
        <w:t xml:space="preserve"> </w:t>
      </w:r>
      <w:r>
        <w:rPr>
          <w:iCs/>
          <w:i/>
        </w:rPr>
        <w:t xml:space="preserve">Sci Rep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(1), 6072. doi:10.1038/s41598-021-84919-x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Zarate Y, Uehara T, Abe K, Oginuma M, Harako S, Ishitani S, Lehesjoki A,</w:t>
      </w:r>
      <w:r>
        <w:t xml:space="preserve"> </w:t>
      </w:r>
      <w:r>
        <w:t xml:space="preserve">Bierhals T, Kloth K, Ehmke N, Horn D,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Anderson K, Viskochil D,</w:t>
      </w:r>
      <w:r>
        <w:t xml:space="preserve"> </w:t>
      </w:r>
      <w:r>
        <w:t xml:space="preserve">Edgar-Zarate C, Sacoto M, Schnur R, Morrow M, Sanchez-Valle A, Pappas J,</w:t>
      </w:r>
      <w:r>
        <w:t xml:space="preserve"> </w:t>
      </w:r>
      <w:r>
        <w:t xml:space="preserve">Rabin R, Muona M, Anttonen A, Platzer K, Luppe J, Gburek-Augustat J, Kaname</w:t>
      </w:r>
      <w:r>
        <w:t xml:space="preserve"> </w:t>
      </w:r>
      <w:r>
        <w:t xml:space="preserve">T, Okamoto N, Mizuno S, Kaido Y, Ohkuma Y, Hirose Y, Ishitani T, Kosaki K</w:t>
      </w:r>
      <w:r>
        <w:t xml:space="preserve"> </w:t>
      </w:r>
      <w:r>
        <w:t xml:space="preserve">(2021).</w:t>
      </w:r>
      <w:r>
        <w:t xml:space="preserve"> </w:t>
      </w:r>
      <w:r>
        <w:t xml:space="preserve">“</w:t>
      </w:r>
      <w:r>
        <w:t xml:space="preserve">CDK19-related disorder results from both loss-of-function and</w:t>
      </w:r>
      <w:r>
        <w:t xml:space="preserve"> </w:t>
      </w:r>
      <w:r>
        <w:t xml:space="preserve">gain-of-function de novo missense variants.</w:t>
      </w:r>
      <w:r>
        <w:t xml:space="preserve">”</w:t>
      </w:r>
      <w:r>
        <w:t xml:space="preserve"> </w:t>
      </w:r>
      <w:r>
        <w:rPr>
          <w:iCs/>
          <w:i/>
        </w:rPr>
        <w:t xml:space="preserve">Genet Med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(6),</w:t>
      </w:r>
      <w:r>
        <w:t xml:space="preserve"> </w:t>
      </w:r>
      <w:r>
        <w:t xml:space="preserve">1050-1057. doi:10.1038/s41436-020-01091-9</w:t>
      </w:r>
      <w:r>
        <w:t xml:space="preserve"> </w:t>
      </w:r>
      <w:hyperlink r:id="rId38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Vogt G, El CN, Herczegfalvi Á, Kölbel H, Lekaj A, Schara U,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t xml:space="preserve">Krause S, Horvath R, Schuelke M, Hübner C, Mundlos S, Roos A, Lochmüller H,</w:t>
      </w:r>
      <w:r>
        <w:t xml:space="preserve"> </w:t>
      </w:r>
      <w:r>
        <w:t xml:space="preserve">Karcagi V, Kornak U, Fischer-Zirnsak B (2021).</w:t>
      </w:r>
      <w:r>
        <w:t xml:space="preserve"> </w:t>
      </w:r>
      <w:r>
        <w:t xml:space="preserve">“</w:t>
      </w:r>
      <w:r>
        <w:t xml:space="preserve">Expanding the clinical and</w:t>
      </w:r>
      <w:r>
        <w:t xml:space="preserve"> </w:t>
      </w:r>
      <w:r>
        <w:t xml:space="preserve">molecular spectrum of ATP6V1A related metabolic cutis laxa.</w:t>
      </w:r>
      <w:r>
        <w:t xml:space="preserve">”</w:t>
      </w:r>
      <w:r>
        <w:t xml:space="preserve"> </w:t>
      </w:r>
      <w:r>
        <w:rPr>
          <w:iCs/>
          <w:i/>
        </w:rPr>
        <w:t xml:space="preserve">J Inherit</w:t>
      </w:r>
      <w:r>
        <w:rPr>
          <w:iCs/>
          <w:i/>
        </w:rPr>
        <w:t xml:space="preserve"> </w:t>
      </w:r>
      <w:r>
        <w:rPr>
          <w:iCs/>
          <w:i/>
        </w:rPr>
        <w:t xml:space="preserve">Metab Dis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(4), 972-986. doi:10.1002/jimd.12341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Yildirim F, Foddis M, Blumenau S, Müller S, Kajetan B,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Kola V,</w:t>
      </w:r>
      <w:r>
        <w:t xml:space="preserve"> </w:t>
      </w:r>
      <w:r>
        <w:rPr>
          <w:bCs/>
          <w:b/>
        </w:rPr>
        <w:t xml:space="preserve">Beule D</w:t>
      </w:r>
      <w:r>
        <w:t xml:space="preserve">, Sassi C (2021).</w:t>
      </w:r>
      <w:r>
        <w:t xml:space="preserve"> </w:t>
      </w:r>
      <w:r>
        <w:t xml:space="preserve">“</w:t>
      </w:r>
      <w:r>
        <w:t xml:space="preserve">Shared and oppositely regulated transcriptomic</w:t>
      </w:r>
      <w:r>
        <w:t xml:space="preserve"> </w:t>
      </w:r>
      <w:r>
        <w:t xml:space="preserve">signatures in Huntington’s disease and brain ischemia confirm known and</w:t>
      </w:r>
      <w:r>
        <w:t xml:space="preserve"> </w:t>
      </w:r>
      <w:r>
        <w:t xml:space="preserve">unveil novel potential neuroprotective genes.</w:t>
      </w:r>
      <w:r>
        <w:t xml:space="preserve">”</w:t>
      </w:r>
      <w:r>
        <w:t xml:space="preserve"> </w:t>
      </w:r>
      <w:r>
        <w:rPr>
          <w:iCs/>
          <w:i/>
        </w:rPr>
        <w:t xml:space="preserve">Neurobiol Aging</w:t>
      </w:r>
      <w:r>
        <w:t xml:space="preserve">,</w:t>
      </w:r>
      <w:r>
        <w:t xml:space="preserve"> </w:t>
      </w:r>
      <w:r>
        <w:rPr>
          <w:iCs/>
          <w:i/>
        </w:rPr>
        <w:t xml:space="preserve">104</w:t>
      </w:r>
      <w:r>
        <w:t xml:space="preserve">,</w:t>
      </w:r>
      <w:r>
        <w:t xml:space="preserve"> </w:t>
      </w:r>
      <w:r>
        <w:t xml:space="preserve">122.e1-122.e17. doi:10.1016/j.neurobiolaging.2021.03.001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Elsner J, Mensah M,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Hertzberg J, Bigoni S, Busche A, Coutelier</w:t>
      </w:r>
      <w:r>
        <w:t xml:space="preserve"> </w:t>
      </w:r>
      <w:r>
        <w:t xml:space="preserve">M, de SD, Elçioglu N, Filges I, Gerkes E, Girisha K, Graul-Neumann L,</w:t>
      </w:r>
      <w:r>
        <w:t xml:space="preserve"> </w:t>
      </w:r>
      <w:r>
        <w:t xml:space="preserve">Jamsheer A, Krawitz P, Kurth I, Markus S, Megarbane A, Reis A, Reuter M,</w:t>
      </w:r>
      <w:r>
        <w:t xml:space="preserve"> </w:t>
      </w:r>
      <w:r>
        <w:t xml:space="preserve">Svoboda D, Teller C, Tuysuz B, Türkmen S, Wilson M, Woitschach R, Vater I,</w:t>
      </w:r>
      <w:r>
        <w:t xml:space="preserve"> </w:t>
      </w:r>
      <w:r>
        <w:t xml:space="preserve">Caliebe A, Hülsemann W, Horn D, Mundlos S, Spielmann M (2021).</w:t>
      </w:r>
      <w:r>
        <w:t xml:space="preserve"> </w:t>
      </w:r>
      <w:r>
        <w:t xml:space="preserve">“</w:t>
      </w:r>
      <w:r>
        <w:t xml:space="preserve">Genome</w:t>
      </w:r>
      <w:r>
        <w:t xml:space="preserve"> </w:t>
      </w:r>
      <w:r>
        <w:t xml:space="preserve">sequencing in families with congenital limb malformations.</w:t>
      </w:r>
      <w:r>
        <w:t xml:space="preserve">”</w:t>
      </w:r>
      <w:r>
        <w:t xml:space="preserve"> </w:t>
      </w:r>
      <w:r>
        <w:rPr>
          <w:iCs/>
          <w:i/>
        </w:rPr>
        <w:t xml:space="preserve">Hum Genet</w:t>
      </w:r>
      <w:r>
        <w:t xml:space="preserve">,</w:t>
      </w:r>
      <w:r>
        <w:t xml:space="preserve"> </w:t>
      </w:r>
      <w:r>
        <w:rPr>
          <w:iCs/>
          <w:i/>
        </w:rPr>
        <w:t xml:space="preserve">140</w:t>
      </w:r>
      <w:r>
        <w:t xml:space="preserve">(8), 1229-1239. doi:10.1007/s00439-021-02295-y</w:t>
      </w:r>
      <w:r>
        <w:t xml:space="preserve"> </w:t>
      </w:r>
      <w:hyperlink r:id="rId4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Seidel F,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Al-Wakeel-Marquard N, Opgen-Rhein B, Dartsch J,</w:t>
      </w:r>
      <w:r>
        <w:t xml:space="preserve"> </w:t>
      </w:r>
      <w:r>
        <w:t xml:space="preserve">Herbst C,</w:t>
      </w:r>
      <w:r>
        <w:t xml:space="preserve"> </w:t>
      </w:r>
      <w:r>
        <w:rPr>
          <w:bCs/>
          <w:b/>
        </w:rPr>
        <w:t xml:space="preserve">Beule D</w:t>
      </w:r>
      <w:r>
        <w:t xml:space="preserve">, Pickardt T, Klingel K, Messroghli D, Berger F, Schubert</w:t>
      </w:r>
      <w:r>
        <w:t xml:space="preserve"> </w:t>
      </w:r>
      <w:r>
        <w:t xml:space="preserve">S, Kühnisch J, Klaassen S (2021).</w:t>
      </w:r>
      <w:r>
        <w:t xml:space="preserve"> </w:t>
      </w:r>
      <w:r>
        <w:t xml:space="preserve">“</w:t>
      </w:r>
      <w:r>
        <w:t xml:space="preserve">Pathogenic Variants Associated With</w:t>
      </w:r>
      <w:r>
        <w:t xml:space="preserve"> </w:t>
      </w:r>
      <w:r>
        <w:t xml:space="preserve">Dilated Cardiomyopathy Predict Outcome in Pediatric Myocarditis.</w:t>
      </w:r>
      <w:r>
        <w:t xml:space="preserve">”</w:t>
      </w:r>
      <w:r>
        <w:t xml:space="preserve"> </w:t>
      </w:r>
      <w:r>
        <w:rPr>
          <w:iCs/>
          <w:i/>
        </w:rPr>
        <w:t xml:space="preserve">Circ</w:t>
      </w:r>
      <w:r>
        <w:rPr>
          <w:iCs/>
          <w:i/>
        </w:rPr>
        <w:t xml:space="preserve"> </w:t>
      </w:r>
      <w:r>
        <w:rPr>
          <w:iCs/>
          <w:i/>
        </w:rPr>
        <w:t xml:space="preserve">Genom Precis Med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(4), e003250. doi:10.1161/CIRCGEN.120.003250</w:t>
      </w:r>
      <w:r>
        <w:t xml:space="preserve"> </w:t>
      </w:r>
      <w:hyperlink r:id="rId4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Melo U, Piard J, Fischer-Zirnsak B, Klever M, Schöpflin R, Mensah M,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Arbez-Gindre F, Martin A, Guigue V, Gaillard D, Landais E,</w:t>
      </w:r>
      <w:r>
        <w:t xml:space="preserve"> </w:t>
      </w:r>
      <w:r>
        <w:t xml:space="preserve">Roze V, Kremer V, Ramanah R, Cabrol C, Harms F, Kornak U, Spielmann M,</w:t>
      </w:r>
      <w:r>
        <w:t xml:space="preserve"> </w:t>
      </w:r>
      <w:r>
        <w:t xml:space="preserve">Mundlos S, Van ML (2021).</w:t>
      </w:r>
      <w:r>
        <w:t xml:space="preserve"> </w:t>
      </w:r>
      <w:r>
        <w:t xml:space="preserve">“</w:t>
      </w:r>
      <w:r>
        <w:t xml:space="preserve">Complete lung agenesis caused by complex genomic</w:t>
      </w:r>
      <w:r>
        <w:t xml:space="preserve"> </w:t>
      </w:r>
      <w:r>
        <w:t xml:space="preserve">rearrangements with neo-TAD formation at the SHH locus.</w:t>
      </w:r>
      <w:r>
        <w:t xml:space="preserve">”</w:t>
      </w:r>
      <w:r>
        <w:t xml:space="preserve"> </w:t>
      </w:r>
      <w:r>
        <w:rPr>
          <w:iCs/>
          <w:i/>
        </w:rPr>
        <w:t xml:space="preserve">Hum Genet</w:t>
      </w:r>
      <w:r>
        <w:t xml:space="preserve">,</w:t>
      </w:r>
      <w:r>
        <w:t xml:space="preserve"> </w:t>
      </w:r>
      <w:r>
        <w:rPr>
          <w:iCs/>
          <w:i/>
        </w:rPr>
        <w:t xml:space="preserve">140</w:t>
      </w:r>
      <w:r>
        <w:t xml:space="preserve">(10), 1459-1469. doi:10.1007/s00439-021-02344-6</w:t>
      </w:r>
      <w:r>
        <w:t xml:space="preserve"> </w:t>
      </w:r>
      <w:hyperlink r:id="rId4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Sczakiel H, Hülsemann W,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Abad-Perez A, Elsner J, Schwartzmann</w:t>
      </w:r>
      <w:r>
        <w:t xml:space="preserve"> </w:t>
      </w:r>
      <w:r>
        <w:t xml:space="preserve">S, Horn D, Spielmann M, Mundlos S, Mensah M (2021).</w:t>
      </w:r>
      <w:r>
        <w:t xml:space="preserve"> </w:t>
      </w:r>
      <w:r>
        <w:t xml:space="preserve">“</w:t>
      </w:r>
      <w:r>
        <w:t xml:space="preserve">GLI3 variants causing</w:t>
      </w:r>
      <w:r>
        <w:t xml:space="preserve"> </w:t>
      </w:r>
      <w:r>
        <w:t xml:space="preserve">isolated polysyndactyly are not restricted to the protein’s C-terminal</w:t>
      </w:r>
      <w:r>
        <w:t xml:space="preserve"> </w:t>
      </w:r>
      <w:r>
        <w:t xml:space="preserve">third.</w:t>
      </w:r>
      <w:r>
        <w:t xml:space="preserve">”</w:t>
      </w:r>
      <w:r>
        <w:t xml:space="preserve"> </w:t>
      </w:r>
      <w:r>
        <w:rPr>
          <w:iCs/>
          <w:i/>
        </w:rPr>
        <w:t xml:space="preserve">Clin Genet</w:t>
      </w:r>
      <w:r>
        <w:t xml:space="preserve">,</w:t>
      </w:r>
      <w:r>
        <w:t xml:space="preserve"> </w:t>
      </w:r>
      <w:r>
        <w:rPr>
          <w:iCs/>
          <w:i/>
        </w:rPr>
        <w:t xml:space="preserve">100</w:t>
      </w:r>
      <w:r>
        <w:t xml:space="preserve">(6), 758-765. doi:10.1111/cge.14059</w:t>
      </w:r>
      <w:r>
        <w:t xml:space="preserve"> </w:t>
      </w:r>
      <w:hyperlink r:id="rId44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002/ijc.33523" TargetMode="External" /><Relationship Type="http://schemas.openxmlformats.org/officeDocument/2006/relationships/hyperlink" Id="rId39" Target="https://doi.org/10.1002/jimd.12341" TargetMode="External" /><Relationship Type="http://schemas.openxmlformats.org/officeDocument/2006/relationships/hyperlink" Id="rId41" Target="https://doi.org/10.1007/s00439-021-02295-y" TargetMode="External" /><Relationship Type="http://schemas.openxmlformats.org/officeDocument/2006/relationships/hyperlink" Id="rId43" Target="https://doi.org/10.1007/s00439-021-02344-6" TargetMode="External" /><Relationship Type="http://schemas.openxmlformats.org/officeDocument/2006/relationships/hyperlink" Id="rId20" Target="https://doi.org/10.1016/j.eclinm.2021.101099" TargetMode="External" /><Relationship Type="http://schemas.openxmlformats.org/officeDocument/2006/relationships/hyperlink" Id="rId35" Target="https://doi.org/10.1016/j.isci.2021.102151" TargetMode="External" /><Relationship Type="http://schemas.openxmlformats.org/officeDocument/2006/relationships/hyperlink" Id="rId31" Target="https://doi.org/10.1016/j.molcel.2020.11.037" TargetMode="External" /><Relationship Type="http://schemas.openxmlformats.org/officeDocument/2006/relationships/hyperlink" Id="rId28" Target="https://doi.org/10.1016/j.nbd.2021.105391" TargetMode="External" /><Relationship Type="http://schemas.openxmlformats.org/officeDocument/2006/relationships/hyperlink" Id="rId40" Target="https://doi.org/10.1016/j.neurobiolaging.2021.03.001" TargetMode="External" /><Relationship Type="http://schemas.openxmlformats.org/officeDocument/2006/relationships/hyperlink" Id="rId23" Target="https://doi.org/10.1038/s41388-021-02054-3" TargetMode="External" /><Relationship Type="http://schemas.openxmlformats.org/officeDocument/2006/relationships/hyperlink" Id="rId38" Target="https://doi.org/10.1038/s41436-020-01091-9" TargetMode="External" /><Relationship Type="http://schemas.openxmlformats.org/officeDocument/2006/relationships/hyperlink" Id="rId25" Target="https://doi.org/10.1038/s41467-021-25030-7" TargetMode="External" /><Relationship Type="http://schemas.openxmlformats.org/officeDocument/2006/relationships/hyperlink" Id="rId37" Target="https://doi.org/10.1038/s41598-021-84919-x" TargetMode="External" /><Relationship Type="http://schemas.openxmlformats.org/officeDocument/2006/relationships/hyperlink" Id="rId27" Target="https://doi.org/10.1038/s42003-021-02495-2" TargetMode="External" /><Relationship Type="http://schemas.openxmlformats.org/officeDocument/2006/relationships/hyperlink" Id="rId34" Target="https://doi.org/10.1093/cid/ciaa751" TargetMode="External" /><Relationship Type="http://schemas.openxmlformats.org/officeDocument/2006/relationships/hyperlink" Id="rId44" Target="https://doi.org/10.1111/cge.14059" TargetMode="External" /><Relationship Type="http://schemas.openxmlformats.org/officeDocument/2006/relationships/hyperlink" Id="rId42" Target="https://doi.org/10.1161/CIRCGEN.120.003250" TargetMode="External" /><Relationship Type="http://schemas.openxmlformats.org/officeDocument/2006/relationships/hyperlink" Id="rId26" Target="https://doi.org/10.1164/rccm.202103-0620OC" TargetMode="External" /><Relationship Type="http://schemas.openxmlformats.org/officeDocument/2006/relationships/hyperlink" Id="rId33" Target="https://doi.org/10.1177/00220345211004498" TargetMode="External" /><Relationship Type="http://schemas.openxmlformats.org/officeDocument/2006/relationships/hyperlink" Id="rId32" Target="https://doi.org/10.1183/13993003.03492-2020" TargetMode="External" /><Relationship Type="http://schemas.openxmlformats.org/officeDocument/2006/relationships/hyperlink" Id="rId36" Target="https://doi.org/10.12688/f1000research.29032.2" TargetMode="External" /><Relationship Type="http://schemas.openxmlformats.org/officeDocument/2006/relationships/hyperlink" Id="rId29" Target="https://doi.org/10.15252/embj.2020106272" TargetMode="External" /><Relationship Type="http://schemas.openxmlformats.org/officeDocument/2006/relationships/hyperlink" Id="rId24" Target="https://doi.org/10.15252/emmm.202114123" TargetMode="External" /><Relationship Type="http://schemas.openxmlformats.org/officeDocument/2006/relationships/hyperlink" Id="rId21" Target="https://doi.org/10.3389/fimmu.2021.694680" TargetMode="External" /><Relationship Type="http://schemas.openxmlformats.org/officeDocument/2006/relationships/hyperlink" Id="rId22" Target="https://erj.ersjournals.com/content/58/suppl_65/PA2355.abstr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2/ijc.33523" TargetMode="External" /><Relationship Type="http://schemas.openxmlformats.org/officeDocument/2006/relationships/hyperlink" Id="rId39" Target="https://doi.org/10.1002/jimd.12341" TargetMode="External" /><Relationship Type="http://schemas.openxmlformats.org/officeDocument/2006/relationships/hyperlink" Id="rId41" Target="https://doi.org/10.1007/s00439-021-02295-y" TargetMode="External" /><Relationship Type="http://schemas.openxmlformats.org/officeDocument/2006/relationships/hyperlink" Id="rId43" Target="https://doi.org/10.1007/s00439-021-02344-6" TargetMode="External" /><Relationship Type="http://schemas.openxmlformats.org/officeDocument/2006/relationships/hyperlink" Id="rId20" Target="https://doi.org/10.1016/j.eclinm.2021.101099" TargetMode="External" /><Relationship Type="http://schemas.openxmlformats.org/officeDocument/2006/relationships/hyperlink" Id="rId35" Target="https://doi.org/10.1016/j.isci.2021.102151" TargetMode="External" /><Relationship Type="http://schemas.openxmlformats.org/officeDocument/2006/relationships/hyperlink" Id="rId31" Target="https://doi.org/10.1016/j.molcel.2020.11.037" TargetMode="External" /><Relationship Type="http://schemas.openxmlformats.org/officeDocument/2006/relationships/hyperlink" Id="rId28" Target="https://doi.org/10.1016/j.nbd.2021.105391" TargetMode="External" /><Relationship Type="http://schemas.openxmlformats.org/officeDocument/2006/relationships/hyperlink" Id="rId40" Target="https://doi.org/10.1016/j.neurobiolaging.2021.03.001" TargetMode="External" /><Relationship Type="http://schemas.openxmlformats.org/officeDocument/2006/relationships/hyperlink" Id="rId23" Target="https://doi.org/10.1038/s41388-021-02054-3" TargetMode="External" /><Relationship Type="http://schemas.openxmlformats.org/officeDocument/2006/relationships/hyperlink" Id="rId38" Target="https://doi.org/10.1038/s41436-020-01091-9" TargetMode="External" /><Relationship Type="http://schemas.openxmlformats.org/officeDocument/2006/relationships/hyperlink" Id="rId25" Target="https://doi.org/10.1038/s41467-021-25030-7" TargetMode="External" /><Relationship Type="http://schemas.openxmlformats.org/officeDocument/2006/relationships/hyperlink" Id="rId37" Target="https://doi.org/10.1038/s41598-021-84919-x" TargetMode="External" /><Relationship Type="http://schemas.openxmlformats.org/officeDocument/2006/relationships/hyperlink" Id="rId27" Target="https://doi.org/10.1038/s42003-021-02495-2" TargetMode="External" /><Relationship Type="http://schemas.openxmlformats.org/officeDocument/2006/relationships/hyperlink" Id="rId34" Target="https://doi.org/10.1093/cid/ciaa751" TargetMode="External" /><Relationship Type="http://schemas.openxmlformats.org/officeDocument/2006/relationships/hyperlink" Id="rId44" Target="https://doi.org/10.1111/cge.14059" TargetMode="External" /><Relationship Type="http://schemas.openxmlformats.org/officeDocument/2006/relationships/hyperlink" Id="rId42" Target="https://doi.org/10.1161/CIRCGEN.120.003250" TargetMode="External" /><Relationship Type="http://schemas.openxmlformats.org/officeDocument/2006/relationships/hyperlink" Id="rId26" Target="https://doi.org/10.1164/rccm.202103-0620OC" TargetMode="External" /><Relationship Type="http://schemas.openxmlformats.org/officeDocument/2006/relationships/hyperlink" Id="rId33" Target="https://doi.org/10.1177/00220345211004498" TargetMode="External" /><Relationship Type="http://schemas.openxmlformats.org/officeDocument/2006/relationships/hyperlink" Id="rId32" Target="https://doi.org/10.1183/13993003.03492-2020" TargetMode="External" /><Relationship Type="http://schemas.openxmlformats.org/officeDocument/2006/relationships/hyperlink" Id="rId36" Target="https://doi.org/10.12688/f1000research.29032.2" TargetMode="External" /><Relationship Type="http://schemas.openxmlformats.org/officeDocument/2006/relationships/hyperlink" Id="rId29" Target="https://doi.org/10.15252/embj.2020106272" TargetMode="External" /><Relationship Type="http://schemas.openxmlformats.org/officeDocument/2006/relationships/hyperlink" Id="rId24" Target="https://doi.org/10.15252/emmm.202114123" TargetMode="External" /><Relationship Type="http://schemas.openxmlformats.org/officeDocument/2006/relationships/hyperlink" Id="rId21" Target="https://doi.org/10.3389/fimmu.2021.694680" TargetMode="External" /><Relationship Type="http://schemas.openxmlformats.org/officeDocument/2006/relationships/hyperlink" Id="rId22" Target="https://erj.ersjournals.com/content/58/suppl_65/PA2355.abs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