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Müller R, Freitag-Wolf S,</w:t>
      </w:r>
      <w:r>
        <w:t xml:space="preserve"> </w:t>
      </w:r>
      <w:r>
        <w:rPr>
          <w:bCs/>
          <w:b/>
        </w:rPr>
        <w:t xml:space="preserve">Weiner J</w:t>
      </w:r>
      <w:r>
        <w:t xml:space="preserve">3, Chopra A, Top T, Dommisch H, Schaefer</w:t>
      </w:r>
      <w:r>
        <w:t xml:space="preserve"> </w:t>
      </w:r>
      <w:r>
        <w:t xml:space="preserve">A (2023).</w:t>
      </w:r>
      <w:r>
        <w:t xml:space="preserve"> </w:t>
      </w:r>
      <w:r>
        <w:t xml:space="preserve">“</w:t>
      </w:r>
      <w:r>
        <w:t xml:space="preserve">Case-only design identifies interactions of genetic risk</w:t>
      </w:r>
      <w:r>
        <w:t xml:space="preserve"> </w:t>
      </w:r>
      <w:r>
        <w:t xml:space="preserve">variants at SIGLEC5 and PLG with the lncRNA CTD-2353F22.1 implying the</w:t>
      </w:r>
      <w:r>
        <w:t xml:space="preserve"> </w:t>
      </w:r>
      <w:r>
        <w:t xml:space="preserve">importance of periodontal wound healing for disease aetiology.</w:t>
      </w:r>
      <w:r>
        <w:t xml:space="preserve">”</w:t>
      </w:r>
      <w:r>
        <w:t xml:space="preserve"> </w:t>
      </w:r>
      <w:r>
        <w:rPr>
          <w:iCs/>
          <w:i/>
        </w:rPr>
        <w:t xml:space="preserve">J Clin</w:t>
      </w:r>
      <w:r>
        <w:rPr>
          <w:iCs/>
          <w:i/>
        </w:rPr>
        <w:t xml:space="preserve"> </w:t>
      </w:r>
      <w:r>
        <w:rPr>
          <w:iCs/>
          <w:i/>
        </w:rPr>
        <w:t xml:space="preserve">Periodontol</w:t>
      </w:r>
      <w:r>
        <w:t xml:space="preserve">,</w:t>
      </w:r>
      <w:r>
        <w:t xml:space="preserve"> </w:t>
      </w:r>
      <w:r>
        <w:rPr>
          <w:iCs/>
          <w:i/>
        </w:rPr>
        <w:t xml:space="preserve">50</w:t>
      </w:r>
      <w:r>
        <w:t xml:space="preserve">, 90-101. doi:10.1111/jcpe.13712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11/jcpe.1371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11/jcpe.137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2023-01-13T11:35:58Z</dcterms:created>
  <dcterms:modified xsi:type="dcterms:W3CDTF">2023-01-13T11:35:58Z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