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viewer-2"/>
    <w:p>
      <w:pPr>
        <w:pStyle w:val="Heading2"/>
      </w:pPr>
      <w:r>
        <w:t xml:space="preserve">Reviewer 2</w:t>
      </w:r>
    </w:p>
    <w:p>
      <w:pPr>
        <w:pStyle w:val="FirstParagraph"/>
      </w:pPr>
      <w:r>
        <w:rPr>
          <w:iCs/>
          <w:i/>
        </w:rPr>
        <w:t xml:space="preserve">I would have liked to have seen an example which did not involve just</w:t>
      </w:r>
      <w:r>
        <w:rPr>
          <w:iCs/>
          <w:i/>
        </w:rPr>
        <w:t xml:space="preserve"> </w:t>
      </w:r>
      <w:r>
        <w:rPr>
          <w:iCs/>
          <w:i/>
        </w:rPr>
        <w:t xml:space="preserve">Venn-2, but I don’t know whether or not such diagrams would have any</w:t>
      </w:r>
      <w:r>
        <w:rPr>
          <w:iCs/>
          <w:i/>
        </w:rPr>
        <w:t xml:space="preserve"> </w:t>
      </w:r>
      <w:r>
        <w:rPr>
          <w:iCs/>
          <w:i/>
        </w:rPr>
        <w:t xml:space="preserve">relevance from a biological point of view.</w:t>
      </w:r>
    </w:p>
    <w:p>
      <w:pPr>
        <w:pStyle w:val="BodyText"/>
      </w:pPr>
      <w:r>
        <w:t xml:space="preserve">In fact, they do, and frequently they are combined with an incorrect</w:t>
      </w:r>
      <w:r>
        <w:t xml:space="preserve"> </w:t>
      </w:r>
      <w:r>
        <w:t xml:space="preserve">analysis such as the one described in the text. However, we think that the</w:t>
      </w:r>
      <w:r>
        <w:t xml:space="preserve"> </w:t>
      </w:r>
      <w:r>
        <w:t xml:space="preserve">principle remains the same, and therefore we have decided to stick to a two</w:t>
      </w:r>
      <w:r>
        <w:t xml:space="preserve"> </w:t>
      </w:r>
      <w:r>
        <w:t xml:space="preserve">by two design for simplicity and clarity.</w:t>
      </w:r>
    </w:p>
    <w:p>
      <w:pPr>
        <w:pStyle w:val="BodyText"/>
      </w:pPr>
      <w:r>
        <w:rPr>
          <w:iCs/>
          <w:i/>
        </w:rPr>
        <w:t xml:space="preserve">Or, put another way, the authors could expand on this point a bit, and</w:t>
      </w:r>
      <w:r>
        <w:rPr>
          <w:iCs/>
          <w:i/>
        </w:rPr>
        <w:t xml:space="preserve"> </w:t>
      </w:r>
      <w:r>
        <w:rPr>
          <w:iCs/>
          <w:i/>
        </w:rPr>
        <w:t xml:space="preserve">describe more methods of visualising interaction effects, and their</w:t>
      </w:r>
      <w:r>
        <w:rPr>
          <w:iCs/>
          <w:i/>
        </w:rPr>
        <w:t xml:space="preserve"> </w:t>
      </w:r>
      <w:r>
        <w:rPr>
          <w:iCs/>
          <w:i/>
        </w:rPr>
        <w:t xml:space="preserve">relative benefits.</w:t>
      </w:r>
    </w:p>
    <w:p>
      <w:pPr>
        <w:pStyle w:val="BodyText"/>
      </w:pPr>
      <w:r>
        <w:t xml:space="preserve">Initially, we kept this section short so as not to distract from the main – in our</w:t>
      </w:r>
      <w:r>
        <w:t xml:space="preserve"> </w:t>
      </w:r>
      <w:r>
        <w:t xml:space="preserve">opinion – issue, that is, the notion that</w:t>
      </w:r>
      <w:r>
        <w:t xml:space="preserve"> </w:t>
      </w:r>
      <w:r>
        <w:t xml:space="preserve">“</w:t>
      </w:r>
      <w:r>
        <w:t xml:space="preserve">significant in one comparison</w:t>
      </w:r>
      <w:r>
        <w:t xml:space="preserve"> </w:t>
      </w:r>
      <w:r>
        <w:t xml:space="preserve">only</w:t>
      </w:r>
      <w:r>
        <w:t xml:space="preserve">”</w:t>
      </w:r>
      <w:r>
        <w:t xml:space="preserve"> </w:t>
      </w:r>
      <w:r>
        <w:t xml:space="preserve">is the same as</w:t>
      </w:r>
      <w:r>
        <w:t xml:space="preserve"> </w:t>
      </w:r>
      <w:r>
        <w:t xml:space="preserve">“</w:t>
      </w:r>
      <w:r>
        <w:t xml:space="preserve">specific for that comparison</w:t>
      </w:r>
      <w:r>
        <w:t xml:space="preserve">”</w:t>
      </w:r>
      <w:r>
        <w:t xml:space="preserve">. Also note that</w:t>
      </w:r>
      <w:r>
        <w:t xml:space="preserve"> </w:t>
      </w:r>
      <w:r>
        <w:t xml:space="preserve">many of the visualization techniques which work for a single test – such as</w:t>
      </w:r>
      <w:r>
        <w:t xml:space="preserve"> </w:t>
      </w:r>
      <w:r>
        <w:t xml:space="preserve">the box plots shown on Fig. 2 – are not helpful for visualizing the interaction</w:t>
      </w:r>
      <w:r>
        <w:t xml:space="preserve"> </w:t>
      </w:r>
      <w:r>
        <w:t xml:space="preserve">in the case of thousands of variables. In other words, it is easy to</w:t>
      </w:r>
      <w:r>
        <w:t xml:space="preserve"> </w:t>
      </w:r>
      <w:r>
        <w:t xml:space="preserve">visualize the interaction for a single gene, but what can one use to show</w:t>
      </w:r>
      <w:r>
        <w:t xml:space="preserve"> </w:t>
      </w:r>
      <w:r>
        <w:t xml:space="preserve">the overall effects in 20,000 genes? VDs are meant as such a</w:t>
      </w:r>
      <w:r>
        <w:t xml:space="preserve"> </w:t>
      </w:r>
      <w:r>
        <w:t xml:space="preserve">“</w:t>
      </w:r>
      <w:r>
        <w:t xml:space="preserve">grand</w:t>
      </w:r>
      <w:r>
        <w:t xml:space="preserve"> </w:t>
      </w:r>
      <w:r>
        <w:t xml:space="preserve">overview</w:t>
      </w:r>
      <w:r>
        <w:t xml:space="preserve">”</w:t>
      </w:r>
      <w:r>
        <w:t xml:space="preserve"> </w:t>
      </w:r>
      <w:r>
        <w:t xml:space="preserve">of the many thousands of statistical tests performed. The</w:t>
      </w:r>
      <w:r>
        <w:t xml:space="preserve"> </w:t>
      </w:r>
      <w:r>
        <w:t xml:space="preserve">classical statistical visualizations of interactions are not a replacement</w:t>
      </w:r>
      <w:r>
        <w:t xml:space="preserve"> </w:t>
      </w:r>
      <w:r>
        <w:t xml:space="preserve">for them.</w:t>
      </w:r>
    </w:p>
    <w:p>
      <w:pPr>
        <w:pStyle w:val="BodyText"/>
      </w:pPr>
      <w:r>
        <w:t xml:space="preserve">We have now expanded the relevant paragraps of the Discussion.</w:t>
      </w:r>
    </w:p>
    <w:p>
      <w:pPr>
        <w:pStyle w:val="BodyText"/>
      </w:pPr>
      <w:r>
        <w:rPr>
          <w:iCs/>
          <w:i/>
        </w:rPr>
        <w:t xml:space="preserve">So, the real question I am left wondering about is how prevalent these</w:t>
      </w:r>
      <w:r>
        <w:rPr>
          <w:iCs/>
          <w:i/>
        </w:rPr>
        <w:t xml:space="preserve"> </w:t>
      </w:r>
      <w:r>
        <w:rPr>
          <w:iCs/>
          <w:i/>
        </w:rPr>
        <w:t xml:space="preserve">incorrect Venn-diagram conclusions are? With that information, the reader</w:t>
      </w:r>
      <w:r>
        <w:rPr>
          <w:iCs/>
          <w:i/>
        </w:rPr>
        <w:t xml:space="preserve"> </w:t>
      </w:r>
      <w:r>
        <w:rPr>
          <w:iCs/>
          <w:i/>
        </w:rPr>
        <w:t xml:space="preserve">could be confident that we are not reading about a strawman argument. (The</w:t>
      </w:r>
      <w:r>
        <w:rPr>
          <w:iCs/>
          <w:i/>
        </w:rPr>
        <w:t xml:space="preserve"> </w:t>
      </w:r>
      <w:r>
        <w:rPr>
          <w:iCs/>
          <w:i/>
        </w:rPr>
        <w:t xml:space="preserve">only figure I could find was about a statistical error made by 50% of</w:t>
      </w:r>
      <w:r>
        <w:rPr>
          <w:iCs/>
          <w:i/>
        </w:rPr>
        <w:t xml:space="preserve"> </w:t>
      </w:r>
      <w:r>
        <w:rPr>
          <w:iCs/>
          <w:i/>
        </w:rPr>
        <w:t xml:space="preserve">authors, from Nieuwenhuis et al. 2011)</w:t>
      </w:r>
    </w:p>
    <w:p>
      <w:pPr>
        <w:pStyle w:val="BodyText"/>
      </w:pPr>
      <w:r>
        <w:t xml:space="preserve">Unfortunately, we are not able to put a precise figure on this question.</w:t>
      </w:r>
      <w:r>
        <w:t xml:space="preserve"> </w:t>
      </w:r>
      <w:r>
        <w:t xml:space="preserve">However, both personal experience and the informal literature survey we</w:t>
      </w:r>
      <w:r>
        <w:t xml:space="preserve"> </w:t>
      </w:r>
      <w:r>
        <w:t xml:space="preserve">performed (see Discussion) indicate that it is a widely spread problem. We</w:t>
      </w:r>
      <w:r>
        <w:t xml:space="preserve"> </w:t>
      </w:r>
      <w:r>
        <w:t xml:space="preserve">think that out of the papers which mention</w:t>
      </w:r>
      <w:r>
        <w:t xml:space="preserve"> </w:t>
      </w:r>
      <w:r>
        <w:t xml:space="preserve">“</w:t>
      </w:r>
      <w:r>
        <w:t xml:space="preserve">differential expression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venn diagram</w:t>
      </w:r>
      <w:r>
        <w:t xml:space="preserve">”</w:t>
      </w:r>
      <w:r>
        <w:t xml:space="preserve">, at least a third – on average – combines the VDs with</w:t>
      </w:r>
      <w:r>
        <w:t xml:space="preserve"> </w:t>
      </w:r>
      <w:r>
        <w:t xml:space="preserve">incorrect statistical reasoning.</w:t>
      </w:r>
    </w:p>
    <w:bookmarkEnd w:id="20"/>
    <w:bookmarkStart w:id="21" w:name="reviewer-3"/>
    <w:p>
      <w:pPr>
        <w:pStyle w:val="Heading2"/>
      </w:pPr>
      <w:r>
        <w:t xml:space="preserve">Reviewer 3</w:t>
      </w:r>
    </w:p>
    <w:p>
      <w:pPr>
        <w:pStyle w:val="FirstParagraph"/>
      </w:pPr>
      <w:r>
        <w:rPr>
          <w:iCs/>
          <w:i/>
        </w:rPr>
        <w:t xml:space="preserve">This is a relevant paper describing an error in statistical reasoning when</w:t>
      </w:r>
      <w:r>
        <w:rPr>
          <w:iCs/>
          <w:i/>
        </w:rPr>
        <w:t xml:space="preserve"> </w:t>
      </w:r>
      <w:r>
        <w:rPr>
          <w:iCs/>
          <w:i/>
        </w:rPr>
        <w:t xml:space="preserve">conducting transcriptomics and gene set enrichment analyses where several</w:t>
      </w:r>
      <w:r>
        <w:rPr>
          <w:iCs/>
          <w:i/>
        </w:rPr>
        <w:t xml:space="preserve"> </w:t>
      </w:r>
      <w:r>
        <w:rPr>
          <w:iCs/>
          <w:i/>
        </w:rPr>
        <w:t xml:space="preserve">related comparisons are required. Indeed, the difference in significances</w:t>
      </w:r>
      <w:r>
        <w:rPr>
          <w:iCs/>
          <w:i/>
        </w:rPr>
        <w:t xml:space="preserve"> </w:t>
      </w:r>
      <w:r>
        <w:rPr>
          <w:iCs/>
          <w:i/>
        </w:rPr>
        <w:t xml:space="preserve">is not itself guaranteed to be significant. However the presentation of the</w:t>
      </w:r>
      <w:r>
        <w:rPr>
          <w:iCs/>
          <w:i/>
        </w:rPr>
        <w:t xml:space="preserve"> </w:t>
      </w:r>
      <w:r>
        <w:rPr>
          <w:iCs/>
          <w:i/>
        </w:rPr>
        <w:t xml:space="preserve">topic in the manuscript is misleading, including the title and the</w:t>
      </w:r>
      <w:r>
        <w:rPr>
          <w:iCs/>
          <w:i/>
        </w:rPr>
        <w:t xml:space="preserve"> </w:t>
      </w:r>
      <w:r>
        <w:rPr>
          <w:iCs/>
          <w:i/>
        </w:rPr>
        <w:t xml:space="preserve">abstract. The real problem is not about the use of Venn diagrams, but the</w:t>
      </w:r>
      <w:r>
        <w:rPr>
          <w:iCs/>
          <w:i/>
        </w:rPr>
        <w:t xml:space="preserve"> </w:t>
      </w:r>
      <w:r>
        <w:rPr>
          <w:iCs/>
          <w:i/>
        </w:rPr>
        <w:t xml:space="preserve">use of suboptimal statistical analyses where the Venn diagrams are just the</w:t>
      </w:r>
      <w:r>
        <w:rPr>
          <w:iCs/>
          <w:i/>
        </w:rPr>
        <w:t xml:space="preserve"> </w:t>
      </w:r>
      <w:r>
        <w:rPr>
          <w:iCs/>
          <w:i/>
        </w:rPr>
        <w:t xml:space="preserve">final step (a limited step at that, given that non-proportional diagrams</w:t>
      </w:r>
      <w:r>
        <w:rPr>
          <w:iCs/>
          <w:i/>
        </w:rPr>
        <w:t xml:space="preserve"> </w:t>
      </w:r>
      <w:r>
        <w:rPr>
          <w:iCs/>
          <w:i/>
        </w:rPr>
        <w:t xml:space="preserve">are commonly used). The more important matter, the lack of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interaction testing (such as ANOVA), remains buried deeper in the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 and more challenging to understand to a less computational</w:t>
      </w:r>
      <w:r>
        <w:rPr>
          <w:iCs/>
          <w:i/>
        </w:rPr>
        <w:t xml:space="preserve"> </w:t>
      </w:r>
      <w:r>
        <w:rPr>
          <w:iCs/>
          <w:i/>
        </w:rPr>
        <w:t xml:space="preserve">audience.</w:t>
      </w:r>
    </w:p>
    <w:p>
      <w:pPr>
        <w:pStyle w:val="BodyText"/>
      </w:pPr>
      <w:r>
        <w:t xml:space="preserve">In principle, we do agree. The underlying problem is drawing conclusions</w:t>
      </w:r>
      <w:r>
        <w:t xml:space="preserve"> </w:t>
      </w:r>
      <w:r>
        <w:t xml:space="preserve">from juxtaposing a significant result in one group with an insignificant in</w:t>
      </w:r>
      <w:r>
        <w:t xml:space="preserve"> </w:t>
      </w:r>
      <w:r>
        <w:t xml:space="preserve">another. However, the use of Venn diagrams is – in our opinion –</w:t>
      </w:r>
      <w:r>
        <w:t xml:space="preserve"> </w:t>
      </w:r>
      <w:r>
        <w:t xml:space="preserve">illustrative in this context. The erronous</w:t>
      </w:r>
      <w:r>
        <w:t xml:space="preserve"> </w:t>
      </w:r>
      <w:r>
        <w:t xml:space="preserve">analyses are very frequently linked to the use of Venn diagrams and the</w:t>
      </w:r>
      <w:r>
        <w:t xml:space="preserve"> </w:t>
      </w:r>
      <w:r>
        <w:t xml:space="preserve">very notion that a gene significant in one condition, and not significant</w:t>
      </w:r>
      <w:r>
        <w:t xml:space="preserve"> </w:t>
      </w:r>
      <w:r>
        <w:t xml:space="preserve">in another is</w:t>
      </w:r>
      <w:r>
        <w:t xml:space="preserve"> </w:t>
      </w:r>
      <w:r>
        <w:t xml:space="preserve">“</w:t>
      </w:r>
      <w:r>
        <w:t xml:space="preserve">specific</w:t>
      </w:r>
      <w:r>
        <w:t xml:space="preserve">”</w:t>
      </w:r>
      <w:r>
        <w:t xml:space="preserve"> </w:t>
      </w:r>
      <w:r>
        <w:t xml:space="preserve">for that first condition. It is this particular</w:t>
      </w:r>
      <w:r>
        <w:t xml:space="preserve"> </w:t>
      </w:r>
      <w:r>
        <w:t xml:space="preserve">notion that we are addressing. In other words, while the use of Venn</w:t>
      </w:r>
      <w:r>
        <w:t xml:space="preserve"> </w:t>
      </w:r>
      <w:r>
        <w:t xml:space="preserve">Diagram is a symptom, not a cause, they are useful for diagnostic purposes.</w:t>
      </w:r>
      <w:r>
        <w:t xml:space="preserve"> </w:t>
      </w:r>
      <w:r>
        <w:t xml:space="preserve">Therefore, we would like to sensitivize the readers to the</w:t>
      </w:r>
      <w:r>
        <w:t xml:space="preserve"> </w:t>
      </w:r>
      <w:r>
        <w:t xml:space="preserve">“</w:t>
      </w:r>
      <w:r>
        <w:t xml:space="preserve">Venn diagram</w:t>
      </w:r>
      <w:r>
        <w:t xml:space="preserve"> </w:t>
      </w:r>
      <w:r>
        <w:t xml:space="preserve">curse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There is also another reason why VDs play a central part in our paper. Once</w:t>
      </w:r>
      <w:r>
        <w:t xml:space="preserve"> </w:t>
      </w:r>
      <w:r>
        <w:t xml:space="preserve">a bioinformatician creates a VD showing, for example, 456 genes</w:t>
      </w:r>
      <w:r>
        <w:t xml:space="preserve"> </w:t>
      </w:r>
      <w:r>
        <w:t xml:space="preserve">up-regulated in the first condition, but not in others, she is frequently</w:t>
      </w:r>
      <w:r>
        <w:t xml:space="preserve"> </w:t>
      </w:r>
      <w:r>
        <w:t xml:space="preserve">confronted with the question: what are these genes? Can’t you run a gene</w:t>
      </w:r>
      <w:r>
        <w:t xml:space="preserve"> </w:t>
      </w:r>
      <w:r>
        <w:t xml:space="preserve">set enrichment on them? VDs practically beg the question what these</w:t>
      </w:r>
      <w:r>
        <w:t xml:space="preserve"> </w:t>
      </w:r>
      <w:r>
        <w:t xml:space="preserve">“</w:t>
      </w:r>
      <w:r>
        <w:t xml:space="preserve">unique</w:t>
      </w:r>
      <w:r>
        <w:t xml:space="preserve">”</w:t>
      </w:r>
      <w:r>
        <w:t xml:space="preserve"> </w:t>
      </w:r>
      <w:r>
        <w:t xml:space="preserve">genes may be.</w:t>
      </w:r>
    </w:p>
    <w:p>
      <w:pPr>
        <w:pStyle w:val="BodyText"/>
      </w:pPr>
      <w:r>
        <w:t xml:space="preserve">We propose the following amendments: (i) we changed the title to</w:t>
      </w:r>
      <w:r>
        <w:t xml:space="preserve"> </w:t>
      </w:r>
      <w:r>
        <w:t xml:space="preserve">“</w:t>
      </w:r>
      <w:r>
        <w:t xml:space="preserve">Venn diagrams</w:t>
      </w:r>
      <w:r>
        <w:t xml:space="preserve"> </w:t>
      </w:r>
      <w:r>
        <w:t xml:space="preserve">may indicate erroneous statistical approaches leading to artifacts in transcriptomic</w:t>
      </w:r>
      <w:r>
        <w:t xml:space="preserve"> </w:t>
      </w:r>
      <w:r>
        <w:t xml:space="preserve">analyses</w:t>
      </w:r>
      <w:r>
        <w:t xml:space="preserve">”</w:t>
      </w:r>
      <w:r>
        <w:t xml:space="preserve">, (ii) we updated the abstract to include the mention of interactions.</w:t>
      </w:r>
      <w:r>
        <w:t xml:space="preserve"> </w:t>
      </w:r>
      <w:r>
        <w:t xml:space="preserve">We have also expanded the section on explaining the underlying statistical</w:t>
      </w:r>
      <w:r>
        <w:t xml:space="preserve"> </w:t>
      </w:r>
      <w:r>
        <w:t xml:space="preserve">problem and (iii) we have expanded the Discussion to better explain our</w:t>
      </w:r>
      <w:r>
        <w:t xml:space="preserve"> </w:t>
      </w:r>
      <w:r>
        <w:t xml:space="preserve">focus on VDs.</w:t>
      </w:r>
    </w:p>
    <w:p>
      <w:pPr>
        <w:numPr>
          <w:ilvl w:val="0"/>
          <w:numId w:val="1001"/>
        </w:numPr>
        <w:pStyle w:val="Compact"/>
      </w:pPr>
      <w:r>
        <w:t xml:space="preserve">The figures could be improved by adding a schematic of the case-control analysis design that leads to this challenge.</w:t>
      </w:r>
    </w:p>
    <w:p>
      <w:pPr>
        <w:pStyle w:val="FirstParagraph"/>
      </w:pPr>
      <w:r>
        <w:t xml:space="preserve">Agreed, we have now added a simple scheme of the example used in Table 1.</w:t>
      </w:r>
    </w:p>
    <w:p>
      <w:pPr>
        <w:numPr>
          <w:ilvl w:val="0"/>
          <w:numId w:val="1002"/>
        </w:numPr>
        <w:pStyle w:val="Compact"/>
      </w:pPr>
      <w:r>
        <w:t xml:space="preserve">Singling out one journal such as Science Immunology in the significance</w:t>
      </w:r>
      <w:r>
        <w:t xml:space="preserve"> </w:t>
      </w:r>
      <w:r>
        <w:t xml:space="preserve">statement is likely a stretch. Especially given the comment below.</w:t>
      </w:r>
    </w:p>
    <w:p>
      <w:pPr>
        <w:pStyle w:val="FirstParagraph"/>
      </w:pPr>
      <w:r>
        <w:t xml:space="preserve">We agree; that was completely unnecessary and we have removed that</w:t>
      </w:r>
      <w:r>
        <w:t xml:space="preserve"> </w:t>
      </w:r>
      <w:r>
        <w:t xml:space="preserve">statement. However, we have now included Sci Immunol in our literature</w:t>
      </w:r>
      <w:r>
        <w:t xml:space="preserve"> </w:t>
      </w:r>
      <w:r>
        <w:t xml:space="preserve">survey (see below).</w:t>
      </w:r>
    </w:p>
    <w:p>
      <w:pPr>
        <w:numPr>
          <w:ilvl w:val="0"/>
          <w:numId w:val="1003"/>
        </w:numPr>
        <w:pStyle w:val="Compact"/>
      </w:pPr>
      <w:r>
        <w:t xml:space="preserve">The literature survey of how widespread the problem is is quite limited,</w:t>
      </w:r>
      <w:r>
        <w:t xml:space="preserve"> </w:t>
      </w:r>
      <w:r>
        <w:t xml:space="preserve">since the only journal they consider seems to publish many studies with</w:t>
      </w:r>
      <w:r>
        <w:t xml:space="preserve"> </w:t>
      </w:r>
      <w:r>
        <w:t xml:space="preserve">fairly wide variation in quality. More journals, especially the</w:t>
      </w:r>
      <w:r>
        <w:t xml:space="preserve"> </w:t>
      </w:r>
      <w:r>
        <w:t xml:space="preserve">higher-impact ones, should be included in a comprehensive survey.</w:t>
      </w:r>
    </w:p>
    <w:p>
      <w:pPr>
        <w:pStyle w:val="FirstParagraph"/>
      </w:pPr>
      <w:r>
        <w:t xml:space="preserve">We have chosen Scientific Reports because of the large number of articles</w:t>
      </w:r>
      <w:r>
        <w:t xml:space="preserve"> </w:t>
      </w:r>
      <w:r>
        <w:t xml:space="preserve">published there. We have now included</w:t>
      </w:r>
      <w:r>
        <w:t xml:space="preserve"> </w:t>
      </w:r>
      <w:r>
        <w:t xml:space="preserve">“</w:t>
      </w:r>
      <w:r>
        <w:t xml:space="preserve">Nature Communications</w:t>
      </w:r>
      <w:r>
        <w:t xml:space="preserve">”</w:t>
      </w:r>
      <w:r>
        <w:t xml:space="preserve"> </w:t>
      </w:r>
      <w:r>
        <w:t xml:space="preserve">(however, we</w:t>
      </w:r>
      <w:r>
        <w:t xml:space="preserve"> </w:t>
      </w:r>
      <w:r>
        <w:t xml:space="preserve">only checked first 30 articles out of 127 found; 9 were incorrect) and</w:t>
      </w:r>
      <w:r>
        <w:t xml:space="preserve"> </w:t>
      </w:r>
      <w:r>
        <w:t xml:space="preserve">“</w:t>
      </w:r>
      <w:r>
        <w:t xml:space="preserve">Science Immunology</w:t>
      </w:r>
      <w:r>
        <w:t xml:space="preserve">”</w:t>
      </w:r>
      <w:r>
        <w:t xml:space="preserve">, for the latter choosing the publications between 2015</w:t>
      </w:r>
      <w:r>
        <w:t xml:space="preserve"> </w:t>
      </w:r>
      <w:r>
        <w:t xml:space="preserve">and 2020 (notably, out of the 14 studies which fullfilled our search</w:t>
      </w:r>
      <w:r>
        <w:t xml:space="preserve"> </w:t>
      </w:r>
      <w:r>
        <w:t xml:space="preserve">criteria, 6 were incorrect). We think that this is not a formal literature</w:t>
      </w:r>
      <w:r>
        <w:t xml:space="preserve"> </w:t>
      </w:r>
      <w:r>
        <w:t xml:space="preserve">survey, and this is why we have included it in the discussion rather then</w:t>
      </w:r>
      <w:r>
        <w:t xml:space="preserve"> </w:t>
      </w:r>
      <w:r>
        <w:t xml:space="preserve">elsewhere in the manuscript.</w:t>
      </w:r>
    </w:p>
    <w:p>
      <w:pPr>
        <w:pStyle w:val="BodyText"/>
      </w:pPr>
      <w:r>
        <w:t xml:space="preserve">Moreover, while the quality of Sci Rep articles may vary, we think that</w:t>
      </w:r>
      <w:r>
        <w:t xml:space="preserve"> </w:t>
      </w:r>
      <w:r>
        <w:t xml:space="preserve">they are nonetheless being treated as bona fide scientific papers, with</w:t>
      </w:r>
      <w:r>
        <w:t xml:space="preserve"> </w:t>
      </w:r>
      <w:r>
        <w:t xml:space="preserve">many high-profile papers citing and building upon them, and their</w:t>
      </w:r>
      <w:r>
        <w:t xml:space="preserve"> </w:t>
      </w:r>
      <w:r>
        <w:t xml:space="preserve">collective impact may be considerable. To wit, the papers in Sci Rep which</w:t>
      </w:r>
      <w:r>
        <w:t xml:space="preserve"> </w:t>
      </w:r>
      <w:r>
        <w:t xml:space="preserve">were erronous have collectively gathered more than 450 citations in less</w:t>
      </w:r>
      <w:r>
        <w:t xml:space="preserve"> </w:t>
      </w:r>
      <w:r>
        <w:t xml:space="preserve">then two years (median 5 citations per article, with a maximum of 29</w:t>
      </w:r>
      <w:r>
        <w:t xml:space="preserve"> </w:t>
      </w:r>
      <w:r>
        <w:t xml:space="preserve">citations).</w:t>
      </w:r>
    </w:p>
    <w:p>
      <w:pPr>
        <w:numPr>
          <w:ilvl w:val="0"/>
          <w:numId w:val="1004"/>
        </w:numPr>
        <w:pStyle w:val="Compact"/>
      </w:pPr>
      <w:r>
        <w:t xml:space="preserve">The study itself were more convincing if the extent of the problem would</w:t>
      </w:r>
      <w:r>
        <w:t xml:space="preserve"> </w:t>
      </w:r>
      <w:r>
        <w:t xml:space="preserve">be covered first (how many studies fall into this trap), followed by the</w:t>
      </w:r>
      <w:r>
        <w:t xml:space="preserve"> </w:t>
      </w:r>
      <w:r>
        <w:t xml:space="preserve">case study and the potential solutions.</w:t>
      </w:r>
    </w:p>
    <w:p>
      <w:pPr>
        <w:pStyle w:val="FirstParagraph"/>
      </w:pPr>
      <w:r>
        <w:t xml:space="preserve">We respectfully disagree. We feel that the case study demonstration is the</w:t>
      </w:r>
      <w:r>
        <w:t xml:space="preserve"> </w:t>
      </w:r>
      <w:r>
        <w:t xml:space="preserve">most convincing argument. Also, we would not like to overstate the</w:t>
      </w:r>
      <w:r>
        <w:t xml:space="preserve"> </w:t>
      </w:r>
      <w:r>
        <w:t xml:space="preserve">importance or quality of our informal survey.</w:t>
      </w:r>
    </w:p>
    <w:p>
      <w:pPr>
        <w:numPr>
          <w:ilvl w:val="0"/>
          <w:numId w:val="1005"/>
        </w:numPr>
        <w:pStyle w:val="Compact"/>
      </w:pPr>
      <w:r>
        <w:t xml:space="preserve">The potential solutions should distinguish statistical and visualization</w:t>
      </w:r>
      <w:r>
        <w:t xml:space="preserve"> </w:t>
      </w:r>
      <w:r>
        <w:t xml:space="preserve">approaches. How would these extend to cases where up-regulated and</w:t>
      </w:r>
      <w:r>
        <w:t xml:space="preserve"> </w:t>
      </w:r>
      <w:r>
        <w:t xml:space="preserve">down-regulated genes are considered?</w:t>
      </w:r>
    </w:p>
    <w:p>
      <w:pPr>
        <w:pStyle w:val="FirstParagraph"/>
      </w:pPr>
      <w:r>
        <w:t xml:space="preserve">Do you mean, where up-regulated and down-regulated genes are shown on</w:t>
      </w:r>
      <w:r>
        <w:t xml:space="preserve"> </w:t>
      </w:r>
      <w:r>
        <w:t xml:space="preserve">different Venn diagrams? Given the nature of the interaction (which is not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down</w:t>
      </w:r>
      <w:r>
        <w:t xml:space="preserve">”</w:t>
      </w:r>
      <w:r>
        <w:t xml:space="preserve"> </w:t>
      </w:r>
      <w:r>
        <w:t xml:space="preserve">in itself, in the sense that both a positive and negative</w:t>
      </w:r>
      <w:r>
        <w:t xml:space="preserve"> </w:t>
      </w:r>
      <w:r>
        <w:t xml:space="preserve">interaction coefficient may correspond to a case where in both comparisons</w:t>
      </w:r>
      <w:r>
        <w:t xml:space="preserve"> </w:t>
      </w:r>
      <w:r>
        <w:t xml:space="preserve">genes are down- or, respectively, up-regulated), such a division is of</w:t>
      </w:r>
      <w:r>
        <w:t xml:space="preserve"> </w:t>
      </w:r>
      <w:r>
        <w:t xml:space="preserve">limited (real) applicability. Please also see response on visualizations to</w:t>
      </w:r>
      <w:r>
        <w:t xml:space="preserve"> </w:t>
      </w:r>
      <w:r>
        <w:t xml:space="preserve">reviewer 2.</w:t>
      </w:r>
    </w:p>
    <w:p>
      <w:pPr>
        <w:pStyle w:val="BodyText"/>
      </w:pPr>
      <w:r>
        <w:t xml:space="preserve">We have now expanded the relevant fragments of the Discussion.</w:t>
      </w:r>
    </w:p>
    <w:p>
      <w:pPr>
        <w:numPr>
          <w:ilvl w:val="0"/>
          <w:numId w:val="1006"/>
        </w:numPr>
        <w:pStyle w:val="Compact"/>
      </w:pPr>
      <w:r>
        <w:t xml:space="preserve">GSEA does not use hypergeometric tests. https://www.pnas.org/content/102/43/15545</w:t>
      </w:r>
    </w:p>
    <w:p>
      <w:pPr>
        <w:pStyle w:val="FirstParagraph"/>
      </w:pPr>
      <w:r>
        <w:t xml:space="preserve">The authors of the GSEA did use the rather unfortunate acronym for their</w:t>
      </w:r>
      <w:r>
        <w:t xml:space="preserve"> </w:t>
      </w:r>
      <w:r>
        <w:t xml:space="preserve">algorithm, although gene set enrichment analysis can be performed with a</w:t>
      </w:r>
      <w:r>
        <w:t xml:space="preserve"> </w:t>
      </w:r>
      <w:r>
        <w:t xml:space="preserve">number of different algorithms, GSEA being one of them. Hypergeometric test</w:t>
      </w:r>
      <w:r>
        <w:t xml:space="preserve"> </w:t>
      </w:r>
      <w:r>
        <w:t xml:space="preserve">is definitely a gene set enrichment analysis method, see for example</w:t>
      </w:r>
      <w:r>
        <w:t xml:space="preserve"> </w:t>
      </w:r>
      <w:r>
        <w:t xml:space="preserve">https://link.springer.com/chapter/10.1007/978-0-387-77240-0_14. In our</w:t>
      </w:r>
      <w:r>
        <w:t xml:space="preserve"> </w:t>
      </w:r>
      <w:r>
        <w:t xml:space="preserve">text, GSEA was used as an abbreviation for gene set enrichment analysis not</w:t>
      </w:r>
      <w:r>
        <w:t xml:space="preserve"> </w:t>
      </w:r>
      <w:r>
        <w:t xml:space="preserve">referring to the particular algorithm called GSEA.</w:t>
      </w:r>
    </w:p>
    <w:p>
      <w:pPr>
        <w:pStyle w:val="BodyText"/>
      </w:pPr>
      <w:r>
        <w:t xml:space="preserve">However, to avoid confusion, we have removed the GSEA abbreviation from the</w:t>
      </w:r>
      <w:r>
        <w:t xml:space="preserve"> </w:t>
      </w:r>
      <w:r>
        <w:t xml:space="preserve">manuscript.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2021-12-14T15:51:44Z</dcterms:created>
  <dcterms:modified xsi:type="dcterms:W3CDTF">2021-12-14T15:51:44Z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