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Планирование проекта по пяти фазам</w:t>
      </w:r>
    </w:p>
    <w:p>
      <w:pPr>
        <w:pStyle w:val="Subtitle"/>
      </w:pPr>
      <w:r>
        <w:t>Система бронирования оборудования в вузе</w:t>
      </w:r>
    </w:p>
    <w:p>
      <w:r>
        <w:t>Команда: Мартин Майжюс · Чуев Никита · Акнур Акмурадова</w:t>
      </w:r>
    </w:p>
    <w:p>
      <w:r>
        <w:t>13 октября 2026 г. · Расчёты и материалы команды</w:t>
      </w:r>
    </w:p>
    <w:p>
      <w:pPr>
        <w:pStyle w:val="Smallnote"/>
      </w:pPr>
      <w:r>
        <w:t>ИСТОЧНИКИ ДАННЫХ. Мартин, Никита и Акнур подтвердили оценки и предпочтения. За четыре недели с 10 сентября 2026 г. команда закрыла 16 задач; каждый участник указал 6, 5, 4 и 4 чистых часа по неделям — всего 57 человеко-часов. Точные часы и даты отдельных задач не сохранились: ниже они распределены по памяти в пределах 3–5 часов на задачу и обозначены как восстановленные оценки.</w:t>
      </w:r>
    </w:p>
    <w:p>
      <w:pPr>
        <w:pStyle w:val="Heading1"/>
      </w:pPr>
      <w:r>
        <w:t>Краткий итог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47"/>
        <w:gridCol w:w="4847"/>
      </w:tblGrid>
      <w:tr>
        <w:trPr>
          <w:tblHeader/>
        </w:trPr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822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Полученный результат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 Выбор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Концепция A — бронирование оборудования; первое место в нечётком TOPSIS и групповом МАИ.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2. Назначение</w:t>
            </w:r>
          </w:p>
        </w:tc>
        <w:tc>
          <w:tcPr>
            <w:tcW w:type="dxa" w:w="82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12 задач подготовки фазы 3; 80 ч, нагрузки 26 / 27 / 27 ч.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3. Оценка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12 Use Cases; 79 CFP; 106.05 UCP; коллективная медиана 504 ч.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4. Прогноз</w:t>
            </w:r>
          </w:p>
        </w:tc>
        <w:tc>
          <w:tcPr>
            <w:tcW w:type="dxa" w:w="82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80-й процентиль: 4 недели по пропускной способности; 6 недель по часам и ёмкости.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 План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24 работы, оптимальный в рамках модели график 56 рабочих дней, окончание 2027-03-29.</w:t>
            </w:r>
          </w:p>
        </w:tc>
      </w:tr>
    </w:tbl>
    <w:p>
      <w:pPr>
        <w:spacing w:after="0"/>
      </w:pPr>
    </w:p>
    <w:p>
      <w:pPr>
        <w:pStyle w:val="Smallnote"/>
      </w:pPr>
      <w:r>
        <w:t>Связь фаз: фаза 2 планирует работы фазы 3; фаза 4 прогнозирует время выполнения учебных работ фазы 5. График фазы 5 относится уже к гипотетической реализации программного продукта. Эти две шкалы времени не складываются.</w:t>
      </w:r>
    </w:p>
    <w:p>
      <w:pPr>
        <w:pStyle w:val="Heading1"/>
      </w:pPr>
      <w:r>
        <w:t>Фаза 1 Выбор концепции</w:t>
      </w:r>
    </w:p>
    <w:p>
      <w:r>
        <w:t>Рассмотрены четыре кандидата: A — бронирование оборудования, B — координация волонтёров, C — запись к наставникам, D — трекер учебных проектов. Критерии: польза пользователям, реализуемость MVP, ясность сценариев и данных, пригодность для планирования.</w:t>
      </w:r>
    </w:p>
    <w:p>
      <w:r>
        <w:t>Оценки Мартина, Никиты и Акнур отсортированы по каждому показателю в пессимистическую, ожидаемую и оптимистическую оценки. Для TOPSIS они образуют треугольные нечёткие числа; расстояния до положительного и отрицательного идеала дают коэффициент близости C = D−/(D+ + D−). В МАИ геометрически агрегированы парные сравнения, затем рассчитаны локальные и глобальные приоритеты.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198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Концепция</w:t>
            </w:r>
          </w:p>
        </w:tc>
        <w:tc>
          <w:tcPr>
            <w:tcW w:type="dxa" w:w="198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TOPSIS C</w:t>
            </w:r>
          </w:p>
        </w:tc>
        <w:tc>
          <w:tcPr>
            <w:tcW w:type="dxa" w:w="1417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Место</w:t>
            </w:r>
          </w:p>
        </w:tc>
        <w:tc>
          <w:tcPr>
            <w:tcW w:type="dxa" w:w="2268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МАИ, доля</w:t>
            </w:r>
          </w:p>
        </w:tc>
        <w:tc>
          <w:tcPr>
            <w:tcW w:type="dxa" w:w="198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Место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0.793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0.376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0.734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0.272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0.702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0.162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0.725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0.190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pStyle w:val="Smallnote"/>
      </w:pPr>
      <w:r>
        <w:t>Оба метода дают одинаковый порядок A &gt; B &gt; D &gt; C. Для пяти матриц МАИ CR не превышает 0,005, что ниже порога 0,10. Концепция A выбрана для следующих фаз.</w:t>
      </w:r>
    </w:p>
    <w:p>
      <w:r>
        <w:t>Исходные оценки и формулы сохранены в книге фазы 1; единая RACI и журнал времени — в приложении к отчёту.</w:t>
      </w:r>
    </w:p>
    <w:p>
      <w:pPr>
        <w:pStyle w:val="Heading1"/>
        <w:pageBreakBefore/>
      </w:pPr>
      <w:r>
        <w:t>Фаза 2 Оптимизация назначения работ</w:t>
      </w:r>
    </w:p>
    <w:p>
      <w:r>
        <w:t>Разбита именно работа по подготовке фазы 3. Каждый пункт имеет одного исполнителя. Предпочтения 1–5 и плановые часы согласованы командой. Задача максимизирует сумму «оценка предпочтения × часы» при ограничении нагрузки каждого участника 25–40% от 80 ч. Перебраны все достижимые состояния динамическим программированием; решение имеет 26 / 27 / 27 ч и значение целевой функции 396.</w:t>
      </w:r>
    </w:p>
    <w:p>
      <w:r>
        <w:t>Формально xᵢⱼ ∈ {0,1} — назначение задачи i участнику j. Максимизируется ΣᵢΣⱼ hᵢpᵢⱼxᵢⱼ при условиях Σⱼxᵢⱼ = 1 для каждой задачи и 20 ≤ Σᵢhᵢxᵢⱼ ≤ 32 ч для каждого участника. Здесь hᵢ — согласованная плановая трудоёмкость, pᵢⱼ — предпочтение. Точный решатель в приложенном коде использует динамическое программирование по накопленным нагрузкам двух участников; третья определяется общим объёмом.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68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365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Работа</w:t>
            </w:r>
          </w:p>
        </w:tc>
        <w:tc>
          <w:tcPr>
            <w:tcW w:type="dxa" w:w="96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Ч, план</w:t>
            </w:r>
          </w:p>
        </w:tc>
        <w:tc>
          <w:tcPr>
            <w:tcW w:type="dxa" w:w="119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М/Н/А</w:t>
            </w:r>
          </w:p>
        </w:tc>
        <w:tc>
          <w:tcPr>
            <w:tcW w:type="dxa" w:w="2665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T01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Границы MVP и роли пользователей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5/3/4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Мартин Майжюс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T02</w:t>
            </w:r>
          </w:p>
        </w:tc>
        <w:tc>
          <w:tcPr>
            <w:tcW w:type="dxa" w:w="43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Список и цели Use Cases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4/4/5</w:t>
            </w:r>
          </w:p>
        </w:tc>
        <w:tc>
          <w:tcPr>
            <w:tcW w:type="dxa" w:w="26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Акнур Акмурадова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T03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Основные и альтернативные потоки UC01–UC06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3/4/5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Акнур Акмурадова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T04</w:t>
            </w:r>
          </w:p>
        </w:tc>
        <w:tc>
          <w:tcPr>
            <w:tcW w:type="dxa" w:w="43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Основные и альтернативные потоки UC07–UC12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3/5/4</w:t>
            </w:r>
          </w:p>
        </w:tc>
        <w:tc>
          <w:tcPr>
            <w:tcW w:type="dxa" w:w="26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Чуев Никита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T05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Граница COSMIC и группы данных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5/3/3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Мартин Майжюс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T06</w:t>
            </w:r>
          </w:p>
        </w:tc>
        <w:tc>
          <w:tcPr>
            <w:tcW w:type="dxa" w:w="43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Подсчёт движений COSMIC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5/4/2</w:t>
            </w:r>
          </w:p>
        </w:tc>
        <w:tc>
          <w:tcPr>
            <w:tcW w:type="dxa" w:w="26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Мартин Майжюс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T07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Акторы и веса UCP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4/4/3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Чуев Никита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T08</w:t>
            </w:r>
          </w:p>
        </w:tc>
        <w:tc>
          <w:tcPr>
            <w:tcW w:type="dxa" w:w="43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Сложность UC и факторы UCP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4/5/3</w:t>
            </w:r>
          </w:p>
        </w:tc>
        <w:tc>
          <w:tcPr>
            <w:tcW w:type="dxa" w:w="26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Чуев Никита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T09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Индивидуальные оценки трудоёмкости UC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3/3/5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Акнур Акмурадова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T10</w:t>
            </w:r>
          </w:p>
        </w:tc>
        <w:tc>
          <w:tcPr>
            <w:tcW w:type="dxa" w:w="43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Агрегация оценок и сравнение методов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5/4/3</w:t>
            </w:r>
          </w:p>
        </w:tc>
        <w:tc>
          <w:tcPr>
            <w:tcW w:type="dxa" w:w="26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Мартин Майжюс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T11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Команда, срок и исключения из MVP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4/3/5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Акнур Акмурадова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T12</w:t>
            </w:r>
          </w:p>
        </w:tc>
        <w:tc>
          <w:tcPr>
            <w:tcW w:type="dxa" w:w="43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Проверка расчётов и оформление фазы 3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3/5/4</w:t>
            </w:r>
          </w:p>
        </w:tc>
        <w:tc>
          <w:tcPr>
            <w:tcW w:type="dxa" w:w="266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Чуев Никита</w:t>
            </w:r>
          </w:p>
        </w:tc>
      </w:tr>
    </w:tbl>
    <w:p>
      <w:pPr>
        <w:spacing w:after="0"/>
      </w:pPr>
    </w:p>
    <w:p>
      <w:r>
        <w:t>Обоснование RACI: назначенный исполнитель — R; он же A за согласованный результат учебной подзадачи, остальные участники — C при сверке. Совмещение R/A допустимо для малой команды, но итоговая приёмка всей фазы совместная. Фактические даты и часы в журнале расчётной книги оставлены пустыми.</w:t>
      </w:r>
    </w:p>
    <w:p>
      <w:r>
        <w:t>Зависимости: границы MVP и список UC предшествуют сценариям; сценарии — оценкам COSMIC/UCP; индивидуальные оценки предшествуют агрегации; сравнение методов предшествует решению о сроке и составе команды. Поэтому порядок заданий в таблице не означает полную параллельность.</w:t>
      </w:r>
    </w:p>
    <w:p>
      <w:pPr>
        <w:pStyle w:val="Heading1"/>
        <w:pageBreakBefore/>
      </w:pPr>
      <w:r>
        <w:t>Фаза 3 Оценка проекта</w:t>
      </w:r>
    </w:p>
    <w:p>
      <w:pPr>
        <w:pStyle w:val="Heading2"/>
      </w:pPr>
      <w:r>
        <w:t>Границы и сценарии</w:t>
      </w:r>
    </w:p>
    <w:p>
      <w:r>
        <w:t>MVP: каталог оборудования, поиск свободного времени, бронирование, изменение и отмена, выдача, возврат, управление карточками и доступом, уведомления и отчёт. Три акторские роли: студент/сотрудник вуза как заёмщик, работник пункта выдачи, администратор. Граница измерения COSMIC — сервис бронирования; пользовательский интерфейс и внешняя почта снаружи. Одна запись E, X, R или W означает движение группы данных в функциональном процессе, а не каждый технический запрос.</w:t>
      </w:r>
    </w:p>
    <w:p>
      <w:pPr/>
      <w:r>
        <w:rPr>
          <w:b/>
        </w:rPr>
        <w:t xml:space="preserve">UC01 Войти через учётную запись вуза (Студент/сотрудник). </w:t>
      </w:r>
      <w:r>
        <w:t>Основной ход: Пользователь передаёт удостоверение; сервис проверяет роль и открывает сессию. Исключение: Неверная учётная запись: отказ и повторный вход.</w:t>
      </w:r>
    </w:p>
    <w:p>
      <w:pPr/>
      <w:r>
        <w:rPr>
          <w:b/>
        </w:rPr>
        <w:t xml:space="preserve">UC02 Просмотреть каталог оборудования (Студент/сотрудник). </w:t>
      </w:r>
      <w:r>
        <w:t>Основной ход: Выбрать категорию, получить карточки и правила выдачи. Исключение: Пустой результат: предложить сбросить фильтр.</w:t>
      </w:r>
    </w:p>
    <w:p>
      <w:pPr/>
      <w:r>
        <w:rPr>
          <w:b/>
        </w:rPr>
        <w:t xml:space="preserve">UC03 Найти доступный интервал (Студент/сотрудник). </w:t>
      </w:r>
      <w:r>
        <w:t>Основной ход: Указать предмет и даты; получить свободные интервалы. Исключение: Пересечение с бронью: показать ближайшую альтернативу.</w:t>
      </w:r>
    </w:p>
    <w:p>
      <w:pPr/>
      <w:r>
        <w:rPr>
          <w:b/>
        </w:rPr>
        <w:t xml:space="preserve">UC04 Создать заявку на бронь (Студент/сотрудник). </w:t>
      </w:r>
      <w:r>
        <w:t>Основной ход: Выбрать интервал, подтвердить правила, сохранить бронь и уведомить владельца. Исключение: Коллизия или лимит: отказ с объяснением, без двойной брони.</w:t>
      </w:r>
    </w:p>
    <w:p>
      <w:pPr/>
      <w:r>
        <w:rPr>
          <w:b/>
        </w:rPr>
        <w:t xml:space="preserve">UC05 Изменить или отменить бронь (Студент/сотрудник). </w:t>
      </w:r>
      <w:r>
        <w:t>Основной ход: Открыть свою бронь, сменить интервал или отменить, обновить статус. Исключение: После начала выдачи изменение запрещено.</w:t>
      </w:r>
    </w:p>
    <w:p>
      <w:pPr/>
      <w:r>
        <w:rPr>
          <w:b/>
        </w:rPr>
        <w:t xml:space="preserve">UC06 Посмотреть мои брони (Студент/сотрудник). </w:t>
      </w:r>
      <w:r>
        <w:t>Основной ход: Получить список активных и прошлых броней. Исключение: Нет броней: показать пустое состояние.</w:t>
      </w:r>
    </w:p>
    <w:p>
      <w:pPr/>
      <w:r>
        <w:rPr>
          <w:b/>
        </w:rPr>
        <w:t xml:space="preserve">UC07 Подтвердить выдачу оборудования (Сотрудник пункта выдачи). </w:t>
      </w:r>
      <w:r>
        <w:t>Основной ход: Найти заявку, проверить личность и комплектность, отметить выдачу. Исключение: Неявка или неподходящий статус: выдачу блокировать.</w:t>
      </w:r>
    </w:p>
    <w:p>
      <w:pPr/>
      <w:r>
        <w:rPr>
          <w:b/>
        </w:rPr>
        <w:t xml:space="preserve">UC08 Зарегистрировать возврат (Сотрудник пункта выдачи). </w:t>
      </w:r>
      <w:r>
        <w:t>Основной ход: Проверить предмет, отметить возврат и доступность. Исключение: Повреждение: отметить инцидент и вывести предмет из доступных.</w:t>
      </w:r>
    </w:p>
    <w:p>
      <w:pPr/>
      <w:r>
        <w:rPr>
          <w:b/>
        </w:rPr>
        <w:t xml:space="preserve">UC09 Управлять карточкой и доступностью (Администратор). </w:t>
      </w:r>
      <w:r>
        <w:t>Основной ход: Создать или изменить карточку, правила и окна доступности. Исключение: Нельзя удалить предмет с активной бронью.</w:t>
      </w:r>
    </w:p>
    <w:p>
      <w:pPr/>
      <w:r>
        <w:rPr>
          <w:b/>
        </w:rPr>
        <w:t xml:space="preserve">UC10 Управлять правами доступа (Администратор). </w:t>
      </w:r>
      <w:r>
        <w:t>Основной ход: Назначить роль сотрудника и сохранить аудит изменения. Исключение: Самому себе нельзя снять последнюю роль администратора.</w:t>
      </w:r>
    </w:p>
    <w:p>
      <w:pPr/>
      <w:r>
        <w:rPr>
          <w:b/>
        </w:rPr>
        <w:t xml:space="preserve">UC11 Получить уведомление о статусе (Студент/сотрудник). </w:t>
      </w:r>
      <w:r>
        <w:t>Основной ход: После изменения статуса отправить уведомление и записать факт доставки. Исключение: Сбой почты: повторить отправку, бронь оставить действительной.</w:t>
      </w:r>
    </w:p>
    <w:p>
      <w:pPr/>
      <w:r>
        <w:rPr>
          <w:b/>
        </w:rPr>
        <w:t xml:space="preserve">UC12 Посмотреть отчёт по использованию (Администратор). </w:t>
      </w:r>
      <w:r>
        <w:t>Основной ход: Выбрать период и получить число броней и загрузку оборудования. Исключение: Нет данных: нулевой отчёт.</w:t>
      </w:r>
    </w:p>
    <w:p>
      <w:pPr>
        <w:pStyle w:val="Heading2"/>
      </w:pPr>
      <w:r>
        <w:t>COSMIC и веса Use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/>
        </w:trPr>
        <w:tc>
          <w:tcPr>
            <w:tcW w:type="dxa" w:w="130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UC</w:t>
            </w:r>
          </w:p>
        </w:tc>
        <w:tc>
          <w:tcPr>
            <w:tcW w:type="dxa" w:w="1417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Транзакции</w:t>
            </w:r>
          </w:p>
        </w:tc>
        <w:tc>
          <w:tcPr>
            <w:tcW w:type="dxa" w:w="85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E</w:t>
            </w:r>
          </w:p>
        </w:tc>
        <w:tc>
          <w:tcPr>
            <w:tcW w:type="dxa" w:w="85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X</w:t>
            </w:r>
          </w:p>
        </w:tc>
        <w:tc>
          <w:tcPr>
            <w:tcW w:type="dxa" w:w="85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85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W</w:t>
            </w:r>
          </w:p>
        </w:tc>
        <w:tc>
          <w:tcPr>
            <w:tcW w:type="dxa" w:w="113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CFP</w:t>
            </w:r>
          </w:p>
        </w:tc>
        <w:tc>
          <w:tcPr>
            <w:tcW w:type="dxa" w:w="153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Вес UCP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UC02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3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UC03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UC04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53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UC05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UC06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3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UC07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UC08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53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UC09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UC10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3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UC11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UC12</w:t>
            </w:r>
          </w:p>
        </w:tc>
        <w:tc>
          <w:tcPr>
            <w:tcW w:type="dxa" w:w="141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3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Итого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115</w:t>
            </w:r>
          </w:p>
        </w:tc>
      </w:tr>
    </w:tbl>
    <w:p>
      <w:pPr>
        <w:spacing w:after="0"/>
      </w:pPr>
    </w:p>
    <w:p>
      <w:r>
        <w:t>Классы UC: простой — до 3 транзакций и вес 5; средний — 4–7 и вес 10; сложный — более 7 и вес 15. Все движения COSMIC посчитаны для уникальных групп данных в указанной границе. Детальный список E/X/R/W доступен в расчётной книге.</w:t>
      </w:r>
    </w:p>
    <w:p>
      <w:pPr>
        <w:pStyle w:val="Heading2"/>
      </w:pPr>
      <w:r>
        <w:t>Use Case Points</w:t>
      </w:r>
    </w:p>
    <w:p>
      <w:r>
        <w:t>UAW = 9 (три сложных актора × 3); UUCW = 115; UUCP = 124. Технический и средовой коэффициенты рассчитаны по классическим 13 и 8 факторам с оценкой 0–5.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4"/>
        <w:gridCol w:w="2424"/>
        <w:gridCol w:w="2424"/>
        <w:gridCol w:w="2424"/>
      </w:tblGrid>
      <w:tr>
        <w:trPr>
          <w:tblHeader/>
        </w:trPr>
        <w:tc>
          <w:tcPr>
            <w:tcW w:type="dxa" w:w="5669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Технический фактор</w:t>
            </w:r>
          </w:p>
        </w:tc>
        <w:tc>
          <w:tcPr>
            <w:tcW w:type="dxa" w:w="119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119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Балл</w:t>
            </w:r>
          </w:p>
        </w:tc>
        <w:tc>
          <w:tcPr>
            <w:tcW w:type="dxa" w:w="130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Произв.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Распределённость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Время отклика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Эффективность пользователя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Сложная обработка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Повторное использование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Простота установки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0.5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Удобство эксплуатации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0.5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Переносимость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Простота изменений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Параллелизм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Доступ третьих сторон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Обучение пользователей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Сумма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34.5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4"/>
        <w:gridCol w:w="2424"/>
        <w:gridCol w:w="2424"/>
        <w:gridCol w:w="2424"/>
      </w:tblGrid>
      <w:tr>
        <w:trPr>
          <w:tblHeader/>
        </w:trPr>
        <w:tc>
          <w:tcPr>
            <w:tcW w:type="dxa" w:w="5669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Фактор среды</w:t>
            </w:r>
          </w:p>
        </w:tc>
        <w:tc>
          <w:tcPr>
            <w:tcW w:type="dxa" w:w="119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119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Балл</w:t>
            </w:r>
          </w:p>
        </w:tc>
        <w:tc>
          <w:tcPr>
            <w:tcW w:type="dxa" w:w="130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Произв.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Знание процесса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1.5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4.5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Опыт с приложениями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0.5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ООП опыт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Ведущий аналитик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0.5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Мотивация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Стабильность требований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Частичная занятость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-1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-2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Сложность языка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-1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-2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Сумма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16.5</w:t>
            </w:r>
          </w:p>
        </w:tc>
      </w:tr>
    </w:tbl>
    <w:p>
      <w:pPr>
        <w:spacing w:after="0"/>
      </w:pPr>
    </w:p>
    <w:p>
      <w:r>
        <w:t>TCF = 0,6 + 0,01 × 34.5 = 0.945; ECF = 1,4 − 0,03 × 16.5 = 0.905. UCP = UUCP × TCF × ECF = 106.05. При принятой норме 20 ч/UCP получается 2121 ч. Норма не откалибрована на завершённых проектах этой команды.</w:t>
      </w:r>
    </w:p>
    <w:p>
      <w:pPr>
        <w:pStyle w:val="Heading2"/>
      </w:pPr>
      <w:r>
        <w:t>Экспертная трудоёмкость и решение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UC</w:t>
            </w:r>
          </w:p>
        </w:tc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Мартин, ч</w:t>
            </w:r>
          </w:p>
        </w:tc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Никита, ч</w:t>
            </w:r>
          </w:p>
        </w:tc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Акнур, ч</w:t>
            </w:r>
          </w:p>
        </w:tc>
        <w:tc>
          <w:tcPr>
            <w:tcW w:type="dxa" w:w="198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Медиана, 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15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UC02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24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UC03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30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UC04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74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47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UC06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21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UC07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58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UC08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53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UC09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62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UC10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38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UC11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29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UC12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40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Итого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491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483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511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504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2"/>
        <w:gridCol w:w="3232"/>
        <w:gridCol w:w="3232"/>
      </w:tblGrid>
      <w:tr>
        <w:trPr>
          <w:tblHeader/>
        </w:trPr>
        <w:tc>
          <w:tcPr>
            <w:tcW w:type="dxa" w:w="2835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Подход</w:t>
            </w:r>
          </w:p>
        </w:tc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Часы</w:t>
            </w:r>
          </w:p>
        </w:tc>
        <w:tc>
          <w:tcPr>
            <w:tcW w:type="dxa" w:w="5386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Коллективный экспертный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504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Сумма медиан по 12 UC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COSMIC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632</w:t>
            </w:r>
          </w:p>
        </w:tc>
        <w:tc>
          <w:tcPr>
            <w:tcW w:type="dxa" w:w="5386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79 CFP × принятые 8 ч/CFP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UCP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2121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106,05 UCP × принятые 20 ч/UCP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Предварительный бюджет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760</w:t>
            </w:r>
          </w:p>
        </w:tc>
        <w:tc>
          <w:tcPr>
            <w:tcW w:type="dxa" w:w="5386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max(504, 632) × 1,2, округление до 40 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WBS после фазы 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880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110 человеко-дней × 8 ч</w:t>
            </w:r>
          </w:p>
        </w:tc>
      </w:tr>
    </w:tbl>
    <w:p>
      <w:pPr>
        <w:spacing w:after="0"/>
      </w:pPr>
    </w:p>
    <w:p>
      <w:r>
        <w:t>Расхождение между UCP и другими оценками отражает неопределённость коэффициента 20 ч/UCP, акторов и архитектурного объёма. Его нельзя усреднять с остальными без калибровки. Для предварительного решения принят COSMIC как более явно привязанный к функциям, плюс 20% резерв; детальная WBS затем повысила базовую трудоёмкость до 880 ч. Перед реальным запуском бюджет нужно пересогласовать.</w:t>
      </w:r>
    </w:p>
    <w:p>
      <w:r>
        <w:t>Вариант команды реализации: BA 1, архитектор 1, разработчики 2, дизайнер 1, тестировщик 1, DevOps 1. Это роли/мощности в модели, не участники учебной тройки. При ограничении бюджета сначала кандидатами на перенос после MVP становятся UC12 (отчёт) и UC11 (уведомления); изменения требуют нового расчёта COSMIC, UCP, WBS и зависимостей. Ключевой поток UC03–UC08 исключать нельзя без потери смысла продукта.</w:t>
      </w:r>
    </w:p>
    <w:p>
      <w:pPr>
        <w:pStyle w:val="Heading1"/>
        <w:pageBreakBefore/>
      </w:pPr>
      <w:r>
        <w:t>Фаза 4 Прогноз срока подготовки фазы 5</w:t>
      </w:r>
    </w:p>
    <w:p>
      <w:r>
        <w:t>Здесь измеряются учебные работы трёх участников по построению графика, а не программирование продукта. Для 12 работ согласованы минимальная, наиболее вероятная и максимальная чистая трудоёмкость в часах. Недельная история ниже записана по данным команды с 10 сентября 2026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79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669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Работа</w:t>
            </w:r>
          </w:p>
        </w:tc>
        <w:tc>
          <w:tcPr>
            <w:tcW w:type="dxa" w:w="96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Мин</w:t>
            </w:r>
          </w:p>
        </w:tc>
        <w:tc>
          <w:tcPr>
            <w:tcW w:type="dxa" w:w="136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Вероятно</w:t>
            </w:r>
          </w:p>
        </w:tc>
        <w:tc>
          <w:tcPr>
            <w:tcW w:type="dxa" w:w="96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Макс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P01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Уточнить объём MVP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P02</w:t>
            </w:r>
          </w:p>
        </w:tc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Разбить реализацию на 24 работы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P03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Проверить длительности работ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P04</w:t>
            </w:r>
          </w:p>
        </w:tc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Назначить роли и мощности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P05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Построить зависимости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P06</w:t>
            </w:r>
          </w:p>
        </w:tc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Расчёт ранних и поздних сроков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P07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Реализовать генератор расписания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P08</w:t>
            </w:r>
          </w:p>
        </w:tc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Прогнать правила приоритета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P09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Проверить ограничения ресурсов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P10</w:t>
            </w:r>
          </w:p>
        </w:tc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Сравнить сроки и выбрать план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P11</w:t>
            </w:r>
          </w:p>
        </w:tc>
        <w:tc>
          <w:tcPr>
            <w:tcW w:type="dxa" w:w="56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Составить RACI и обоснование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P12</w:t>
            </w:r>
          </w:p>
        </w:tc>
        <w:tc>
          <w:tcPr>
            <w:tcW w:type="dxa" w:w="566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Оформить и проверить отчёт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96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Неделя</w:t>
            </w:r>
          </w:p>
        </w:tc>
        <w:tc>
          <w:tcPr>
            <w:tcW w:type="dxa" w:w="3005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Период</w:t>
            </w:r>
          </w:p>
        </w:tc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Закрыто задач</w:t>
            </w:r>
          </w:p>
        </w:tc>
        <w:tc>
          <w:tcPr>
            <w:tcW w:type="dxa" w:w="204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Часы на участника</w:t>
            </w:r>
          </w:p>
        </w:tc>
        <w:tc>
          <w:tcPr>
            <w:tcW w:type="dxa" w:w="198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Часы команды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2026-09-10 — 2026-09-16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0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2026-09-17 — 2026-09-23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04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2026-09-24 — 2026-09-30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00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2026-10-01 — 2026-10-07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04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8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12</w:t>
            </w:r>
          </w:p>
        </w:tc>
      </w:tr>
    </w:tbl>
    <w:p>
      <w:pPr>
        <w:spacing w:after="0"/>
      </w:pPr>
    </w:p>
    <w:p>
      <w:r>
        <w:t>Модель 1: в каждом прогоне из эмпирических недель с возвращением берётся число закрытых задач; суммирование продолжается до 12. Модель 2: по каждой работе берётся треугольное случайное значение часов, недельная мощность берётся с возвращением из журнала; суммирование продолжается до покрытия суммы. В обеих моделях 50 000 прогонов, фиксированное зерно 42024; 80-й процентиль — наименьшее целое число недель, где накоплена вероятность не менее 0,8.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3515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Модель</w:t>
            </w:r>
          </w:p>
        </w:tc>
        <w:tc>
          <w:tcPr>
            <w:tcW w:type="dxa" w:w="181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Среднее, нед.</w:t>
            </w:r>
          </w:p>
        </w:tc>
        <w:tc>
          <w:tcPr>
            <w:tcW w:type="dxa" w:w="130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P50</w:t>
            </w:r>
          </w:p>
        </w:tc>
        <w:tc>
          <w:tcPr>
            <w:tcW w:type="dxa" w:w="130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P80</w:t>
            </w:r>
          </w:p>
        </w:tc>
        <w:tc>
          <w:tcPr>
            <w:tcW w:type="dxa" w:w="130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P90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1. Пропускная способность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3.34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2. Часы/ёмкость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5.83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0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</w:t>
            </w:r>
          </w:p>
        </w:tc>
      </w:tr>
    </w:tbl>
    <w:p>
      <w:pPr>
        <w:spacing w:after="0"/>
      </w:pPr>
    </w:p>
    <w:p>
      <w:r>
        <w:t>Вторая модель даёт 6 недель против 4: согласованный объём фазы 5 около 70 ч, а в наблюдавшиеся недели команда выделяла 12–18 человеко-часов. Простое число закрытых задач не учитывает разный размер работы. Для планирования выбран ориентир 6 недель. История состоит только из четырёх недель, поэтому прогноз чувствителен к изменению темпа.</w:t>
      </w:r>
    </w:p>
    <w:p>
      <w:pPr>
        <w:pStyle w:val="Heading1"/>
        <w:pageBreakBefore/>
      </w:pPr>
      <w:r>
        <w:t>Фаза 5 Ресурсный график реализации MVP</w:t>
      </w:r>
    </w:p>
    <w:p>
      <w:r>
        <w:t>Планируется гипотетическая разработка после учебного этапа: старт в понедельник 11.01.2027, пятидневная неделя, 8 часов в день и 40 часов в неделю. Задачи не прерываются; исполнитель одной роли работает не более над одной задачей одновременно. Мощности: BA 1, архитектор 1, разработчики 2, дизайнер 1, тестировщик 1, DevOps 1. Время в таблице — рабочие дни.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737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649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Работа</w:t>
            </w:r>
          </w:p>
        </w:tc>
        <w:tc>
          <w:tcPr>
            <w:tcW w:type="dxa" w:w="85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Дни</w:t>
            </w:r>
          </w:p>
        </w:tc>
        <w:tc>
          <w:tcPr>
            <w:tcW w:type="dxa" w:w="1757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Ресурсы</w:t>
            </w:r>
          </w:p>
        </w:tc>
        <w:tc>
          <w:tcPr>
            <w:tcW w:type="dxa" w:w="1928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Предшественники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A01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Согласовать MVP и критерии готовности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BA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A02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Уточнить процессы выдачи и возврата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BA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A03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Спроектировать архитектуру и модель данных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Архитектор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A04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Создать прототип интерфейса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Дизайнер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A05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Настроить репозиторий и сборку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DevOps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A06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Подготовить БД и миграции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A03,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A07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авторизацию и роли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A08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каталог и карточку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A04, A06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A09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календарь доступности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A10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бронирование и проверку конфликтов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A07, A09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A11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мои брони и отмену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A12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выдачу и возврат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A02, A10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A13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управление оборудованием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A07, A08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A14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уведомления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A15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Реализовать отчёт об использовании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A12, A13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A16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Сверстать пользовательские экраны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A04, A07, A08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A17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Сверстать экраны сотрудника и администратора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A12, A13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A18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Подготовить тестовые сценарии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Тестировщик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A02,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A19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Провести модульные и API-тесты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Тестировщик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A10, A11, A12, A13, A14, A15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A20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Провести сквозные и нагрузочные тесты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Тестировщик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A16, A17, A19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A21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Исправить найденные дефекты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Разработчик 2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A20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A22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Подготовить развертывание и резервирование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DevOps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A05, A15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A23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Провести приёмку с заказчиком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BA 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A21, A22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A24</w:t>
            </w:r>
          </w:p>
        </w:tc>
        <w:tc>
          <w:tcPr>
            <w:tcW w:type="dxa" w:w="464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Выпустить MVP и передать инструкции</w:t>
            </w:r>
          </w:p>
        </w:tc>
        <w:tc>
          <w:tcPr>
            <w:tcW w:type="dxa" w:w="85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757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DevOps 1</w:t>
            </w:r>
          </w:p>
        </w:tc>
        <w:tc>
          <w:tcPr>
            <w:tcW w:type="dxa" w:w="192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A23</w:t>
            </w:r>
          </w:p>
        </w:tc>
      </w:tr>
    </w:tbl>
    <w:p>
      <w:pPr>
        <w:spacing w:after="0"/>
      </w:pPr>
    </w:p>
    <w:p>
      <w:r>
        <w:t>Сначала вычислены ранние и поздние сроки без ограничений ресурсов; нижняя граница критического пути — 56 рабочих дней. Затем серийный генератор выбирает доступную по зависимостям работу по правилу приоритета и ставит её в первый срок, где хватает всех ресурсов. Проверены все зависимости и дневные мощности.</w:t>
      </w:r>
    </w:p>
    <w:p>
      <w:pPr>
        <w:pStyle w:val="Heading2"/>
      </w:pPr>
      <w:r>
        <w:t>Сравнение правил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2"/>
        <w:gridCol w:w="3232"/>
        <w:gridCol w:w="3232"/>
      </w:tblGrid>
      <w:tr>
        <w:trPr>
          <w:tblHeader/>
        </w:trPr>
        <w:tc>
          <w:tcPr>
            <w:tcW w:type="dxa" w:w="4139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2268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Дней</w:t>
            </w:r>
          </w:p>
        </w:tc>
        <w:tc>
          <w:tcPr>
            <w:tcW w:type="dxa" w:w="2835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Откл. от лучшего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SLK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FREE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LST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LFT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LSTLFT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GRPW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LPT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MIS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GRD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GRWC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GCRWC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ROT</w:t>
            </w:r>
          </w:p>
        </w:tc>
        <w:tc>
          <w:tcPr>
            <w:tcW w:type="dxa" w:w="2268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2835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RANDOM (лучший из 100)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7"/>
              </w:rPr>
              <w:t>2</w:t>
            </w:r>
          </w:p>
        </w:tc>
      </w:tr>
    </w:tbl>
    <w:p>
      <w:pPr>
        <w:spacing w:after="0"/>
      </w:pPr>
    </w:p>
    <w:p>
      <w:r>
        <w:t>Обозначения приоритетов: SLK — меньший общий резерв; FREE — меньший свободный резерв; LST/LFT — более ранний поздний старт/финиш; LSTLFT — меньшая сумма этих сроков; GRPW — большая сумма длительности задачи и её прямых последователей; LPT — более длинная задача; MIS — больше прямых последователей; GRD — длительность × число требуемых специалистов; GRWC — большее число требуемых специалистов; GCRWC — сумма потребности задачи и её прямых последователей; ROT — сумма долей потребности от мощности каждого ресурса, делённая на длительность. При равенстве выбирается меньший ID. RANDOM — лучший из 100 воспроизводимых случайных порядков.</w:t>
      </w:r>
    </w:p>
    <w:p>
      <w:r>
        <w:t>Лучшее правило LST даёт 56 рабочих дней. Поскольку получен выполнимый план, совпадающий с нижней границей критического пути 56, срок оптимален для зафиксированных длительностей, зависимостей и мощностей. Окончание — 2027-03-29.</w:t>
      </w:r>
    </w:p>
    <w:p>
      <w:pPr>
        <w:pStyle w:val="Heading2"/>
      </w:pPr>
      <w:r>
        <w:t>Даты выбранного графика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9"/>
        <w:gridCol w:w="1939"/>
        <w:gridCol w:w="1939"/>
        <w:gridCol w:w="1939"/>
        <w:gridCol w:w="1939"/>
      </w:tblGrid>
      <w:tr>
        <w:trPr>
          <w:tblHeader/>
        </w:trPr>
        <w:tc>
          <w:tcPr>
            <w:tcW w:type="dxa" w:w="113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1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814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Окончание</w:t>
            </w:r>
          </w:p>
        </w:tc>
        <w:tc>
          <w:tcPr>
            <w:tcW w:type="dxa" w:w="170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Резерв, дни</w:t>
            </w:r>
          </w:p>
        </w:tc>
        <w:tc>
          <w:tcPr>
            <w:tcW w:type="dxa" w:w="306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Предшественники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2027-01-11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2027-01-13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A02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2027-01-14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2027-01-18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A03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2027-01-14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2027-01-19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A04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2027-01-14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2027-01-19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A05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2027-01-20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2027-01-21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A06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2027-01-22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2027-01-26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A03, A05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2027-01-27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2027-02-02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A08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2027-02-03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2027-02-09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A04, A06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A09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2027-01-27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2027-02-03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A10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2027-02-04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2027-02-12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A07, A09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2027-02-17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2027-02-22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A12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2027-02-15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2027-02-22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A02, A10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A13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2027-02-10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A07, A08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A14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2027-02-23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2027-02-26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A15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2027-02-23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2027-02-26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A12, A13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A16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2027-03-01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2027-03-08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A04, A07, A08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A17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2027-03-01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2027-03-05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A12, A13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A18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2027-01-20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2027-01-25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A02, A04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A19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2027-03-01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2027-03-08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A10, A11, A12, A13, A14, A15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A20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2027-03-09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2027-03-15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A16, A17, A19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2027-03-16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2027-03-22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A22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2027-03-01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2027-03-04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A05, A15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A23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2027-03-23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2027-03-25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A21, A22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A24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6"/>
              </w:rPr>
              <w:t>2027-03-26</w:t>
            </w:r>
          </w:p>
        </w:tc>
        <w:tc>
          <w:tcPr>
            <w:tcW w:type="dxa" w:w="1814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2027-03-29</w:t>
            </w:r>
          </w:p>
        </w:tc>
        <w:tc>
          <w:tcPr>
            <w:tcW w:type="dxa" w:w="170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06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6"/>
              </w:rPr>
              <w:t>A23</w:t>
            </w:r>
          </w:p>
        </w:tc>
      </w:tr>
    </w:tbl>
    <w:p>
      <w:pPr>
        <w:spacing w:after="0"/>
      </w:pPr>
    </w:p>
    <w:p>
      <w:r>
        <w:t>Работы с нулевым сетевым резервом: A01, A03, A05, A06, A09, A10, A12, A15, A19, A20, A21, A23, A24. Совокупная трудоёмкость WBS — 110 человеко-дней, или 880 ч. Это на 120 ч больше предварительного бюджета фазы 3; для реального проекта базовый бюджет следует повысить либо пересмотреть объём.</w:t>
      </w:r>
    </w:p>
    <w:p>
      <w:pPr>
        <w:pStyle w:val="Heading1"/>
      </w:pPr>
      <w:r>
        <w:t>Управление работой команды и сдача</w:t>
      </w:r>
    </w:p>
    <w:p>
      <w:r>
        <w:t>Учебная команда состоит из трёх названных участников. Оценки М1–М3 соотносятся с Мартином, Никитой и Акнур в этом порядке. Для фазы 1 и связанных фаз 2–3 и 4–5 единая RACI по каждой учебной задаче приведена в приложенной книге. Назначение фаз 2–3 следует предпочтениям и ограничению нагрузки; для 4–5 вычисления и проверка графика распределены между Мартином и Никитой, оформление и сверка — с Акнур.</w:t>
      </w:r>
    </w:p>
    <w:p>
      <w:r>
        <w:t>По данным бумажного журнала за 10.09–07.10.2026 команда закрыла 16 задач и затратила 57 чистых человеко-часов. Недельные итоги перенесены дословно. По просьбе команды 57 часов распределены по 16 работам в диапазоне 3–5 ч; соответствие конкретных работ неделям восстановлено по последовательности WBS. Эти строки пригодны для отчётной оценки, но не являются точным хронометражем. Фазы 2 и 3, как и 4 и 5, не удваивают плановые часы: первая фаза пары готовит работу второй.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4"/>
        <w:gridCol w:w="2424"/>
        <w:gridCol w:w="2424"/>
        <w:gridCol w:w="2424"/>
      </w:tblGrid>
      <w:tr>
        <w:trPr>
          <w:tblHeader/>
        </w:trPr>
        <w:tc>
          <w:tcPr>
            <w:tcW w:type="dxa" w:w="1020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7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5839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Работа</w:t>
            </w:r>
          </w:p>
        </w:tc>
        <w:tc>
          <w:tcPr>
            <w:tcW w:type="dxa" w:w="1191"/>
            <w:shd w:fill="24416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Часы, восстановлено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F1-01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10.09 — 16.09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Уточнить концепции и критерии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F1-02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10.09 — 16.09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Провести независимые оценки TOPSIS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F1-03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10.09 — 16.09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Провести парные сравнения МАИ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F1-04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10.09 — 16.09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Проверить полноту и согласованность оценок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17.09 — 23.09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Рассчитать нечёткий коллективный TOPSIS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F1-06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17.09 — 23.09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Рассчитать чёткий коллективный МАИ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F1-07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17.09 — 23.09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Сопоставить результаты и выбрать концепцию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F1-08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17.09 — 23.09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Описать исходные данные, расчёты и вывод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F1-09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17.09 — 23.09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Обновить RACI и учёт времени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T01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24.09 — 30.09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Границы MVP и роли пользователей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T02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24.09 — 30.09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Список и цели Use Cases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T03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24.09 — 30.09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Основные и альтернативные потоки UC01–UC06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T04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01.10 — 07.10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Основные и альтернативные потоки UC07–UC12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T05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01.10 — 07.10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Граница COSMIC и группы данных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T06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01.10 — 07.10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Подсчёт движений COSMIC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T07</w:t>
            </w:r>
          </w:p>
        </w:tc>
        <w:tc>
          <w:tcPr>
            <w:tcW w:type="dxa" w:w="187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</w:pPr>
            <w:r>
              <w:rPr>
                <w:sz w:val="15"/>
              </w:rPr>
              <w:t>01.10 — 07.10</w:t>
            </w:r>
          </w:p>
        </w:tc>
        <w:tc>
          <w:tcPr>
            <w:tcW w:type="dxa" w:w="5839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Акторы и веса UCP</w:t>
            </w:r>
          </w:p>
        </w:tc>
        <w:tc>
          <w:tcPr>
            <w:tcW w:type="dxa" w:w="1191"/>
            <w:vAlign w:val="center"/>
            <w:shd w:fill="F5F8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 w:before="20"/>
              <w:jc w:val="center"/>
            </w:pPr>
            <w:r>
              <w:rPr>
                <w:sz w:val="15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</w:pPr>
      <w:r>
        <w:t>Что сделать перед сдачей</w:t>
      </w:r>
    </w:p>
    <w:p>
      <w:pPr>
        <w:pStyle w:val="ListBullet"/>
      </w:pPr>
      <w:r>
        <w:t>Проверить подписи участников под согласованными оценками и итоговым выбором концепции.</w:t>
      </w:r>
    </w:p>
    <w:p>
      <w:pPr>
        <w:pStyle w:val="ListBullet"/>
      </w:pPr>
      <w:r>
        <w:t>Сверить Use Cases, движения COSMIC, веса UCP и принятые нормы производительности с требованиями преподавателя.</w:t>
      </w:r>
    </w:p>
    <w:p>
      <w:pPr>
        <w:pStyle w:val="ListBullet"/>
      </w:pPr>
      <w:r>
        <w:t>Сверить восстановленное распределение задач по неделям и времени с бумажными пометками; при наличии точных записей заменить оценки 3–5 ч.</w:t>
      </w:r>
    </w:p>
    <w:p>
      <w:pPr>
        <w:pStyle w:val="ListBullet"/>
      </w:pPr>
      <w:r>
        <w:t>Проверить зависимости, ресурсы и длительности 24 работ, а также единую RACI перед окончательной сдачей.</w:t>
      </w:r>
    </w:p>
    <w:p>
      <w:pPr>
        <w:pStyle w:val="ListBullet"/>
      </w:pPr>
      <w:r>
        <w:t>Загрузить DOCX, книги XLSX и код воспроизведения расчётов в общее облако/репозиторий; передать ссылку преподавателю по принятому в группе каналу.</w:t>
      </w:r>
    </w:p>
    <w:p>
      <w:pPr>
        <w:pStyle w:val="Heading2"/>
      </w:pPr>
      <w:r>
        <w:t>Источники методов и принятые допущения</w:t>
      </w:r>
    </w:p>
    <w:p>
      <w:pPr>
        <w:pStyle w:val="Smallnote"/>
      </w:pPr>
      <w:r>
        <w:t>Исходное задание: «Задание.docx», предоставлено пользователем; структура фаз и требование RACI, чистого времени и общего хранилища.</w:t>
      </w:r>
    </w:p>
    <w:p>
      <w:pPr>
        <w:pStyle w:val="Smallnote"/>
      </w:pPr>
      <w:r>
        <w:t>COSMIC Measurement Manual v5.0: https://cosmic-sizing.org/wp-content/uploads/2022/11/Combination-of-Parts-v5.0-Sep-2024.pdf</w:t>
      </w:r>
    </w:p>
    <w:p>
      <w:pPr>
        <w:pStyle w:val="Smallnote"/>
      </w:pPr>
      <w:r>
        <w:t>Karner, Resource Estimation for Objectory Projects (1993): https://citeseerx.ist.psu.edu/document?doi=17b5f04743cd13f6077fbdec227719e5d83dba10&amp;repid=rep1&amp;type=pdf</w:t>
      </w:r>
    </w:p>
    <w:p>
      <w:pPr>
        <w:pStyle w:val="Smallnote"/>
      </w:pPr>
      <w:r>
        <w:t>Kolisch, Serial and parallel resource-constrained project scheduling methods revisited (1996): https://www.sciencedirect.com/science/article/pii/0377221795003576</w:t>
      </w:r>
    </w:p>
    <w:p>
      <w:pPr>
        <w:pStyle w:val="Smallnote"/>
      </w:pPr>
      <w:r>
        <w:t>Коэффициенты 8 ч/CFP и 20 ч/UCP и длительности будущей разработки — принятые плановые допущения. Четыре недельных итога работ переданы командой.</w:t>
      </w:r>
    </w:p>
    <w:sectPr w:rsidR="00FC693F" w:rsidRPr="0006063C" w:rsidSect="00034616">
      <w:pgSz w:w="11906" w:h="16838"/>
      <w:pgMar w:top="1134" w:right="96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4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0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5D67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