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478"/>
          <w:sz w:val="24"/>
        </w:rPr>
        <w:t>SHIELDSENSE</w:t>
      </w:r>
    </w:p>
    <w:p>
      <w:pPr>
        <w:pStyle w:val="Title"/>
        <w:jc w:val="center"/>
      </w:pPr>
      <w:r>
        <w:t>Technical Handover Report</w:t>
      </w:r>
    </w:p>
    <w:p>
      <w:pPr>
        <w:jc w:val="center"/>
      </w:pPr>
      <w:r>
        <w:rPr>
          <w:b/>
          <w:sz w:val="22"/>
        </w:rPr>
        <w:t>ITEC320 — Work Integrated Learning</w:t>
      </w:r>
    </w:p>
    <w:p>
      <w:pPr>
        <w:jc w:val="center"/>
      </w:pPr>
      <w:r>
        <w:t>Project status as of 14 October 2026</w:t>
      </w:r>
    </w:p>
    <w:p>
      <w:r>
        <w:t>Purpose: This report summarises the ShieldSense proof of concept, testing completed, how to run the application, known limitations, and recommended future work.</w:t>
      </w:r>
    </w:p>
    <w:p>
      <w:pPr>
        <w:pStyle w:val="Heading1"/>
      </w:pPr>
      <w:r>
        <w:t>1. Project Overview</w:t>
      </w:r>
    </w:p>
    <w:p>
      <w:r>
        <w:t>ShieldSense is a proof-of-concept web application developed as part of the ITEC320 Work Integrated Learning project. It helps users assess potentially suspicious SMS and chat messages. Users enter a message in a Streamlit interface, and the application displays a LOW, MEDIUM, or HIGH risk classification with an explanation.</w:t>
      </w:r>
    </w:p>
    <w:p>
      <w:pPr>
        <w:pStyle w:val="ListBullet"/>
      </w:pPr>
      <w:r>
        <w:t>LOW (Green): Low risk according to the current classifier.</w:t>
      </w:r>
    </w:p>
    <w:p>
      <w:pPr>
        <w:pStyle w:val="ListBullet"/>
      </w:pPr>
      <w:r>
        <w:t>MEDIUM (Amber): Indicators are present that require caution.</w:t>
      </w:r>
    </w:p>
    <w:p>
      <w:pPr>
        <w:pStyle w:val="ListBullet"/>
      </w:pPr>
      <w:r>
        <w:t>HIGH (Red): Indicators associated with a potentially suspicious message are present.</w:t>
      </w:r>
    </w:p>
    <w:p>
      <w:r>
        <w:t>ShieldSense is an educational proof of concept. A LOW result does not guarantee that a message is legitimate, and the application should not be treated as a guarantee that a message is safe or fraudulent.</w:t>
      </w:r>
    </w:p>
    <w:p>
      <w:pPr>
        <w:pStyle w:val="Heading1"/>
      </w:pPr>
      <w:r>
        <w:t>2. Integration and Application</w:t>
      </w:r>
    </w:p>
    <w:p>
      <w:r>
        <w:t>The Streamlit interface is located in interface_accessibility/app.py. It connects to the rules-based classifier and machine-learning predictor. The application was tested locally with selected normal and suspicious messages.</w:t>
      </w:r>
    </w:p>
    <w:p>
      <w:r>
        <w:t>Four selected integrated application scenarios produced their expected classifications. The rules-based classifier was updated to recognise additional account-warning phrases, including “account is suspended”, “account is blocked”, and “account is locked”. The change was committed and pushed to GitHub in commit 1763dfa.</w:t>
      </w:r>
    </w:p>
    <w:p>
      <w:r>
        <w:t>The Model &amp; Evaluation Lead should review the expected behaviour of these changes as part of ongoing evaluation. The changes improve handling of tested wording variations but do not establish overall scam-detection accuracy.</w:t>
      </w:r>
    </w:p>
    <w:p>
      <w:pPr>
        <w:pStyle w:val="Heading1"/>
      </w:pPr>
      <w:r>
        <w:t>3. Quality Assurance Results</w:t>
      </w:r>
    </w:p>
    <w:p>
      <w:r>
        <w:t>The rules-based baseline QA script completed seven test cases, with seven passing and zero failing.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r>
              <w:rPr>
                <w:b/>
                <w:color w:val="FFFFFF"/>
              </w:rPr>
              <w:t>Test</w:t>
            </w:r>
          </w:p>
        </w:tc>
        <w:tc>
          <w:tcPr>
            <w:tcW w:type="dxa" w:w="3312"/>
            <w:vAlign w:val="center"/>
            <w:shd w:fill="1F4E79"/>
          </w:tcPr>
          <w:p>
            <w:r>
              <w:rPr>
                <w:b/>
                <w:color w:val="FFFFFF"/>
              </w:rPr>
              <w:t>Scenario</w:t>
            </w:r>
          </w:p>
        </w:tc>
        <w:tc>
          <w:tcPr>
            <w:tcW w:type="dxa" w:w="3312"/>
            <w:vAlign w:val="center"/>
            <w:shd w:fill="1F4E79"/>
          </w:tcPr>
          <w:p>
            <w:r>
              <w:rPr>
                <w:b/>
                <w:color w:val="FFFFFF"/>
              </w:rPr>
              <w:t>Recorded result</w:t>
            </w:r>
          </w:p>
        </w:tc>
      </w:tr>
      <w:tr>
        <w:tc>
          <w:tcPr>
            <w:tcW w:type="dxa" w:w="3312"/>
            <w:vAlign w:val="center"/>
          </w:tcPr>
          <w:p>
            <w:r>
              <w:t>TC07</w:t>
            </w:r>
          </w:p>
        </w:tc>
        <w:tc>
          <w:tcPr>
            <w:tcW w:type="dxa" w:w="3312"/>
            <w:vAlign w:val="center"/>
          </w:tcPr>
          <w:p>
            <w:r>
              <w:t>Password-related request</w:t>
            </w:r>
          </w:p>
        </w:tc>
        <w:tc>
          <w:tcPr>
            <w:tcW w:type="dxa" w:w="3312"/>
            <w:vAlign w:val="center"/>
          </w:tcPr>
          <w:p>
            <w:r>
              <w:t>HIGH — PASS</w:t>
            </w:r>
          </w:p>
        </w:tc>
      </w:tr>
      <w:tr>
        <w:tc>
          <w:tcPr>
            <w:tcW w:type="dxa" w:w="3312"/>
            <w:vAlign w:val="center"/>
          </w:tcPr>
          <w:p>
            <w:r>
              <w:t>TC08</w:t>
            </w:r>
          </w:p>
        </w:tc>
        <w:tc>
          <w:tcPr>
            <w:tcW w:type="dxa" w:w="3312"/>
            <w:vAlign w:val="center"/>
          </w:tcPr>
          <w:p>
            <w:r>
              <w:t>Blocked bank account and transfer request</w:t>
            </w:r>
          </w:p>
        </w:tc>
        <w:tc>
          <w:tcPr>
            <w:tcW w:type="dxa" w:w="3312"/>
            <w:vAlign w:val="center"/>
          </w:tcPr>
          <w:p>
            <w:r>
              <w:t>HIGH — PASS</w:t>
            </w:r>
          </w:p>
        </w:tc>
      </w:tr>
      <w:tr>
        <w:tc>
          <w:tcPr>
            <w:tcW w:type="dxa" w:w="3312"/>
            <w:vAlign w:val="center"/>
          </w:tcPr>
          <w:p>
            <w:r>
              <w:t>TC09</w:t>
            </w:r>
          </w:p>
        </w:tc>
        <w:tc>
          <w:tcPr>
            <w:tcW w:type="dxa" w:w="3312"/>
            <w:vAlign w:val="center"/>
          </w:tcPr>
          <w:p>
            <w:r>
              <w:t>Urgency-only message</w:t>
            </w:r>
          </w:p>
        </w:tc>
        <w:tc>
          <w:tcPr>
            <w:tcW w:type="dxa" w:w="3312"/>
            <w:vAlign w:val="center"/>
          </w:tcPr>
          <w:p>
            <w:r>
              <w:t>HIGH — PASS</w:t>
            </w:r>
          </w:p>
        </w:tc>
      </w:tr>
      <w:tr>
        <w:tc>
          <w:tcPr>
            <w:tcW w:type="dxa" w:w="3312"/>
            <w:vAlign w:val="center"/>
          </w:tcPr>
          <w:p>
            <w:r>
              <w:t>TC10</w:t>
            </w:r>
          </w:p>
        </w:tc>
        <w:tc>
          <w:tcPr>
            <w:tcW w:type="dxa" w:w="3312"/>
            <w:vAlign w:val="center"/>
          </w:tcPr>
          <w:p>
            <w:r>
              <w:t>Shopping message</w:t>
            </w:r>
          </w:p>
        </w:tc>
        <w:tc>
          <w:tcPr>
            <w:tcW w:type="dxa" w:w="3312"/>
            <w:vAlign w:val="center"/>
          </w:tcPr>
          <w:p>
            <w:r>
              <w:t>LOW — PASS</w:t>
            </w:r>
          </w:p>
        </w:tc>
      </w:tr>
      <w:tr>
        <w:tc>
          <w:tcPr>
            <w:tcW w:type="dxa" w:w="3312"/>
            <w:vAlign w:val="center"/>
          </w:tcPr>
          <w:p>
            <w:r>
              <w:t>TC11</w:t>
            </w:r>
          </w:p>
        </w:tc>
        <w:tc>
          <w:tcPr>
            <w:tcW w:type="dxa" w:w="3312"/>
            <w:vAlign w:val="center"/>
          </w:tcPr>
          <w:p>
            <w:r>
              <w:t>Subscription payment failure</w:t>
            </w:r>
          </w:p>
        </w:tc>
        <w:tc>
          <w:tcPr>
            <w:tcW w:type="dxa" w:w="3312"/>
            <w:vAlign w:val="center"/>
          </w:tcPr>
          <w:p>
            <w:r>
              <w:t>MEDIUM — PASS</w:t>
            </w:r>
          </w:p>
        </w:tc>
      </w:tr>
      <w:tr>
        <w:tc>
          <w:tcPr>
            <w:tcW w:type="dxa" w:w="3312"/>
            <w:vAlign w:val="center"/>
          </w:tcPr>
          <w:p>
            <w:r>
              <w:t>TC12</w:t>
            </w:r>
          </w:p>
        </w:tc>
        <w:tc>
          <w:tcPr>
            <w:tcW w:type="dxa" w:w="3312"/>
            <w:vAlign w:val="center"/>
          </w:tcPr>
          <w:p>
            <w:r>
              <w:t>Empty message passed directly to classifier</w:t>
            </w:r>
          </w:p>
        </w:tc>
        <w:tc>
          <w:tcPr>
            <w:tcW w:type="dxa" w:w="3312"/>
            <w:vAlign w:val="center"/>
          </w:tcPr>
          <w:p>
            <w:r>
              <w:t>LOW — PASS</w:t>
            </w:r>
          </w:p>
        </w:tc>
      </w:tr>
      <w:tr>
        <w:tc>
          <w:tcPr>
            <w:tcW w:type="dxa" w:w="3312"/>
            <w:vAlign w:val="center"/>
          </w:tcPr>
          <w:p>
            <w:r>
              <w:t>TC13</w:t>
            </w:r>
          </w:p>
        </w:tc>
        <w:tc>
          <w:tcPr>
            <w:tcW w:type="dxa" w:w="3312"/>
            <w:vAlign w:val="center"/>
          </w:tcPr>
          <w:p>
            <w:r>
              <w:t>Long normal message</w:t>
            </w:r>
          </w:p>
        </w:tc>
        <w:tc>
          <w:tcPr>
            <w:tcW w:type="dxa" w:w="3312"/>
            <w:vAlign w:val="center"/>
          </w:tcPr>
          <w:p>
            <w:r>
              <w:t>LOW — PASS</w:t>
            </w:r>
          </w:p>
        </w:tc>
      </w:tr>
    </w:tbl>
    <w:p/>
    <w:p>
      <w:pPr>
        <w:pStyle w:val="Heading2"/>
      </w:pPr>
      <w:r>
        <w:t>3.1 Integrated Application Testing</w:t>
      </w:r>
    </w:p>
    <w:p>
      <w:pPr>
        <w:pStyle w:val="ListBullet"/>
      </w:pPr>
      <w:r>
        <w:t>“Your bank account has been blocked, transfer now” — HIGH.</w:t>
      </w:r>
    </w:p>
    <w:p>
      <w:pPr>
        <w:pStyle w:val="ListBullet"/>
      </w:pPr>
      <w:r>
        <w:t>“Your subscription payment failed. Please review your account.” — MEDIUM.</w:t>
      </w:r>
    </w:p>
    <w:p>
      <w:pPr>
        <w:pStyle w:val="ListBullet"/>
      </w:pPr>
      <w:r>
        <w:t>“Going shopping later?” — LOW.</w:t>
      </w:r>
    </w:p>
    <w:p>
      <w:r>
        <w:t>The empty-input test was also completed. When the message field was left empty and Check Message was clicked, the interface displayed a warning asking the user to enter a message.</w:t>
      </w:r>
    </w:p>
    <w:p>
      <w:pPr>
        <w:pStyle w:val="Heading2"/>
      </w:pPr>
      <w:r>
        <w:t>3.2 Additional Manual Testing — 14 October 2026</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1F4E79"/>
          </w:tcPr>
          <w:p>
            <w:r>
              <w:rPr>
                <w:b/>
                <w:color w:val="FFFFFF"/>
              </w:rPr>
              <w:t>Test</w:t>
            </w:r>
          </w:p>
        </w:tc>
        <w:tc>
          <w:tcPr>
            <w:tcW w:type="dxa" w:w="1987"/>
            <w:vAlign w:val="center"/>
            <w:shd w:fill="1F4E79"/>
          </w:tcPr>
          <w:p>
            <w:r>
              <w:rPr>
                <w:b/>
                <w:color w:val="FFFFFF"/>
              </w:rPr>
              <w:t>Scenario</w:t>
            </w:r>
          </w:p>
        </w:tc>
        <w:tc>
          <w:tcPr>
            <w:tcW w:type="dxa" w:w="1987"/>
            <w:vAlign w:val="center"/>
            <w:shd w:fill="1F4E79"/>
          </w:tcPr>
          <w:p>
            <w:r>
              <w:rPr>
                <w:b/>
                <w:color w:val="FFFFFF"/>
              </w:rPr>
              <w:t>Expected result</w:t>
            </w:r>
          </w:p>
        </w:tc>
        <w:tc>
          <w:tcPr>
            <w:tcW w:type="dxa" w:w="1987"/>
            <w:vAlign w:val="center"/>
            <w:shd w:fill="1F4E79"/>
          </w:tcPr>
          <w:p>
            <w:r>
              <w:rPr>
                <w:b/>
                <w:color w:val="FFFFFF"/>
              </w:rPr>
              <w:t>Actual result</w:t>
            </w:r>
          </w:p>
        </w:tc>
        <w:tc>
          <w:tcPr>
            <w:tcW w:type="dxa" w:w="1987"/>
            <w:vAlign w:val="center"/>
            <w:shd w:fill="1F4E79"/>
          </w:tcPr>
          <w:p>
            <w:r>
              <w:rPr>
                <w:b/>
                <w:color w:val="FFFFFF"/>
              </w:rPr>
              <w:t>Status</w:t>
            </w:r>
          </w:p>
        </w:tc>
      </w:tr>
      <w:tr>
        <w:tc>
          <w:tcPr>
            <w:tcW w:type="dxa" w:w="1987"/>
            <w:vAlign w:val="center"/>
          </w:tcPr>
          <w:p>
            <w:r>
              <w:t>MT01</w:t>
            </w:r>
          </w:p>
        </w:tc>
        <w:tc>
          <w:tcPr>
            <w:tcW w:type="dxa" w:w="1987"/>
            <w:vAlign w:val="center"/>
          </w:tcPr>
          <w:p>
            <w:r>
              <w:t>Urgent account-blocking message with repeated punctuation</w:t>
            </w:r>
          </w:p>
        </w:tc>
        <w:tc>
          <w:tcPr>
            <w:tcW w:type="dxa" w:w="1987"/>
            <w:vAlign w:val="center"/>
          </w:tcPr>
          <w:p>
            <w:r>
              <w:t>HIGH</w:t>
            </w:r>
          </w:p>
        </w:tc>
        <w:tc>
          <w:tcPr>
            <w:tcW w:type="dxa" w:w="1987"/>
            <w:vAlign w:val="center"/>
          </w:tcPr>
          <w:p>
            <w:r>
              <w:t>HIGH</w:t>
            </w:r>
          </w:p>
        </w:tc>
        <w:tc>
          <w:tcPr>
            <w:tcW w:type="dxa" w:w="1987"/>
            <w:vAlign w:val="center"/>
          </w:tcPr>
          <w:p>
            <w:r>
              <w:t>PASS</w:t>
            </w:r>
          </w:p>
        </w:tc>
      </w:tr>
      <w:tr>
        <w:tc>
          <w:tcPr>
            <w:tcW w:type="dxa" w:w="1987"/>
            <w:vAlign w:val="center"/>
          </w:tcPr>
          <w:p>
            <w:r>
              <w:t>MT02</w:t>
            </w:r>
          </w:p>
        </w:tc>
        <w:tc>
          <w:tcPr>
            <w:tcW w:type="dxa" w:w="1987"/>
            <w:vAlign w:val="center"/>
          </w:tcPr>
          <w:p>
            <w:r>
              <w:t>Long, normal shopping message</w:t>
            </w:r>
          </w:p>
        </w:tc>
        <w:tc>
          <w:tcPr>
            <w:tcW w:type="dxa" w:w="1987"/>
            <w:vAlign w:val="center"/>
          </w:tcPr>
          <w:p>
            <w:r>
              <w:t>LOW</w:t>
            </w:r>
          </w:p>
        </w:tc>
        <w:tc>
          <w:tcPr>
            <w:tcW w:type="dxa" w:w="1987"/>
            <w:vAlign w:val="center"/>
          </w:tcPr>
          <w:p>
            <w:r>
              <w:t>LOW</w:t>
            </w:r>
          </w:p>
        </w:tc>
        <w:tc>
          <w:tcPr>
            <w:tcW w:type="dxa" w:w="1987"/>
            <w:vAlign w:val="center"/>
          </w:tcPr>
          <w:p>
            <w:r>
              <w:t>PASS</w:t>
            </w:r>
          </w:p>
        </w:tc>
      </w:tr>
      <w:tr>
        <w:tc>
          <w:tcPr>
            <w:tcW w:type="dxa" w:w="1987"/>
            <w:vAlign w:val="center"/>
          </w:tcPr>
          <w:p>
            <w:r>
              <w:t>MT03</w:t>
            </w:r>
          </w:p>
        </w:tc>
        <w:tc>
          <w:tcPr>
            <w:tcW w:type="dxa" w:w="1987"/>
            <w:vAlign w:val="center"/>
          </w:tcPr>
          <w:p>
            <w:r>
              <w:t>Account verification message containing a URL</w:t>
            </w:r>
          </w:p>
        </w:tc>
        <w:tc>
          <w:tcPr>
            <w:tcW w:type="dxa" w:w="1987"/>
            <w:vAlign w:val="center"/>
          </w:tcPr>
          <w:p>
            <w:r>
              <w:t>HIGH or MEDIUM</w:t>
            </w:r>
          </w:p>
        </w:tc>
        <w:tc>
          <w:tcPr>
            <w:tcW w:type="dxa" w:w="1987"/>
            <w:vAlign w:val="center"/>
          </w:tcPr>
          <w:p>
            <w:r>
              <w:t>MEDIUM</w:t>
            </w:r>
          </w:p>
        </w:tc>
        <w:tc>
          <w:tcPr>
            <w:tcW w:type="dxa" w:w="1987"/>
            <w:vAlign w:val="center"/>
          </w:tcPr>
          <w:p>
            <w:r>
              <w:t>PASS</w:t>
            </w:r>
          </w:p>
        </w:tc>
      </w:tr>
    </w:tbl>
    <w:p/>
    <w:p>
      <w:r>
        <w:t>All three selected scenarios produced the expected risk classifications. These results apply only to the selected examples and do not establish overall scam-detection accuracy. The URL test used example.com as a test address; the link was not opened.</w:t>
      </w:r>
    </w:p>
    <w:p>
      <w:pPr>
        <w:pStyle w:val="Heading1"/>
      </w:pPr>
      <w:r>
        <w:t>4. Accessibility Testing</w:t>
      </w:r>
    </w:p>
    <w:p>
      <w:pPr>
        <w:pStyle w:val="Heading2"/>
      </w:pPr>
      <w:r>
        <w:t>4.1 Keyboard Navigation</w:t>
      </w:r>
    </w:p>
    <w:p>
      <w:r>
        <w:t>Keyboard navigation was tested in Safari. The Check Message button could be highlighted and activated using the keyboard after enabling Safari’s setting to highlight each item on a webpage with the Tab key. This passed under the tested browser configuration.</w:t>
      </w:r>
    </w:p>
    <w:p>
      <w:pPr>
        <w:pStyle w:val="Heading2"/>
      </w:pPr>
      <w:r>
        <w:t>4.2 Risk Labels and Colour</w:t>
      </w:r>
    </w:p>
    <w:p>
      <w:r>
        <w:t>The interface displays written LOW, MEDIUM, and HIGH labels alongside green, amber, and red visual cues. The written labels help communicate risk without relying on colour alone. The tested labels were visually inspected.</w:t>
      </w:r>
    </w:p>
    <w:p>
      <w:pPr>
        <w:pStyle w:val="Heading2"/>
      </w:pPr>
      <w:r>
        <w:t>4.3 Readability and Contrast</w:t>
      </w:r>
    </w:p>
    <w:p>
      <w:r>
        <w:t>Text appeared readable during the manual visual check. However, formal colour-contrast ratios have not been fully verified for all relevant text, backgrounds, and interface components. The current evidence is insufficient to confirm full WCAG 2.2 Level AA compliance.</w:t>
      </w:r>
    </w:p>
    <w:p>
      <w:pPr>
        <w:pStyle w:val="Heading2"/>
      </w:pPr>
      <w:r>
        <w:t>4.4 Screen Reader Testing</w:t>
      </w:r>
    </w:p>
    <w:p>
      <w:r>
        <w:t>VoiceOver was used to navigate with Control + Option + Right Arrow. The controls tested were announced during navigation. This was a limited manual check; further testing is needed for all labels, results, explanations, and error messages.</w:t>
      </w:r>
    </w:p>
    <w:p>
      <w:pPr>
        <w:pStyle w:val="Heading1"/>
      </w:pPr>
      <w:r>
        <w:t>5. Tools and Technologies</w:t>
      </w:r>
    </w:p>
    <w:p>
      <w:pPr>
        <w:pStyle w:val="ListBullet"/>
      </w:pPr>
      <w:r>
        <w:t>Python — application and classifier implementation.</w:t>
      </w:r>
    </w:p>
    <w:p>
      <w:pPr>
        <w:pStyle w:val="ListBullet"/>
      </w:pPr>
      <w:r>
        <w:t>Streamlit — web interface.</w:t>
      </w:r>
    </w:p>
    <w:p>
      <w:pPr>
        <w:pStyle w:val="ListBullet"/>
      </w:pPr>
      <w:r>
        <w:t>Rules-based classifier — initial message risk assessment.</w:t>
      </w:r>
    </w:p>
    <w:p>
      <w:pPr>
        <w:pStyle w:val="ListBullet"/>
      </w:pPr>
      <w:r>
        <w:t>Machine-learning predictor — additional classification component requiring further evaluation.</w:t>
      </w:r>
    </w:p>
    <w:p>
      <w:pPr>
        <w:pStyle w:val="ListBullet"/>
      </w:pPr>
      <w:r>
        <w:t>Git and GitHub — version control and shared source code.</w:t>
      </w:r>
    </w:p>
    <w:p>
      <w:pPr>
        <w:pStyle w:val="ListBullet"/>
      </w:pPr>
      <w:r>
        <w:t>Jira — project planning, task allocation, and sprint tracking.</w:t>
      </w:r>
    </w:p>
    <w:p>
      <w:pPr>
        <w:pStyle w:val="ListBullet"/>
      </w:pPr>
      <w:r>
        <w:t>VS Code — development and testing environment.</w:t>
      </w:r>
    </w:p>
    <w:p>
      <w:pPr>
        <w:pStyle w:val="Heading1"/>
      </w:pPr>
      <w:r>
        <w:t>6. Repository Structure</w:t>
      </w:r>
    </w:p>
    <w:p>
      <w:pPr>
        <w:pStyle w:val="ListBullet"/>
      </w:pPr>
      <w:r>
        <w:t>interface_accessibility/ — Streamlit interface and accessibility-related work.</w:t>
      </w:r>
    </w:p>
    <w:p>
      <w:pPr>
        <w:pStyle w:val="ListBullet"/>
      </w:pPr>
      <w:r>
        <w:t>model_evaluation/ — rules-based classifier and model evaluation work.</w:t>
      </w:r>
    </w:p>
    <w:p>
      <w:pPr>
        <w:pStyle w:val="ListBullet"/>
      </w:pPr>
      <w:r>
        <w:t>integration_qa/ — QA scripts, test cases, results, and handover backlog.</w:t>
      </w:r>
    </w:p>
    <w:p>
      <w:pPr>
        <w:pStyle w:val="ListBullet"/>
      </w:pPr>
      <w:r>
        <w:t>docs/ — technical documentation and handover report.</w:t>
      </w:r>
    </w:p>
    <w:p>
      <w:pPr>
        <w:pStyle w:val="ListBullet"/>
      </w:pPr>
      <w:r>
        <w:t>data/ — project data resources.</w:t>
      </w:r>
    </w:p>
    <w:p>
      <w:pPr>
        <w:pStyle w:val="ListBullet"/>
      </w:pPr>
      <w:r>
        <w:t>data_labelling/ — data labelling work.</w:t>
      </w:r>
    </w:p>
    <w:p>
      <w:pPr>
        <w:pStyle w:val="ListBullet"/>
      </w:pPr>
      <w:r>
        <w:t>src/ — supporting source code.</w:t>
      </w:r>
    </w:p>
    <w:p>
      <w:r>
        <w:t>The exact contents of these folders may change as development continues.</w:t>
      </w:r>
    </w:p>
    <w:p>
      <w:pPr>
        <w:pStyle w:val="Heading1"/>
      </w:pPr>
      <w:r>
        <w:t>7. Setup and Running Instructions</w:t>
      </w:r>
    </w:p>
    <w:p>
      <w:pPr>
        <w:pStyle w:val="Heading2"/>
      </w:pPr>
      <w:r>
        <w:t>7.1 Run the Application</w:t>
      </w:r>
    </w:p>
    <w:p>
      <w:r>
        <w:t>From the project root, run:</w:t>
      </w:r>
    </w:p>
    <w:p>
      <w:r>
        <w:rPr>
          <w:rFonts w:ascii="Courier New" w:hAnsi="Courier New"/>
          <w:sz w:val="18"/>
        </w:rPr>
        <w:t>python3 -m streamlit run interface_accessibility/app.py</w:t>
      </w:r>
    </w:p>
    <w:p>
      <w:r>
        <w:t>Streamlit should start the local application and provide a URL to open in a browser.</w:t>
      </w:r>
    </w:p>
    <w:p>
      <w:pPr>
        <w:pStyle w:val="Heading2"/>
      </w:pPr>
      <w:r>
        <w:t>7.2 Run the Rules-Based QA Tests</w:t>
      </w:r>
    </w:p>
    <w:p>
      <w:r>
        <w:rPr>
          <w:rFonts w:ascii="Courier New" w:hAnsi="Courier New"/>
          <w:sz w:val="18"/>
        </w:rPr>
        <w:t>python3 integration_qa/qa_checks.py</w:t>
      </w:r>
    </w:p>
    <w:p>
      <w:r>
        <w:t>The recorded baseline test run completed seven test cases with seven passing and zero failing. Run the script again after future code changes to check the current result.</w:t>
      </w:r>
    </w:p>
    <w:p>
      <w:pPr>
        <w:pStyle w:val="Heading2"/>
      </w:pPr>
      <w:r>
        <w:t>7.3 Run the Rules-Based Classifier Directly</w:t>
      </w:r>
    </w:p>
    <w:p>
      <w:r>
        <w:rPr>
          <w:rFonts w:ascii="Courier New" w:hAnsi="Courier New"/>
          <w:sz w:val="18"/>
        </w:rPr>
        <w:t>python3 model_evaluation/rules_baseline.py</w:t>
      </w:r>
    </w:p>
    <w:p>
      <w:r>
        <w:t>The available output depends on the examples included in the script.</w:t>
      </w:r>
    </w:p>
    <w:p>
      <w:pPr>
        <w:pStyle w:val="Heading1"/>
      </w:pPr>
      <w:r>
        <w:t>8. Known Limitations</w:t>
      </w:r>
    </w:p>
    <w:p>
      <w:pPr>
        <w:pStyle w:val="ListBullet"/>
      </w:pPr>
      <w:r>
        <w:t>Limited test coverage: only selected scenarios have been tested.</w:t>
      </w:r>
    </w:p>
    <w:p>
      <w:pPr>
        <w:pStyle w:val="ListBullet"/>
      </w:pPr>
      <w:r>
        <w:t>Machine-learning evaluation: broader evaluation of the machine-learning predictor is still required.</w:t>
      </w:r>
    </w:p>
    <w:p>
      <w:pPr>
        <w:pStyle w:val="ListBullet"/>
      </w:pPr>
      <w:r>
        <w:t>False positives and false negatives: further testing is needed to identify incorrectly classified messages.</w:t>
      </w:r>
    </w:p>
    <w:p>
      <w:pPr>
        <w:pStyle w:val="ListBullet"/>
      </w:pPr>
      <w:r>
        <w:t>Empty input: the Streamlit interface displayed a warning for empty input, but the direct rules-based classifier returns LOW when called independently. This behaviour should be reviewed for consistency.</w:t>
      </w:r>
    </w:p>
    <w:p>
      <w:pPr>
        <w:pStyle w:val="ListBullet"/>
      </w:pPr>
      <w:r>
        <w:t>Unusual messages: three additional scenarios passed, but broader testing is needed for spelling mistakes, punctuation, long messages, URLs, and mixed-case wording.</w:t>
      </w:r>
    </w:p>
    <w:p>
      <w:pPr>
        <w:pStyle w:val="ListBullet"/>
      </w:pPr>
      <w:r>
        <w:t>Classification explanations: the clarity and usefulness of explanations need further review.</w:t>
      </w:r>
    </w:p>
    <w:p>
      <w:pPr>
        <w:pStyle w:val="ListBullet"/>
      </w:pPr>
      <w:r>
        <w:t>Accessibility: formal contrast measurements and broader keyboard and screen-reader testing remain incomplete.</w:t>
      </w:r>
    </w:p>
    <w:p>
      <w:pPr>
        <w:pStyle w:val="ListBullet"/>
      </w:pPr>
      <w:r>
        <w:t>Detection accuracy: the current test results do not establish overall scam-detection accuracy.</w:t>
      </w:r>
    </w:p>
    <w:p>
      <w:r>
        <w:t>Users should remain cautious when a message requests personal information, payment, or urgent action, even when ShieldSense classifies it as LOW.</w:t>
      </w:r>
    </w:p>
    <w:p>
      <w:pPr>
        <w:pStyle w:val="Heading1"/>
      </w:pPr>
      <w:r>
        <w:t>9. Outstanding Work and Recommendations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r>
              <w:rPr>
                <w:b/>
                <w:color w:val="FFFFFF"/>
              </w:rPr>
              <w:t>Priority</w:t>
            </w:r>
          </w:p>
        </w:tc>
        <w:tc>
          <w:tcPr>
            <w:tcW w:type="dxa" w:w="3312"/>
            <w:vAlign w:val="center"/>
            <w:shd w:fill="1F4E79"/>
          </w:tcPr>
          <w:p>
            <w:r>
              <w:rPr>
                <w:b/>
                <w:color w:val="FFFFFF"/>
              </w:rPr>
              <w:t>Task</w:t>
            </w:r>
          </w:p>
        </w:tc>
        <w:tc>
          <w:tcPr>
            <w:tcW w:type="dxa" w:w="3312"/>
            <w:vAlign w:val="center"/>
            <w:shd w:fill="1F4E79"/>
          </w:tcPr>
          <w:p>
            <w:r>
              <w:rPr>
                <w:b/>
                <w:color w:val="FFFFFF"/>
              </w:rPr>
              <w:t>Recommended action</w:t>
            </w:r>
          </w:p>
        </w:tc>
      </w:tr>
      <w:tr>
        <w:tc>
          <w:tcPr>
            <w:tcW w:type="dxa" w:w="3312"/>
            <w:vAlign w:val="center"/>
          </w:tcPr>
          <w:p>
            <w:r>
              <w:t>High</w:t>
            </w:r>
          </w:p>
        </w:tc>
        <w:tc>
          <w:tcPr>
            <w:tcW w:type="dxa" w:w="3312"/>
            <w:vAlign w:val="center"/>
          </w:tcPr>
          <w:p>
            <w:r>
              <w:t>Machine-learning QA</w:t>
            </w:r>
          </w:p>
        </w:tc>
        <w:tc>
          <w:tcPr>
            <w:tcW w:type="dxa" w:w="3312"/>
            <w:vAlign w:val="center"/>
          </w:tcPr>
          <w:p>
            <w:r>
              <w:t>Expand testing across representative messages and document results.</w:t>
            </w:r>
          </w:p>
        </w:tc>
      </w:tr>
      <w:tr>
        <w:tc>
          <w:tcPr>
            <w:tcW w:type="dxa" w:w="3312"/>
            <w:vAlign w:val="center"/>
          </w:tcPr>
          <w:p>
            <w:r>
              <w:t>High</w:t>
            </w:r>
          </w:p>
        </w:tc>
        <w:tc>
          <w:tcPr>
            <w:tcW w:type="dxa" w:w="3312"/>
            <w:vAlign w:val="center"/>
          </w:tcPr>
          <w:p>
            <w:r>
              <w:t>False-positive and false-negative testing</w:t>
            </w:r>
          </w:p>
        </w:tc>
        <w:tc>
          <w:tcPr>
            <w:tcW w:type="dxa" w:w="3312"/>
            <w:vAlign w:val="center"/>
          </w:tcPr>
          <w:p>
            <w:r>
              <w:t>Evaluate performance using a held-out set of labelled messages.</w:t>
            </w:r>
          </w:p>
        </w:tc>
      </w:tr>
      <w:tr>
        <w:tc>
          <w:tcPr>
            <w:tcW w:type="dxa" w:w="3312"/>
            <w:vAlign w:val="center"/>
          </w:tcPr>
          <w:p>
            <w:r>
              <w:t>Medium</w:t>
            </w:r>
          </w:p>
        </w:tc>
        <w:tc>
          <w:tcPr>
            <w:tcW w:type="dxa" w:w="3312"/>
            <w:vAlign w:val="center"/>
          </w:tcPr>
          <w:p>
            <w:r>
              <w:t>Accessibility verification</w:t>
            </w:r>
          </w:p>
        </w:tc>
        <w:tc>
          <w:tcPr>
            <w:tcW w:type="dxa" w:w="3312"/>
            <w:vAlign w:val="center"/>
          </w:tcPr>
          <w:p>
            <w:r>
              <w:t>Complete keyboard, contrast, and screen-reader checks.</w:t>
            </w:r>
          </w:p>
        </w:tc>
      </w:tr>
      <w:tr>
        <w:tc>
          <w:tcPr>
            <w:tcW w:type="dxa" w:w="3312"/>
            <w:vAlign w:val="center"/>
          </w:tcPr>
          <w:p>
            <w:r>
              <w:t>Medium</w:t>
            </w:r>
          </w:p>
        </w:tc>
        <w:tc>
          <w:tcPr>
            <w:tcW w:type="dxa" w:w="3312"/>
            <w:vAlign w:val="center"/>
          </w:tcPr>
          <w:p>
            <w:r>
              <w:t>Model explanations</w:t>
            </w:r>
          </w:p>
        </w:tc>
        <w:tc>
          <w:tcPr>
            <w:tcW w:type="dxa" w:w="3312"/>
            <w:vAlign w:val="center"/>
          </w:tcPr>
          <w:p>
            <w:r>
              <w:t>Review whether explanations are clear and consistent with classifications.</w:t>
            </w:r>
          </w:p>
        </w:tc>
      </w:tr>
      <w:tr>
        <w:tc>
          <w:tcPr>
            <w:tcW w:type="dxa" w:w="3312"/>
            <w:vAlign w:val="center"/>
          </w:tcPr>
          <w:p>
            <w:r>
              <w:t>Medium</w:t>
            </w:r>
          </w:p>
        </w:tc>
        <w:tc>
          <w:tcPr>
            <w:tcW w:type="dxa" w:w="3312"/>
            <w:vAlign w:val="center"/>
          </w:tcPr>
          <w:p>
            <w:r>
              <w:t>Documentation alignment</w:t>
            </w:r>
          </w:p>
        </w:tc>
        <w:tc>
          <w:tcPr>
            <w:tcW w:type="dxa" w:w="3312"/>
            <w:vAlign w:val="center"/>
          </w:tcPr>
          <w:p>
            <w:r>
              <w:t>Keep the README, QA results, and handover report consistent with the implementation.</w:t>
            </w:r>
          </w:p>
        </w:tc>
      </w:tr>
      <w:tr>
        <w:tc>
          <w:tcPr>
            <w:tcW w:type="dxa" w:w="3312"/>
            <w:vAlign w:val="center"/>
          </w:tcPr>
          <w:p>
            <w:r>
              <w:t>Low</w:t>
            </w:r>
          </w:p>
        </w:tc>
        <w:tc>
          <w:tcPr>
            <w:tcW w:type="dxa" w:w="3312"/>
            <w:vAlign w:val="center"/>
          </w:tcPr>
          <w:p>
            <w:r>
              <w:t>Dataset expansion</w:t>
            </w:r>
          </w:p>
        </w:tc>
        <w:tc>
          <w:tcPr>
            <w:tcW w:type="dxa" w:w="3312"/>
            <w:vAlign w:val="center"/>
          </w:tcPr>
          <w:p>
            <w:r>
              <w:t>Add representative messages and document sources and labelling.</w:t>
            </w:r>
          </w:p>
        </w:tc>
      </w:tr>
    </w:tbl>
    <w:p/>
    <w:p>
      <w:r>
        <w:t>The empty-input warning and three additional unusual-message scenarios have been tested. Further testing is recommended before treating those areas as fully validated. Update QA records and documentation as outstanding tasks are completed.</w:t>
      </w:r>
    </w:p>
    <w:p>
      <w:pPr>
        <w:pStyle w:val="Heading1"/>
      </w:pPr>
      <w:r>
        <w:t>10. Version Control and Handover</w:t>
      </w:r>
    </w:p>
    <w:p>
      <w:r>
        <w:t>The project uses GitHub to share code and track changes. The classifier update was committed and pushed in commit 1763dfa. The technical handover report and additional QA results were subsequently updated to document testing and remaining limitations.</w:t>
      </w:r>
    </w:p>
    <w:p>
      <w:r>
        <w:t>Supporting repository documents include:</w:t>
      </w:r>
    </w:p>
    <w:p>
      <w:pPr>
        <w:pStyle w:val="ListBullet"/>
      </w:pPr>
      <w:r>
        <w:t>README.md — project overview, setup, and running instructions.</w:t>
      </w:r>
    </w:p>
    <w:p>
      <w:pPr>
        <w:pStyle w:val="ListBullet"/>
      </w:pPr>
      <w:r>
        <w:t>integration_qa/README.md — QA instructions.</w:t>
      </w:r>
    </w:p>
    <w:p>
      <w:pPr>
        <w:pStyle w:val="ListBullet"/>
      </w:pPr>
      <w:r>
        <w:t>integration_qa/qa_checks.py — rules-based baseline QA script.</w:t>
      </w:r>
    </w:p>
    <w:p>
      <w:pPr>
        <w:pStyle w:val="ListBullet"/>
      </w:pPr>
      <w:r>
        <w:t>integration_qa/qa_test_cases.md — test case documentation.</w:t>
      </w:r>
    </w:p>
    <w:p>
      <w:pPr>
        <w:pStyle w:val="ListBullet"/>
      </w:pPr>
      <w:r>
        <w:t>integration_qa/qa_results.md — recorded QA results.</w:t>
      </w:r>
    </w:p>
    <w:p>
      <w:pPr>
        <w:pStyle w:val="ListBullet"/>
      </w:pPr>
      <w:r>
        <w:t>integration_qa/handover_backlog.md — outstanding tasks and recommendations.</w:t>
      </w:r>
    </w:p>
    <w:p>
      <w:pPr>
        <w:pStyle w:val="ListBullet"/>
      </w:pPr>
      <w:r>
        <w:t>docs/TECHNICAL_HANDOVER_REPORT.md — technical handover summary.</w:t>
      </w:r>
    </w:p>
    <w:p>
      <w:pPr>
        <w:pStyle w:val="Heading1"/>
      </w:pPr>
      <w:r>
        <w:t>11. Release and Final Status</w:t>
      </w:r>
    </w:p>
    <w:p>
      <w:r>
        <w:t>The v0.7.0 milestone represents a Week 7 feature-freeze milestone, not a final production release. The current proof of concept has a working Streamlit interface, a rules-based classifier, and documented results for selected QA scenarios. The recorded baseline QA script passed all seven documented tests. Three additional manual scenarios also produced the expected classifications, and the empty-input warning was confirmed in the interface.</w:t>
      </w:r>
    </w:p>
    <w:p>
      <w:r>
        <w:t>Further machine-learning evaluation, false-positive and false-negative testing, broader edge-case testing, and accessibility verification remain necessary.</w:t>
      </w:r>
    </w:p>
    <w:p>
      <w:r>
        <w:rPr>
          <w:b/>
        </w:rPr>
        <w:t xml:space="preserve">Overall status: </w:t>
      </w:r>
      <w:r>
        <w:t>The application is suitable for continued development and demonstration as a proof of concept. It is not yet fully validated for production use, and full WCAG 2.2 Level AA compliance has not been confirmed.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ShieldSense Technical Handover Report | ITEC320 WIL | Page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4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