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Divine View Tours</w:t>
        <w:br/>
        <w:t>Website Update Instructions</w:t>
      </w:r>
    </w:p>
    <w:p>
      <w:pPr>
        <w:pStyle w:val="Subtitle"/>
      </w:pPr>
      <w:r>
        <w:t>Implementation brief for Indian and international customers</w:t>
      </w:r>
    </w:p>
    <w:p>
      <w:r>
        <w:rPr>
          <w:b w:val="0"/>
        </w:rPr>
        <w:t>Website  divineviewtours.com    |    Prepared for Bijesh Singha    |    1 October 2026</w:t>
      </w:r>
    </w:p>
    <w:p>
      <w:r>
        <w:t>Feature Kaziranga wildlife safaris alongside Meghalaya holidays. Complete the first domestic ad landing page and booking tracking, then prepare Kaziranga and Kaziranga plus Meghalaya offers for overseas campaigns. Retain the current brand style and make each trip easy to understand and enquire about.</w:t>
      </w:r>
    </w:p>
    <w:p>
      <w:pPr>
        <w:pStyle w:val="Heading2"/>
      </w:pPr>
      <w:r>
        <w:t>Implementation order</w:t>
      </w:r>
    </w:p>
    <w:tbl>
      <w:tblPr>
        <w:tblW w:type="auto" w:w="0"/>
        <w:jc w:val="center"/>
        <w:tblLayout w:type="fixed"/>
        <w:tblLook w:firstColumn="1" w:firstRow="1" w:lastColumn="0" w:lastRow="0" w:noHBand="0" w:noVBand="1" w:val="04A0"/>
      </w:tblPr>
      <w:tblGrid>
        <w:gridCol w:w="1800"/>
        <w:gridCol w:w="5976"/>
        <w:gridCol w:w="2304"/>
      </w:tblGrid>
      <w:tr>
        <w:trPr>
          <w:tblHeader/>
          <w:cantSplit/>
        </w:trPr>
        <w:tc>
          <w:tcPr>
            <w:tcW w:type="dxa" w:w="1800"/>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b/>
                <w:color w:val="FFFFFF"/>
                <w:sz w:val="21"/>
              </w:rPr>
              <w:t>Phase</w:t>
            </w:r>
          </w:p>
        </w:tc>
        <w:tc>
          <w:tcPr>
            <w:tcW w:type="dxa" w:w="5976"/>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b/>
                <w:color w:val="FFFFFF"/>
                <w:sz w:val="21"/>
              </w:rPr>
              <w:t>Required work</w:t>
            </w:r>
          </w:p>
        </w:tc>
        <w:tc>
          <w:tcPr>
            <w:tcW w:type="dxa" w:w="2304"/>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b/>
                <w:color w:val="FFFFFF"/>
                <w:sz w:val="21"/>
              </w:rPr>
              <w:t>Responsible role</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Before domestic ads</w:t>
            </w:r>
          </w:p>
        </w:tc>
        <w:tc>
          <w:tcPr>
            <w:tcW w:type="dxa" w:w="597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Complete the Meghalaya page, repair loading issues if confirmed, simplify enquiries and reconcile refund terms.</w:t>
            </w:r>
          </w:p>
        </w:tc>
        <w:tc>
          <w:tcPr>
            <w:tcW w:type="dxa" w:w="230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Developer and operations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Before domestic ads</w:t>
            </w:r>
          </w:p>
        </w:tc>
        <w:tc>
          <w:tcPr>
            <w:tcW w:type="dxa" w:w="59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Connect campaign sources to enquiries, quotes, deposits and completed bookings.</w:t>
            </w:r>
          </w:p>
        </w:tc>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Developer and marketing</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Before overseas ads</w:t>
            </w:r>
          </w:p>
        </w:tc>
        <w:tc>
          <w:tcPr>
            <w:tcW w:type="dxa" w:w="597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Complete Kaziranga and combined trip pages; confirm safari guiding, international prices, payments and permits.</w:t>
            </w:r>
          </w:p>
        </w:tc>
        <w:tc>
          <w:tcPr>
            <w:tcW w:type="dxa" w:w="230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Operations and developer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Ongoing</w:t>
            </w:r>
          </w:p>
        </w:tc>
        <w:tc>
          <w:tcPr>
            <w:tcW w:type="dxa" w:w="59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Improve other packages, search content, guest evidence and performance using actual enquiry results.</w:t>
            </w:r>
          </w:p>
        </w:tc>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Marketing and operations</w:t>
            </w:r>
          </w:p>
        </w:tc>
      </w:tr>
    </w:tbl>
    <w:p>
      <w:pPr>
        <w:spacing w:after="0"/>
      </w:pPr>
    </w:p>
    <w:p>
      <w:pPr>
        <w:pStyle w:val="Heading2"/>
      </w:pPr>
      <w:r>
        <w:t>Business information to supply</w:t>
      </w:r>
    </w:p>
    <w:p>
      <w:pPr>
        <w:pStyle w:val="ListBullet"/>
        <w:spacing w:after="100"/>
      </w:pPr>
      <w:r>
        <w:t>Confirm the starting price, group size, travel dates, hotel category, taxes and inclusions for each package.</w:t>
      </w:r>
    </w:p>
    <w:p>
      <w:pPr>
        <w:pStyle w:val="ListBullet"/>
        <w:spacing w:after="100"/>
      </w:pPr>
      <w:r>
        <w:t>Supply actual hotel and room photographs, vehicle details, team photographs and guest reviews with permission.</w:t>
      </w:r>
    </w:p>
    <w:p>
      <w:pPr>
        <w:pStyle w:val="ListBullet"/>
        <w:spacing w:after="100"/>
      </w:pPr>
      <w:r>
        <w:t>Confirm the payment methods, cancellation rules, English-speaking support and realistic enquiry response time.</w:t>
      </w:r>
    </w:p>
    <w:p>
      <w:pPr>
        <w:pStyle w:val="Heading2"/>
      </w:pPr>
      <w:r>
        <w:t>How to judge advertising</w:t>
      </w:r>
    </w:p>
    <w:p>
      <w:r>
        <w:rPr>
          <w:b w:val="0"/>
        </w:rPr>
        <w:t>For domestic bookings, use the stated INR 6,000 margin after direct trip costs as the working assumption. An initial acquisition-cost target of INR 1,200 to INR 1,800 per booking leaves INR 4,200 to INR 4,800 before overhead and taxes. These are budget targets, not predicted results. Price international services and calculate their margin separately.</w:t>
      </w:r>
    </w:p>
    <w:p>
      <w:r>
        <w:br w:type="page"/>
      </w:r>
    </w:p>
    <w:p>
      <w:pPr>
        <w:pStyle w:val="Heading1"/>
      </w:pPr>
      <w:r>
        <w:t>1  Homepage and package pages</w:t>
      </w:r>
    </w:p>
    <w:p>
      <w:pPr>
        <w:pStyle w:val="Heading2"/>
      </w:pPr>
      <w:r>
        <w:t>Homepage instructions</w:t>
      </w:r>
    </w:p>
    <w:p>
      <w:pPr>
        <w:pStyle w:val="ListBullet"/>
        <w:spacing w:after="100"/>
      </w:pPr>
      <w:r>
        <w:t>Explain private Northeast India holidays and the Guwahati departure point near the top. Use one main action: Get a trip quote. Keep vehicle hire available as a separate service.</w:t>
      </w:r>
    </w:p>
    <w:p>
      <w:pPr>
        <w:pStyle w:val="ListBullet"/>
        <w:spacing w:after="100"/>
      </w:pPr>
      <w:r>
        <w:t>Feature Kaziranga safaris and Kaziranga plus Meghalaya journeys among the first package cards. Show duration, price assumptions, traveller type and a direct trip-page link.</w:t>
      </w:r>
    </w:p>
    <w:p>
      <w:pPr>
        <w:pStyle w:val="ListBullet"/>
        <w:spacing w:after="100"/>
      </w:pPr>
      <w:r>
        <w:t>Add genuine guest reviews and a brief introduction to the local team. Link to the office and business details on the About and Contact pages.</w:t>
      </w:r>
    </w:p>
    <w:p>
      <w:pPr>
        <w:pStyle w:val="Heading2"/>
      </w:pPr>
      <w:r>
        <w:t>Package page instructions</w:t>
      </w:r>
    </w:p>
    <w:p>
      <w:r>
        <w:t>Apply this layout to Meghalaya, Kaziranga and their combined itinerary pages. Use the Meghalaya page for the planned domestic test and the wildlife pages for separate overseas tests.</w:t>
      </w:r>
    </w:p>
    <w:tbl>
      <w:tblPr>
        <w:tblW w:type="auto" w:w="0"/>
        <w:jc w:val="center"/>
        <w:tblLayout w:type="fixed"/>
        <w:tblLook w:firstColumn="1" w:firstRow="1" w:lastColumn="0" w:lastRow="0" w:noHBand="0" w:noVBand="1" w:val="04A0"/>
      </w:tblPr>
      <w:tblGrid>
        <w:gridCol w:w="936"/>
        <w:gridCol w:w="9144"/>
      </w:tblGrid>
      <w:tr>
        <w:trPr>
          <w:tblHeader/>
          <w:cantSplit/>
        </w:trPr>
        <w:tc>
          <w:tcPr>
            <w:tcW w:type="dxa" w:w="936"/>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b/>
                <w:color w:val="FFFFFF"/>
                <w:sz w:val="21"/>
              </w:rPr>
              <w:t>Order</w:t>
            </w:r>
          </w:p>
        </w:tc>
        <w:tc>
          <w:tcPr>
            <w:tcW w:type="dxa" w:w="9144"/>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b/>
                <w:color w:val="FFFFFF"/>
                <w:sz w:val="21"/>
              </w:rPr>
              <w:t>Content to display</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1</w:t>
            </w:r>
          </w:p>
        </w:tc>
        <w:tc>
          <w:tcPr>
            <w:tcW w:type="dxa" w:w="914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Trip title, duration, pickup point, genuine image, starting price and Get a quote for my dates.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2</w:t>
            </w:r>
          </w:p>
        </w:tc>
        <w:tc>
          <w:tcPr>
            <w:tcW w:type="dxa" w:w="91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Price basis: adults, room sharing, stay category, valid travel period and whether taxes are included.</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3</w:t>
            </w:r>
          </w:p>
        </w:tc>
        <w:tc>
          <w:tcPr>
            <w:tcW w:type="dxa" w:w="914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Daily itinerary with driving times, walking effort and any optional activities.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4</w:t>
            </w:r>
          </w:p>
        </w:tc>
        <w:tc>
          <w:tcPr>
            <w:tcW w:type="dxa" w:w="91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Named example hotels and room categories, vehicle model or category, passenger and luggage capacity.</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5</w:t>
            </w:r>
          </w:p>
        </w:tc>
        <w:tc>
          <w:tcPr>
            <w:tcW w:type="dxa" w:w="914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Included and excluded meals, attraction tickets, guides, activities, permits and transfers.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6</w:t>
            </w:r>
          </w:p>
        </w:tc>
        <w:tc>
          <w:tcPr>
            <w:tcW w:type="dxa" w:w="91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Deposit, cancellation summary, seasonal limitations, FAQs and a short enquiry form.</w:t>
            </w:r>
          </w:p>
        </w:tc>
      </w:tr>
    </w:tbl>
    <w:p>
      <w:pPr>
        <w:spacing w:after="0"/>
      </w:pPr>
    </w:p>
    <w:p>
      <w:r>
        <w:rPr>
          <w:b w:val="0"/>
        </w:rPr>
        <w:t>Identify example accommodation as indicative where availability can change. Confirm alternatives before taking a deposit. State seasonal water conditions and activity availability accurately; avoid guaranteed snow or wildlife sightings.</w:t>
      </w:r>
    </w:p>
    <w:p>
      <w:pPr>
        <w:pStyle w:val="Heading2"/>
      </w:pPr>
      <w:r>
        <w:t>Completion checks</w:t>
      </w:r>
    </w:p>
    <w:p>
      <w:pPr>
        <w:pStyle w:val="ListBullet"/>
        <w:spacing w:after="100"/>
      </w:pPr>
      <w:r>
        <w:t>A visitor can identify the total-price assumptions, inclusions and pickup point without contacting the team.</w:t>
      </w:r>
    </w:p>
    <w:p>
      <w:pPr>
        <w:pStyle w:val="ListBullet"/>
        <w:spacing w:after="100"/>
      </w:pPr>
      <w:r>
        <w:t>The quote button opens a form with the selected package already filled in. Mobile contact buttons do not obscure content.</w:t>
      </w:r>
    </w:p>
    <w:p>
      <w:pPr>
        <w:pStyle w:val="ListBullet"/>
        <w:spacing w:after="100"/>
      </w:pPr>
      <w:r>
        <w:t>Essential trip content appears in the initial page response. Verify browser rendering on slow connections and show a contact fallback if interactive content fails.</w:t>
      </w:r>
    </w:p>
    <w:p>
      <w:r>
        <w:br w:type="page"/>
      </w:r>
    </w:p>
    <w:p>
      <w:pPr>
        <w:pStyle w:val="Heading1"/>
      </w:pPr>
      <w:r>
        <w:t>2  Kaziranga wildlife safari instructions</w:t>
      </w:r>
    </w:p>
    <w:p>
      <w:pPr>
        <w:pStyle w:val="Heading2"/>
      </w:pPr>
      <w:r>
        <w:t>Position wildlife as a flagship experience</w:t>
      </w:r>
    </w:p>
    <w:p>
      <w:pPr/>
      <w:r>
        <w:t>Kaziranga is a UNESCO World Heritage Site and a major stronghold of the greater one-horned rhinoceros. Use this distinct wildlife identity, plus birdwatching and the park landscape, to attract nature and photography travellers. [5] Test demand through enquiries and bookings rather than assuming all overseas visitors want the same trip.</w:t>
      </w:r>
    </w:p>
    <w:p>
      <w:pPr>
        <w:pStyle w:val="ListBullet"/>
      </w:pPr>
      <w:r>
        <w:t>Give Kaziranga visible homepage placement with genuine wildlife and safari images. Present two offers: a dedicated Kaziranga holiday and a longer journey combining Kaziranga with Meghalaya.</w:t>
      </w:r>
    </w:p>
    <w:p>
      <w:pPr>
        <w:pStyle w:val="ListBullet"/>
      </w:pPr>
      <w:r>
        <w:t>Update /packages/kaziranga-wildlife-tour-from-guwahati and /packages/meghalaya-kaziranga-combo-tour. Send wildlife ads to these pages, with a package-specific quote action.</w:t>
      </w:r>
    </w:p>
    <w:p>
      <w:pPr>
        <w:pStyle w:val="Heading2"/>
      </w:pPr>
      <w:r>
        <w:t>Specify the safari experience</w:t>
      </w:r>
    </w:p>
    <w:p>
      <w:pPr>
        <w:pStyle w:val="ListBullet"/>
      </w:pPr>
      <w:r>
        <w:t>State the number of jeep safaris, planned ranges, session timings and approximate duration. Identify shared or exclusive vehicle use and the actual passenger capacity. Assam Tourism lists jeep-safari booking arrangements for Kaziranga. [6]</w:t>
      </w:r>
    </w:p>
    <w:p>
      <w:pPr>
        <w:pStyle w:val="ListBullet"/>
      </w:pPr>
      <w:r>
        <w:t>Separate the road-transfer driver from the wildlife guide. State whether an English-speaking naturalist is included or available at an extra charge. Offer birding or photography guidance only when a suitable guide is confirmed.</w:t>
      </w:r>
    </w:p>
    <w:p>
      <w:pPr>
        <w:pStyle w:val="ListBullet"/>
      </w:pPr>
      <w:r>
        <w:t>Show the relevant accommodation, safari pickup arrangements, meals and realistic transfer days. Build enough time into the itinerary for the included safari sessions.</w:t>
      </w:r>
    </w:p>
    <w:p>
      <w:pPr>
        <w:pStyle w:val="Heading2"/>
      </w:pPr>
      <w:r>
        <w:t>Publish accurate prices and availability</w:t>
      </w:r>
    </w:p>
    <w:p>
      <w:pPr>
        <w:pStyle w:val="ListBullet"/>
      </w:pPr>
      <w:r>
        <w:t>Verify and include the applicable Indian or foreign-national park fees, safari vehicle charges, guide fees and camera charges. Explain whether a price is per person, per vehicle or per group.</w:t>
      </w:r>
    </w:p>
    <w:p>
      <w:pPr>
        <w:pStyle w:val="ListBullet"/>
      </w:pPr>
      <w:r>
        <w:t>Confirm opening dates, operating ranges and booking conditions for the travel season. Explain the process for park closures, unavailable safari slots and refunds or alternatives. Do not guarantee a sighting of any species.</w:t>
      </w:r>
    </w:p>
    <w:p>
      <w:pPr>
        <w:pStyle w:val="Heading2"/>
      </w:pPr>
      <w:r>
        <w:t>Completion checks</w:t>
      </w:r>
    </w:p>
    <w:p>
      <w:pPr>
        <w:pStyle w:val="ListBullet"/>
      </w:pPr>
      <w:r>
        <w:t>Operations verifies current safari charges, guide availability and booking arrangements before publication. The quote identifies each included safari and all exclusions.</w:t>
      </w:r>
    </w:p>
    <w:p>
      <w:pPr>
        <w:pStyle w:val="ListBullet"/>
      </w:pPr>
      <w:r>
        <w:t>Record enquiries and bookings for wildlife-only and combined offers separately. Compare their acquisition cost and actual margin before increasing advertising spend.</w:t>
      </w:r>
    </w:p>
    <w:p>
      <w:r>
        <w:br w:type="page"/>
      </w:r>
    </w:p>
    <w:p>
      <w:pPr>
        <w:pStyle w:val="Heading1"/>
      </w:pPr>
      <w:r>
        <w:t>3  Enquiries and booking tracking</w:t>
      </w:r>
    </w:p>
    <w:p>
      <w:pPr>
        <w:pStyle w:val="Heading2"/>
      </w:pPr>
      <w:r>
        <w:t>Simplify the first enquiry</w:t>
      </w:r>
    </w:p>
    <w:p>
      <w:r>
        <w:rPr>
          <w:b w:val="0"/>
        </w:rPr>
        <w:t>Keep the full custom planner for detailed requests. Add a short enquiry form to the advertised package page and allow customers to contact the team without completing the planner.</w:t>
      </w:r>
    </w:p>
    <w:p>
      <w:pPr>
        <w:pStyle w:val="ListBullet"/>
        <w:spacing w:after="100"/>
      </w:pPr>
      <w:r>
        <w:t>Request package or destination, dates or flexible dates, number of adults and children, name, and at least one usable contact method.</w:t>
      </w:r>
    </w:p>
    <w:p>
      <w:pPr>
        <w:pStyle w:val="ListBullet"/>
        <w:spacing w:after="100"/>
      </w:pPr>
      <w:r>
        <w:t>Make budget and preferences optional. For overseas enquiries, add country of residence and preferred contact method. Retain international phone codes.</w:t>
      </w:r>
    </w:p>
    <w:p>
      <w:pPr>
        <w:pStyle w:val="ListBullet"/>
        <w:spacing w:after="100"/>
      </w:pPr>
      <w:r>
        <w:t>Save the enquiry before displaying success. Assign a lead reference, alert the team and provide a confirmation with a realistic response time.</w:t>
      </w:r>
    </w:p>
    <w:p>
      <w:pPr>
        <w:pStyle w:val="ListBullet"/>
        <w:spacing w:after="100"/>
      </w:pPr>
      <w:r>
        <w:t>Preserve entered details on errors, prevent duplicate submissions and add discreet spam protection. Collect permit documents after qualification through an appropriate secure process.</w:t>
      </w:r>
    </w:p>
    <w:p>
      <w:pPr>
        <w:pStyle w:val="Heading2"/>
      </w:pPr>
      <w:r>
        <w:t>Record each stage separately</w:t>
      </w:r>
    </w:p>
    <w:p>
      <w:r>
        <w:rPr>
          <w:b w:val="0"/>
        </w:rPr>
        <w:t>Google tracking code is present. Verify its configuration rather than assuming it records the full booking journey. Use a lead tracker or CRM to connect website activity to sales.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b/>
                <w:color w:val="FFFFFF"/>
                <w:sz w:val="21"/>
              </w:rPr>
              <w:t>Stage</w:t>
            </w:r>
          </w:p>
        </w:tc>
        <w:tc>
          <w:tcPr>
            <w:tcW w:type="dxa" w:w="7704"/>
            <w:vAlign w:val="center"/>
            <w:shd w:fill="233D5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b/>
                <w:color w:val="FFFFFF"/>
                <w:sz w:val="21"/>
              </w:rPr>
              <w:t>When to record it</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Contact intent</w:t>
            </w:r>
          </w:p>
        </w:tc>
        <w:tc>
          <w:tcPr>
            <w:tcW w:type="dxa" w:w="770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A visitor clicks WhatsApp or the phone link. This is not a submitted enquiry.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Enquiry received</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The form submission is successfully stored, or a genuine conversation is received.</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Qualified enquiry</w:t>
            </w:r>
          </w:p>
        </w:tc>
        <w:tc>
          <w:tcPr>
            <w:tcW w:type="dxa" w:w="770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The team confirms feasible dates, group size, budget and trip requirements.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Quote and deposit</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Record when the quote is sent and when the booking deposit is verified.</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jc w:val="left"/>
            </w:pPr>
            <w:r>
              <w:rPr>
                <w:sz w:val="21"/>
              </w:rPr>
              <w:t>Completed booking</w:t>
            </w:r>
          </w:p>
        </w:tc>
        <w:tc>
          <w:tcPr>
            <w:tcW w:type="dxa" w:w="7704"/>
            <w:vAlign w:val="center"/>
            <w:shd w:fill="F2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0" w:lineRule="auto"/>
            </w:pPr>
            <w:r>
              <w:rPr>
                <w:sz w:val="21"/>
              </w:rPr>
              <w:t>Record the actual booking value, direct costs, margin and any cancellation.</w:t>
            </w:r>
          </w:p>
        </w:tc>
      </w:tr>
    </w:tbl>
    <w:p>
      <w:pPr>
        <w:spacing w:after="0"/>
      </w:pPr>
    </w:p>
    <w:p>
      <w:r>
        <w:rPr>
          <w:b w:val="0"/>
        </w:rPr>
        <w:t>Save campaign tags such as utm_source, utm_medium and utm_campaign, the landing page and applicable advertising click identifiers. Keep personal contact details out of analytics event parameters and URLs. Prevent duplicate conversion reporting.</w:t>
      </w:r>
    </w:p>
    <w:p>
      <w:pPr>
        <w:pStyle w:val="Heading2"/>
      </w:pPr>
      <w:r>
        <w:t>Completion checks</w:t>
      </w:r>
    </w:p>
    <w:p>
      <w:pPr>
        <w:pStyle w:val="ListBullet"/>
        <w:spacing w:after="100"/>
      </w:pPr>
      <w:r>
        <w:t>An authorised test enquiry reaches the tracker and team notification, with its package and campaign source intact.</w:t>
      </w:r>
    </w:p>
    <w:p>
      <w:pPr>
        <w:pStyle w:val="ListBullet"/>
        <w:spacing w:after="100"/>
      </w:pPr>
      <w:r>
        <w:t>A WhatsApp click and a successfully stored form submission appear as different events. Mark test leads so they are excluded from sales reporting.</w:t>
      </w:r>
    </w:p>
    <w:p>
      <w:pPr>
        <w:pStyle w:val="ListBullet"/>
        <w:spacing w:after="100"/>
      </w:pPr>
      <w:r>
        <w:t>The team can calculate advertising spend per confirmed booking and margin after advertising, including bookings closed after the campaign ends.</w:t>
      </w:r>
    </w:p>
    <w:p>
      <w:r>
        <w:br w:type="page"/>
      </w:r>
    </w:p>
    <w:p>
      <w:pPr>
        <w:pStyle w:val="Heading1"/>
      </w:pPr>
      <w:r>
        <w:t>4  International customers and policies</w:t>
      </w:r>
    </w:p>
    <w:p>
      <w:pPr>
        <w:pStyle w:val="Heading2"/>
      </w:pPr>
      <w:r>
        <w:t>Create an international landing page</w:t>
      </w:r>
    </w:p>
    <w:p>
      <w:r>
        <w:t>Add /international-travellers and link it from the navigation or footer. Lead with a Kaziranga wildlife holiday and a Kaziranga plus Meghalaya journey. Publish realistic durations, safari inclusions and prices for each.</w:t>
      </w:r>
    </w:p>
    <w:p>
      <w:pPr>
        <w:pStyle w:val="ListBullet"/>
        <w:spacing w:after="100"/>
      </w:pPr>
      <w:r>
        <w:t>Explain arrival via Guwahati, airport transfers, travel pace, typical driving days and the actual English-speaking driver or guide service available.</w:t>
      </w:r>
    </w:p>
    <w:p>
      <w:pPr>
        <w:pStyle w:val="ListBullet"/>
        <w:spacing w:after="100"/>
      </w:pPr>
      <w:r>
        <w:t>Show accommodation and vehicle standards with genuine photographs. Explain meals, dietary requests, luggage limits, accessibility and activity difficulty.</w:t>
      </w:r>
    </w:p>
    <w:p>
      <w:pPr>
        <w:pStyle w:val="ListBullet"/>
        <w:spacing w:after="100"/>
      </w:pPr>
      <w:r>
        <w:t>Explain accepted international payment methods, deposit timing, transaction charges and refund handling. Use indicative USD or GBP equivalents only if maintained; state the billing currency and exchange-rate basis.</w:t>
      </w:r>
    </w:p>
    <w:p>
      <w:pPr>
        <w:pStyle w:val="ListBullet"/>
        <w:spacing w:after="100"/>
      </w:pPr>
      <w:r>
        <w:t>Link to official visa guidance. Verify nationality, route and applicable permits before confirmation; do not promise permit approval. Arunachal PAP applications require an approved local operator arrangement. [3]</w:t>
      </w:r>
    </w:p>
    <w:p>
      <w:pPr>
        <w:pStyle w:val="Heading2"/>
      </w:pPr>
      <w:r>
        <w:t>Reconcile booking and cancellation terms</w:t>
      </w:r>
    </w:p>
    <w:p>
      <w:r>
        <w:rPr>
          <w:b w:val="0"/>
        </w:rPr>
        <w:t>The current cancellation page uses the paid deposit as the basis for one refund tier and total package value for other tiers. Replace this mixed wording with one consistent calculation approved by operations.</w:t>
      </w:r>
    </w:p>
    <w:p>
      <w:pPr>
        <w:pStyle w:val="ListBullet"/>
        <w:spacing w:after="100"/>
      </w:pPr>
      <w:r>
        <w:t>State whether cancellation charges are calculated on the full package price or the amount paid. Show how the refund is derived and whether any additional liability can apply.</w:t>
      </w:r>
    </w:p>
    <w:p>
      <w:pPr>
        <w:pStyle w:val="ListBullet"/>
        <w:spacing w:after="100"/>
      </w:pPr>
      <w:r>
        <w:t>Include a worked example. For a hypothetical INR 100,000 package with INR 30,000 paid, explain the actual refundable amount at each cancellation tier; do not imply a refund exceeding the amount paid.</w:t>
      </w:r>
    </w:p>
    <w:p>
      <w:pPr>
        <w:pStyle w:val="ListBullet"/>
        <w:spacing w:after="100"/>
      </w:pPr>
      <w:r>
        <w:t>Confirm how the deposit schedule works for bookings made within 15 days of arrival. Include supplier exceptions, permit charges, weather changes and international refund methods where applicable.</w:t>
      </w:r>
    </w:p>
    <w:p>
      <w:pPr>
        <w:pStyle w:val="Heading2"/>
      </w:pPr>
      <w:r>
        <w:t>Trust and privacy</w:t>
      </w:r>
    </w:p>
    <w:p>
      <w:pPr>
        <w:pStyle w:val="ListBullet"/>
        <w:spacing w:after="100"/>
      </w:pPr>
      <w:r>
        <w:t>Publish the actual business name, office address, map, team photographs and registration details where applicable. Substantiate claims about owned vehicles and approvals.</w:t>
      </w:r>
    </w:p>
    <w:p>
      <w:pPr>
        <w:pStyle w:val="ListBullet"/>
        <w:spacing w:after="100"/>
      </w:pPr>
      <w:r>
        <w:t>Update privacy disclosures to match the analytics, advertising and lead-management tools used. Provide advertising-cookie consent controls for UK visitors and assess other target-market requirements. [4]</w:t>
      </w:r>
    </w:p>
    <w:p>
      <w:pPr>
        <w:pStyle w:val="ListBullet"/>
        <w:spacing w:after="100"/>
      </w:pPr>
      <w:r>
        <w:t>Confirm dietary requests, guiding and payment arrangements before displaying them as available services.</w:t>
      </w:r>
    </w:p>
    <w:p>
      <w:r>
        <w:br w:type="page"/>
      </w:r>
    </w:p>
    <w:p>
      <w:pPr>
        <w:pStyle w:val="Heading1"/>
      </w:pPr>
      <w:r>
        <w:t>5  Technical checks and launch requirements</w:t>
      </w:r>
    </w:p>
    <w:p>
      <w:pPr>
        <w:pStyle w:val="Heading2"/>
      </w:pPr>
      <w:r>
        <w:t>Instructions for the developer</w:t>
      </w:r>
    </w:p>
    <w:p>
      <w:pPr>
        <w:pStyle w:val="ListBullet"/>
        <w:spacing w:after="100"/>
      </w:pPr>
      <w:r>
        <w:t>Fix /custom-trip so its canonical URL points to its own primary URL rather than the homepage. Check other distinct pages. Canonicals identify the preferred version of equivalent pages. [2]</w:t>
      </w:r>
    </w:p>
    <w:p>
      <w:pPr>
        <w:pStyle w:val="ListBullet"/>
        <w:spacing w:after="100"/>
      </w:pPr>
      <w:r>
        <w:t>Remove duplicated brand wording from page titles. Give each package a useful title, description, canonical URL and social-sharing image. Keep sitemap entries consistent with published URLs.</w:t>
      </w:r>
    </w:p>
    <w:p>
      <w:pPr>
        <w:pStyle w:val="ListBullet"/>
        <w:spacing w:after="100"/>
      </w:pPr>
      <w:r>
        <w:t>Inspect package and planner rendering. The initial HTML review found little trip text on the Meghalaya page and a loading message on the planner. Verify the rendered pages and deliver essential content reliably through server rendering or prerendering.</w:t>
      </w:r>
    </w:p>
    <w:p>
      <w:pPr>
        <w:pStyle w:val="ListBullet"/>
        <w:spacing w:after="100"/>
      </w:pPr>
      <w:r>
        <w:t>Test current Chrome and Safari on phones and desktop, including slow mobile connections. Compress large images, reserve image space, and check forms, menus, contrast and keyboard access.</w:t>
      </w:r>
    </w:p>
    <w:p>
      <w:pPr>
        <w:pStyle w:val="Heading2"/>
      </w:pPr>
      <w:r>
        <w:t>Before domestic ads begin</w:t>
      </w:r>
    </w:p>
    <w:p>
      <w:pPr>
        <w:pStyle w:val="ListBullet"/>
        <w:spacing w:after="100"/>
      </w:pPr>
      <w:r>
        <w:t>Confirm the Meghalaya price and inclusions with operations, then publish the completed package page.</w:t>
      </w:r>
    </w:p>
    <w:p>
      <w:pPr>
        <w:pStyle w:val="ListBullet"/>
        <w:spacing w:after="100"/>
      </w:pPr>
      <w:r>
        <w:t>Complete an authorised enquiry test and verify storage, notification, confirmation and campaign attribution.</w:t>
      </w:r>
    </w:p>
    <w:p>
      <w:pPr>
        <w:pStyle w:val="ListBullet"/>
        <w:spacing w:after="100"/>
      </w:pPr>
      <w:r>
        <w:t>Verify mobile loading and all quote, call and WhatsApp actions. Correct refund wording and publish matching terms.</w:t>
      </w:r>
    </w:p>
    <w:p>
      <w:pPr>
        <w:pStyle w:val="ListBullet"/>
        <w:spacing w:after="100"/>
      </w:pPr>
      <w:r>
        <w:t>Send each ad directly to its relevant package page. Match the offer and call to action between the ad and landing page. [1]</w:t>
      </w:r>
    </w:p>
    <w:p>
      <w:pPr>
        <w:pStyle w:val="Heading2"/>
      </w:pPr>
      <w:r>
        <w:t>Before overseas ads begin</w:t>
      </w:r>
    </w:p>
    <w:p>
      <w:pPr>
        <w:pStyle w:val="ListBullet"/>
        <w:spacing w:after="100"/>
      </w:pPr>
      <w:r>
        <w:t>Publish the Kaziranga and combined trip pages, with verified safari arrangements and international prices. Confirm arrival, guiding, payments and nationality-specific permit handling.</w:t>
      </w:r>
    </w:p>
    <w:p>
      <w:pPr>
        <w:pStyle w:val="ListBullet"/>
        <w:spacing w:after="100"/>
      </w:pPr>
      <w:r>
        <w:t>Verify foreign phone numbers, email enquiries, indicative currencies and applicable advertising-tracking consent.</w:t>
      </w:r>
    </w:p>
    <w:p>
      <w:pPr>
        <w:pStyle w:val="Heading2"/>
      </w:pPr>
      <w:r>
        <w:t>Reference links</w:t>
      </w:r>
    </w:p>
    <w:p>
      <w:pPr>
        <w:spacing w:after="80"/>
      </w:pPr>
      <w:hyperlink r:id="rId10">
        <w:r>
          <w:rPr>
            <w:color w:val="244D6C"/>
            <w:sz w:val="19"/>
          </w:rPr>
          <w:t>[1] Google Ads guidance on ads and landing pages</w:t>
        </w:r>
      </w:hyperlink>
    </w:p>
    <w:p>
      <w:pPr>
        <w:spacing w:after="80"/>
      </w:pPr>
      <w:hyperlink r:id="rId11">
        <w:r>
          <w:rPr>
            <w:color w:val="244D6C"/>
            <w:sz w:val="19"/>
          </w:rPr>
          <w:t>[2] Google Search guidance on canonical URLs</w:t>
        </w:r>
      </w:hyperlink>
    </w:p>
    <w:p>
      <w:pPr>
        <w:spacing w:after="80"/>
      </w:pPr>
      <w:hyperlink r:id="rId12">
        <w:r>
          <w:rPr>
            <w:color w:val="244D6C"/>
            <w:sz w:val="19"/>
          </w:rPr>
          <w:t>[3] Arunachal Tourism guidance on foreign tourist permits</w:t>
        </w:r>
      </w:hyperlink>
    </w:p>
    <w:p>
      <w:pPr>
        <w:spacing w:after="80"/>
      </w:pPr>
      <w:hyperlink r:id="rId13">
        <w:r>
          <w:rPr>
            <w:color w:val="244D6C"/>
            <w:sz w:val="19"/>
          </w:rPr>
          <w:t>[4] UK ICO guidance on online advertising technologies</w:t>
        </w:r>
      </w:hyperlink>
    </w:p>
    <w:p>
      <w:pPr>
        <w:spacing w:after="80"/>
      </w:pPr>
      <w:hyperlink r:id="rId15">
        <w:r>
          <w:rPr>
            <w:color w:val="244D6C"/>
            <w:sz w:val="19"/>
          </w:rPr>
          <w:t>[5] UNESCO description of Kaziranga National Park</w:t>
        </w:r>
      </w:hyperlink>
    </w:p>
    <w:p>
      <w:pPr>
        <w:spacing w:after="80"/>
      </w:pPr>
      <w:hyperlink r:id="rId16">
        <w:r>
          <w:rPr>
            <w:color w:val="244D6C"/>
            <w:sz w:val="19"/>
          </w:rPr>
          <w:t>[6] Assam Tourism safari information</w:t>
        </w:r>
      </w:hyperlink>
    </w:p>
    <w:p>
      <w:pPr>
        <w:spacing w:after="80"/>
      </w:pPr>
      <w:hyperlink r:id="rId14">
        <w:r>
          <w:rPr>
            <w:color w:val="244D6C"/>
            <w:sz w:val="19"/>
          </w:rPr>
          <w:t>Website pages reviewed on 1 October 2026</w:t>
        </w:r>
      </w:hyperlink>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Divine View Tours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google.com/google-ads/answer/6238826?hl=en" TargetMode="External"/><Relationship Id="rId11" Type="http://schemas.openxmlformats.org/officeDocument/2006/relationships/hyperlink" Target="https://developers.google.com/search/docs/crawling-indexing/consolidate-duplicate-urls" TargetMode="External"/><Relationship Id="rId12" Type="http://schemas.openxmlformats.org/officeDocument/2006/relationships/hyperlink" Target="https://arunachaltourism.com/protected-area-permit/" TargetMode="External"/><Relationship Id="rId13" Type="http://schemas.openxmlformats.org/officeDocument/2006/relationships/hyperlink" Target="https://cy.ico.org.uk/for-organisations/direct-marketing-and-privacy-and-electronic-communications/guidance-on-the-use-of-storage-and-access-technologies/how-do-the-rules-apply-to-online-advertising/" TargetMode="External"/><Relationship Id="rId14" Type="http://schemas.openxmlformats.org/officeDocument/2006/relationships/hyperlink" Target="https://www.divineviewtours.com/" TargetMode="External"/><Relationship Id="rId15" Type="http://schemas.openxmlformats.org/officeDocument/2006/relationships/hyperlink" Target="https://whc.unesco.org/en/list/337/" TargetMode="External"/><Relationship Id="rId16" Type="http://schemas.openxmlformats.org/officeDocument/2006/relationships/hyperlink" Target="https://assamtourism.gov.in/Safari-packag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Divine View Tours Website Update Instructions</dc:title>
  <dc:subject>Instructions for domestic and international advertising readiness</dc:subject>
  <dc:creator>Divine View Tours</dc:creator>
  <cp:keywords/>
  <dc:description>generated by python-docx</dc:description>
  <cp:lastModifiedBy/>
  <cp:revision>1</cp:revision>
  <dcterms:created xsi:type="dcterms:W3CDTF">2013-12-23T23:15:00Z</dcterms:created>
  <dcterms:modified xsi:type="dcterms:W3CDTF">2013-12-23T23:15:00Z</dcterms:modified>
  <cp:category/>
</cp:coreProperties>
</file>