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B58E" w14:textId="77777777" w:rsidR="00AB3206" w:rsidRPr="00AB3206" w:rsidRDefault="00AB3206" w:rsidP="00AB3206">
      <w:pPr>
        <w:rPr>
          <w:b/>
          <w:bCs/>
        </w:rPr>
      </w:pPr>
      <w:r w:rsidRPr="00AB3206">
        <w:rPr>
          <w:b/>
          <w:bCs/>
        </w:rPr>
        <w:t>Investment Strategy Report: Fixed Income Portfolio Construction</w:t>
      </w:r>
    </w:p>
    <w:p w14:paraId="50B5EC17" w14:textId="77777777" w:rsidR="00AB3206" w:rsidRPr="00AB3206" w:rsidRDefault="00AB3206" w:rsidP="00AB3206">
      <w:r w:rsidRPr="00AB3206">
        <w:t>Strategy: Barbell Strategy (Long/Short Volatility Optimization)</w:t>
      </w:r>
    </w:p>
    <w:p w14:paraId="6E2F1095" w14:textId="77777777" w:rsidR="00AB3206" w:rsidRPr="00AB3206" w:rsidRDefault="00AB3206" w:rsidP="00AB3206">
      <w:r w:rsidRPr="00AB3206">
        <w:t>Market Outlook: Uncertain/Volatile Interest Rate Environment</w:t>
      </w:r>
    </w:p>
    <w:p w14:paraId="1E9C295B" w14:textId="77777777" w:rsidR="00AB3206" w:rsidRPr="00AB3206" w:rsidRDefault="00AB3206" w:rsidP="00AB3206">
      <w:r w:rsidRPr="00AB3206">
        <w:t>Objective: To construct a risk-neutral portfolio that optimizes "Carry" (Yield) while maximizing "Convexity" to protect against large interest rate swings.</w:t>
      </w:r>
    </w:p>
    <w:p w14:paraId="67EB3A09" w14:textId="77777777" w:rsidR="00AB3206" w:rsidRPr="00AB3206" w:rsidRDefault="00000000" w:rsidP="00AB3206">
      <w:r>
        <w:pict w14:anchorId="2A5AA347">
          <v:rect id="_x0000_i1025" style="width:0;height:1.5pt" o:hralign="center" o:hrstd="t" o:hr="t" fillcolor="#a0a0a0" stroked="f"/>
        </w:pict>
      </w:r>
    </w:p>
    <w:p w14:paraId="461E4B07" w14:textId="77777777" w:rsidR="00AB3206" w:rsidRPr="00AB3206" w:rsidRDefault="00AB3206" w:rsidP="00AB3206">
      <w:pPr>
        <w:rPr>
          <w:b/>
          <w:bCs/>
        </w:rPr>
      </w:pPr>
      <w:r w:rsidRPr="00AB3206">
        <w:rPr>
          <w:b/>
          <w:bCs/>
        </w:rPr>
        <w:t>1. Executive Summary</w:t>
      </w:r>
    </w:p>
    <w:p w14:paraId="13312AA1" w14:textId="77777777" w:rsidR="00AB3206" w:rsidRPr="00AB3206" w:rsidRDefault="00AB3206" w:rsidP="00AB3206">
      <w:r w:rsidRPr="00AB3206">
        <w:t xml:space="preserve">This portfolio employs a </w:t>
      </w:r>
      <w:r w:rsidRPr="00AB3206">
        <w:rPr>
          <w:b/>
          <w:bCs/>
        </w:rPr>
        <w:t>Barbell Strategy</w:t>
      </w:r>
      <w:r w:rsidRPr="00AB3206">
        <w:t>, concentrating capital in two distinct buckets: short-term, high-coupon bonds for liquidity and income, and long-term bonds for convexity and capital appreciation. The selection process utilized a rigorous quantitative filter, moving from gross yield analysis to granular "Rich/Cheap" valuation, and finally optimizing for Duration and Convexity to ensure the portfolio is resilient to non-parallel shifts in the yield curve.</w:t>
      </w:r>
    </w:p>
    <w:p w14:paraId="603D2938" w14:textId="77777777" w:rsidR="00AB3206" w:rsidRPr="00AB3206" w:rsidRDefault="00000000" w:rsidP="00AB3206">
      <w:r>
        <w:pict w14:anchorId="7236A079">
          <v:rect id="_x0000_i1026" style="width:0;height:1.5pt" o:hralign="center" o:hrstd="t" o:hr="t" fillcolor="#a0a0a0" stroked="f"/>
        </w:pict>
      </w:r>
    </w:p>
    <w:p w14:paraId="2563352B" w14:textId="77777777" w:rsidR="00AB3206" w:rsidRPr="00AB3206" w:rsidRDefault="00AB3206" w:rsidP="00AB3206">
      <w:pPr>
        <w:rPr>
          <w:b/>
          <w:bCs/>
        </w:rPr>
      </w:pPr>
      <w:r w:rsidRPr="00AB3206">
        <w:rPr>
          <w:b/>
          <w:bCs/>
        </w:rPr>
        <w:t>2. Investment Methodology &amp; Rationale</w:t>
      </w:r>
    </w:p>
    <w:p w14:paraId="69FB74B5" w14:textId="77777777" w:rsidR="00AB3206" w:rsidRPr="00AB3206" w:rsidRDefault="00AB3206" w:rsidP="00AB3206">
      <w:pPr>
        <w:rPr>
          <w:b/>
          <w:bCs/>
        </w:rPr>
      </w:pPr>
      <w:r w:rsidRPr="00AB3206">
        <w:rPr>
          <w:b/>
          <w:bCs/>
        </w:rPr>
        <w:t>Phase I: Universe Filtering &amp; Valuation</w:t>
      </w:r>
    </w:p>
    <w:p w14:paraId="6EB92588" w14:textId="77777777" w:rsidR="00AB3206" w:rsidRPr="00AB3206" w:rsidRDefault="00AB3206" w:rsidP="00AB3206">
      <w:pPr>
        <w:rPr>
          <w:b/>
          <w:bCs/>
        </w:rPr>
      </w:pPr>
      <w:r w:rsidRPr="00AB3206">
        <w:rPr>
          <w:b/>
          <w:bCs/>
        </w:rPr>
        <w:t>Step 1: Yield Computation</w:t>
      </w:r>
    </w:p>
    <w:p w14:paraId="4FE1D42E" w14:textId="77777777" w:rsidR="00AB3206" w:rsidRPr="00AB3206" w:rsidRDefault="00AB3206" w:rsidP="00AB3206">
      <w:pPr>
        <w:numPr>
          <w:ilvl w:val="0"/>
          <w:numId w:val="1"/>
        </w:numPr>
      </w:pPr>
      <w:r w:rsidRPr="00AB3206">
        <w:rPr>
          <w:b/>
          <w:bCs/>
        </w:rPr>
        <w:t>Action:</w:t>
      </w:r>
      <w:r w:rsidRPr="00AB3206">
        <w:t xml:space="preserve"> Calculated the Internal Rate of Return (IRR) and Annualized Yield for the entire universe of available bonds.</w:t>
      </w:r>
    </w:p>
    <w:p w14:paraId="2595D9A1" w14:textId="77777777" w:rsidR="00AB3206" w:rsidRPr="00AB3206" w:rsidRDefault="00AB3206" w:rsidP="00AB3206">
      <w:pPr>
        <w:numPr>
          <w:ilvl w:val="0"/>
          <w:numId w:val="1"/>
        </w:numPr>
      </w:pPr>
      <w:r w:rsidRPr="00AB3206">
        <w:rPr>
          <w:b/>
          <w:bCs/>
        </w:rPr>
        <w:t>Rationale:</w:t>
      </w:r>
      <w:r w:rsidRPr="00AB3206">
        <w:t xml:space="preserve"> We established a standardized baseline for return. Since bonds have varying payment frequencies and maturities, Annualized Yield provides a comparable "true return" metric beyond the nominal coupon rate.</w:t>
      </w:r>
    </w:p>
    <w:p w14:paraId="00CAC511" w14:textId="77777777" w:rsidR="00AB3206" w:rsidRPr="00AB3206" w:rsidRDefault="00AB3206" w:rsidP="00AB3206">
      <w:pPr>
        <w:rPr>
          <w:b/>
          <w:bCs/>
        </w:rPr>
      </w:pPr>
      <w:r w:rsidRPr="00AB3206">
        <w:rPr>
          <w:b/>
          <w:bCs/>
        </w:rPr>
        <w:t>Step 2: Cluster Formation (Similarity Grouping)</w:t>
      </w:r>
    </w:p>
    <w:p w14:paraId="7DF6CCE7" w14:textId="77777777" w:rsidR="00AB3206" w:rsidRPr="00AB3206" w:rsidRDefault="00AB3206" w:rsidP="00AB3206">
      <w:pPr>
        <w:numPr>
          <w:ilvl w:val="0"/>
          <w:numId w:val="2"/>
        </w:numPr>
      </w:pPr>
      <w:r w:rsidRPr="00AB3206">
        <w:rPr>
          <w:b/>
          <w:bCs/>
        </w:rPr>
        <w:t>Action:</w:t>
      </w:r>
      <w:r w:rsidRPr="00AB3206">
        <w:t xml:space="preserve"> Grouped bonds into "Similarity Clusters" using a </w:t>
      </w:r>
      <w:r w:rsidRPr="00AB3206">
        <w:rPr>
          <w:b/>
          <w:bCs/>
        </w:rPr>
        <w:t>5% Band</w:t>
      </w:r>
      <w:r w:rsidRPr="00AB3206">
        <w:t xml:space="preserve"> (based on Price/Maturity) to ensure like-for-like comparison.</w:t>
      </w:r>
    </w:p>
    <w:p w14:paraId="001FAED0" w14:textId="77777777" w:rsidR="00AB3206" w:rsidRPr="00AB3206" w:rsidRDefault="00AB3206" w:rsidP="00AB3206">
      <w:pPr>
        <w:numPr>
          <w:ilvl w:val="0"/>
          <w:numId w:val="2"/>
        </w:numPr>
      </w:pPr>
      <w:r w:rsidRPr="00AB3206">
        <w:rPr>
          <w:b/>
          <w:bCs/>
        </w:rPr>
        <w:t>Rationale:</w:t>
      </w:r>
      <w:r w:rsidRPr="00AB3206">
        <w:t xml:space="preserve"> Comparing a 2-year bond to a 10-year bond is invalid. By clustering bonds within tight bands, we isolated the idiosyncratic mispricing. This ensures that any "excess yield" found is due to market inefficiency, not just term premium or structural differences.</w:t>
      </w:r>
    </w:p>
    <w:p w14:paraId="5A820800" w14:textId="77777777" w:rsidR="00AB3206" w:rsidRPr="00AB3206" w:rsidRDefault="00AB3206" w:rsidP="00AB3206">
      <w:pPr>
        <w:rPr>
          <w:b/>
          <w:bCs/>
        </w:rPr>
      </w:pPr>
      <w:r w:rsidRPr="00AB3206">
        <w:rPr>
          <w:b/>
          <w:bCs/>
        </w:rPr>
        <w:t>Step 3: Identification of "Cheap" Bonds</w:t>
      </w:r>
    </w:p>
    <w:p w14:paraId="4979C8CF" w14:textId="77777777" w:rsidR="00AB3206" w:rsidRPr="00AB3206" w:rsidRDefault="00AB3206" w:rsidP="00AB3206">
      <w:pPr>
        <w:numPr>
          <w:ilvl w:val="0"/>
          <w:numId w:val="3"/>
        </w:numPr>
      </w:pPr>
      <w:r w:rsidRPr="00AB3206">
        <w:rPr>
          <w:b/>
          <w:bCs/>
        </w:rPr>
        <w:t>Action:</w:t>
      </w:r>
      <w:r w:rsidRPr="00AB3206">
        <w:t xml:space="preserve"> Calculated the </w:t>
      </w:r>
      <w:r w:rsidRPr="00AB3206">
        <w:rPr>
          <w:b/>
          <w:bCs/>
        </w:rPr>
        <w:t>Mean Yield</w:t>
      </w:r>
      <w:r w:rsidRPr="00AB3206">
        <w:t xml:space="preserve"> for each cluster. Bonds with a yield </w:t>
      </w:r>
      <w:r w:rsidRPr="00AB3206">
        <w:rPr>
          <w:b/>
          <w:bCs/>
        </w:rPr>
        <w:t>above</w:t>
      </w:r>
      <w:r w:rsidRPr="00AB3206">
        <w:t xml:space="preserve"> the cluster mean were flagged as "Cheap."</w:t>
      </w:r>
    </w:p>
    <w:p w14:paraId="60198922" w14:textId="77777777" w:rsidR="00AB3206" w:rsidRPr="00AB3206" w:rsidRDefault="00AB3206" w:rsidP="00AB3206">
      <w:pPr>
        <w:numPr>
          <w:ilvl w:val="0"/>
          <w:numId w:val="3"/>
        </w:numPr>
      </w:pPr>
      <w:r w:rsidRPr="00AB3206">
        <w:rPr>
          <w:b/>
          <w:bCs/>
        </w:rPr>
        <w:lastRenderedPageBreak/>
        <w:t>Rationale:</w:t>
      </w:r>
      <w:r w:rsidRPr="00AB3206">
        <w:t xml:space="preserve"> In fixed income, "Cheap" implies the price is lower than statistically predicted by its peers. This step identifies candidates that offer higher compensation (yield) for similar risk profiles.</w:t>
      </w:r>
    </w:p>
    <w:p w14:paraId="4EAED8AF" w14:textId="77777777" w:rsidR="00AB3206" w:rsidRPr="00AB3206" w:rsidRDefault="00AB3206" w:rsidP="00AB3206">
      <w:pPr>
        <w:rPr>
          <w:b/>
          <w:bCs/>
        </w:rPr>
      </w:pPr>
      <w:r w:rsidRPr="00AB3206">
        <w:rPr>
          <w:b/>
          <w:bCs/>
        </w:rPr>
        <w:t>Phase II: Quality &amp; Risk Filtering</w:t>
      </w:r>
    </w:p>
    <w:p w14:paraId="24BB8AAA" w14:textId="77777777" w:rsidR="00AB3206" w:rsidRPr="00AB3206" w:rsidRDefault="00AB3206" w:rsidP="00AB3206">
      <w:pPr>
        <w:rPr>
          <w:b/>
          <w:bCs/>
        </w:rPr>
      </w:pPr>
      <w:r w:rsidRPr="00AB3206">
        <w:rPr>
          <w:b/>
          <w:bCs/>
        </w:rPr>
        <w:t>Step 4: Liquidity &amp; Income Screening</w:t>
      </w:r>
    </w:p>
    <w:p w14:paraId="49C37479" w14:textId="77777777" w:rsidR="00AB3206" w:rsidRPr="00AB3206" w:rsidRDefault="00AB3206" w:rsidP="00AB3206">
      <w:pPr>
        <w:numPr>
          <w:ilvl w:val="0"/>
          <w:numId w:val="4"/>
        </w:numPr>
      </w:pPr>
      <w:r w:rsidRPr="00AB3206">
        <w:rPr>
          <w:b/>
          <w:bCs/>
        </w:rPr>
        <w:t>Action:</w:t>
      </w:r>
      <w:r w:rsidRPr="00AB3206">
        <w:t xml:space="preserve"> Applied two critical filters to the "Cheap" candidates:</w:t>
      </w:r>
    </w:p>
    <w:p w14:paraId="6A582231" w14:textId="77777777" w:rsidR="00AB3206" w:rsidRPr="00AB3206" w:rsidRDefault="00AB3206" w:rsidP="00AB3206">
      <w:pPr>
        <w:numPr>
          <w:ilvl w:val="1"/>
          <w:numId w:val="4"/>
        </w:numPr>
      </w:pPr>
      <w:r w:rsidRPr="00AB3206">
        <w:rPr>
          <w:b/>
          <w:bCs/>
        </w:rPr>
        <w:t>Liquidity:</w:t>
      </w:r>
      <w:r w:rsidRPr="00AB3206">
        <w:t xml:space="preserve"> Trading Volume &gt; 20.</w:t>
      </w:r>
    </w:p>
    <w:p w14:paraId="5224A2A4" w14:textId="77777777" w:rsidR="00AB3206" w:rsidRPr="00AB3206" w:rsidRDefault="00AB3206" w:rsidP="00AB3206">
      <w:pPr>
        <w:numPr>
          <w:ilvl w:val="1"/>
          <w:numId w:val="4"/>
        </w:numPr>
      </w:pPr>
      <w:r w:rsidRPr="00AB3206">
        <w:rPr>
          <w:b/>
          <w:bCs/>
        </w:rPr>
        <w:t>Income:</w:t>
      </w:r>
      <w:r w:rsidRPr="00AB3206">
        <w:t xml:space="preserve"> Selection of High Coupon % bonds.</w:t>
      </w:r>
    </w:p>
    <w:p w14:paraId="62805C8C" w14:textId="77777777" w:rsidR="00AB3206" w:rsidRPr="00AB3206" w:rsidRDefault="00AB3206" w:rsidP="00AB3206">
      <w:pPr>
        <w:numPr>
          <w:ilvl w:val="0"/>
          <w:numId w:val="4"/>
        </w:numPr>
      </w:pPr>
      <w:r w:rsidRPr="00AB3206">
        <w:rPr>
          <w:b/>
          <w:bCs/>
        </w:rPr>
        <w:t>Rationale:</w:t>
      </w:r>
    </w:p>
    <w:p w14:paraId="716B4112" w14:textId="77777777" w:rsidR="00AB3206" w:rsidRPr="00AB3206" w:rsidRDefault="00AB3206" w:rsidP="00AB3206">
      <w:pPr>
        <w:numPr>
          <w:ilvl w:val="1"/>
          <w:numId w:val="5"/>
        </w:numPr>
      </w:pPr>
      <w:r w:rsidRPr="00AB3206">
        <w:rPr>
          <w:i/>
          <w:iCs/>
        </w:rPr>
        <w:t>Liquidity:</w:t>
      </w:r>
      <w:r w:rsidRPr="00AB3206">
        <w:t xml:space="preserve"> Cheap bonds are often cheap because they are illiquid (Liquidity Premium). By filtering for volume, we avoid "Value Traps"—bonds we can buy but cannot exit.</w:t>
      </w:r>
    </w:p>
    <w:p w14:paraId="3AAC440E" w14:textId="77777777" w:rsidR="00AB3206" w:rsidRPr="00AB3206" w:rsidRDefault="00AB3206" w:rsidP="00AB3206">
      <w:pPr>
        <w:numPr>
          <w:ilvl w:val="1"/>
          <w:numId w:val="5"/>
        </w:numPr>
      </w:pPr>
      <w:r w:rsidRPr="00AB3206">
        <w:rPr>
          <w:i/>
          <w:iCs/>
        </w:rPr>
        <w:t>High Coupon:</w:t>
      </w:r>
      <w:r w:rsidRPr="00AB3206">
        <w:t xml:space="preserve"> In a Barbell strategy, the short leg requires high "Carry" (cash flow) to stabilize the portfolio. High coupons reduce Modified Duration, lowering immediate price volatility.</w:t>
      </w:r>
    </w:p>
    <w:p w14:paraId="7DBB91F1" w14:textId="77777777" w:rsidR="00AB3206" w:rsidRPr="00AB3206" w:rsidRDefault="00AB3206" w:rsidP="00AB3206">
      <w:pPr>
        <w:rPr>
          <w:b/>
          <w:bCs/>
        </w:rPr>
      </w:pPr>
      <w:r w:rsidRPr="00AB3206">
        <w:rPr>
          <w:b/>
          <w:bCs/>
        </w:rPr>
        <w:t>Step 5: Sensitivity Analysis &amp; Allocation (Barbell Formation)</w:t>
      </w:r>
    </w:p>
    <w:p w14:paraId="1FDAC7FC" w14:textId="77777777" w:rsidR="00AB3206" w:rsidRPr="00AB3206" w:rsidRDefault="00AB3206" w:rsidP="00AB3206">
      <w:pPr>
        <w:numPr>
          <w:ilvl w:val="0"/>
          <w:numId w:val="6"/>
        </w:numPr>
      </w:pPr>
      <w:r w:rsidRPr="00AB3206">
        <w:rPr>
          <w:b/>
          <w:bCs/>
        </w:rPr>
        <w:t>Action:</w:t>
      </w:r>
      <w:r w:rsidRPr="00AB3206">
        <w:t xml:space="preserve"> Simulated price reactions to interest rate changes ($\Delta y$). Bonds with excessive sensitivity (Duration) </w:t>
      </w:r>
      <w:r w:rsidRPr="00AB3206">
        <w:rPr>
          <w:i/>
          <w:iCs/>
        </w:rPr>
        <w:t>outside</w:t>
      </w:r>
      <w:r w:rsidRPr="00AB3206">
        <w:t xml:space="preserve"> our strategic targets were eliminated. The remaining capital was allocated to:</w:t>
      </w:r>
    </w:p>
    <w:p w14:paraId="2736C4B9" w14:textId="77777777" w:rsidR="00AB3206" w:rsidRPr="00AB3206" w:rsidRDefault="00AB3206" w:rsidP="00AB3206">
      <w:pPr>
        <w:numPr>
          <w:ilvl w:val="1"/>
          <w:numId w:val="6"/>
        </w:numPr>
      </w:pPr>
      <w:r w:rsidRPr="00AB3206">
        <w:rPr>
          <w:b/>
          <w:bCs/>
        </w:rPr>
        <w:t>Short End:</w:t>
      </w:r>
      <w:r w:rsidRPr="00AB3206">
        <w:t xml:space="preserve"> Low Duration / High Coupon (Stability).</w:t>
      </w:r>
    </w:p>
    <w:p w14:paraId="7B25AD31" w14:textId="77777777" w:rsidR="00AB3206" w:rsidRPr="00AB3206" w:rsidRDefault="00AB3206" w:rsidP="00AB3206">
      <w:pPr>
        <w:numPr>
          <w:ilvl w:val="1"/>
          <w:numId w:val="6"/>
        </w:numPr>
      </w:pPr>
      <w:r w:rsidRPr="00AB3206">
        <w:rPr>
          <w:b/>
          <w:bCs/>
        </w:rPr>
        <w:t>Long End:</w:t>
      </w:r>
      <w:r w:rsidRPr="00AB3206">
        <w:t xml:space="preserve"> High Duration (Convexity/Speculation).</w:t>
      </w:r>
    </w:p>
    <w:p w14:paraId="6F7235A5" w14:textId="77777777" w:rsidR="00AB3206" w:rsidRPr="00AB3206" w:rsidRDefault="00AB3206" w:rsidP="00AB3206">
      <w:pPr>
        <w:numPr>
          <w:ilvl w:val="0"/>
          <w:numId w:val="6"/>
        </w:numPr>
      </w:pPr>
      <w:r w:rsidRPr="00AB3206">
        <w:rPr>
          <w:b/>
          <w:bCs/>
        </w:rPr>
        <w:t>Rationale:</w:t>
      </w:r>
      <w:r w:rsidRPr="00AB3206">
        <w:t xml:space="preserve"> This creates the </w:t>
      </w:r>
      <w:r w:rsidRPr="00AB3206">
        <w:rPr>
          <w:b/>
          <w:bCs/>
        </w:rPr>
        <w:t>Barbell</w:t>
      </w:r>
      <w:r w:rsidRPr="00AB3206">
        <w:t>. We avoided intermediate bonds (the "Belly" of the curve) because they offer average yields with average risk. In an uncertain outlook, we prefer the safety of the short end combined with the explosive upside of the long end.</w:t>
      </w:r>
    </w:p>
    <w:p w14:paraId="0B80FD18" w14:textId="77777777" w:rsidR="00AB3206" w:rsidRPr="00AB3206" w:rsidRDefault="00AB3206" w:rsidP="00AB3206">
      <w:pPr>
        <w:rPr>
          <w:b/>
          <w:bCs/>
        </w:rPr>
      </w:pPr>
      <w:r w:rsidRPr="00AB3206">
        <w:rPr>
          <w:b/>
          <w:bCs/>
        </w:rPr>
        <w:t>Phase III: Convexity Optimization &amp; Final Selection</w:t>
      </w:r>
    </w:p>
    <w:p w14:paraId="6E7A48D3" w14:textId="77777777" w:rsidR="00AB3206" w:rsidRPr="00AB3206" w:rsidRDefault="00AB3206" w:rsidP="00AB3206">
      <w:pPr>
        <w:rPr>
          <w:b/>
          <w:bCs/>
        </w:rPr>
      </w:pPr>
      <w:r w:rsidRPr="00AB3206">
        <w:rPr>
          <w:b/>
          <w:bCs/>
        </w:rPr>
        <w:t>Step 6: Convexity Comparison</w:t>
      </w:r>
    </w:p>
    <w:p w14:paraId="6448AEF3" w14:textId="77777777" w:rsidR="00AB3206" w:rsidRPr="00AB3206" w:rsidRDefault="00AB3206" w:rsidP="00AB3206">
      <w:pPr>
        <w:numPr>
          <w:ilvl w:val="0"/>
          <w:numId w:val="7"/>
        </w:numPr>
      </w:pPr>
      <w:r w:rsidRPr="00AB3206">
        <w:rPr>
          <w:b/>
          <w:bCs/>
        </w:rPr>
        <w:t>Action:</w:t>
      </w:r>
      <w:r w:rsidRPr="00AB3206">
        <w:t xml:space="preserve"> Among bonds with similar Duration, selected those with </w:t>
      </w:r>
      <w:r w:rsidRPr="00AB3206">
        <w:rPr>
          <w:b/>
          <w:bCs/>
        </w:rPr>
        <w:t>Higher Convexity</w:t>
      </w:r>
      <w:r w:rsidRPr="00AB3206">
        <w:t>.</w:t>
      </w:r>
    </w:p>
    <w:p w14:paraId="536C9A7C" w14:textId="77777777" w:rsidR="00AB3206" w:rsidRPr="00AB3206" w:rsidRDefault="00AB3206" w:rsidP="00AB3206">
      <w:pPr>
        <w:numPr>
          <w:ilvl w:val="0"/>
          <w:numId w:val="7"/>
        </w:numPr>
      </w:pPr>
      <w:r w:rsidRPr="00AB3206">
        <w:rPr>
          <w:b/>
          <w:bCs/>
        </w:rPr>
        <w:t>Rationale:</w:t>
      </w:r>
      <w:r w:rsidRPr="00AB3206">
        <w:t xml:space="preserve"> Convexity is the "second derivative" of price.</w:t>
      </w:r>
    </w:p>
    <w:p w14:paraId="086F6AB5" w14:textId="77777777" w:rsidR="00AB3206" w:rsidRPr="00AB3206" w:rsidRDefault="00AB3206" w:rsidP="00AB3206">
      <w:pPr>
        <w:numPr>
          <w:ilvl w:val="1"/>
          <w:numId w:val="7"/>
        </w:numPr>
      </w:pPr>
      <w:r w:rsidRPr="00AB3206">
        <w:t xml:space="preserve">If rates fall, high convexity bonds rise </w:t>
      </w:r>
      <w:r w:rsidRPr="00AB3206">
        <w:rPr>
          <w:i/>
          <w:iCs/>
        </w:rPr>
        <w:t>faster</w:t>
      </w:r>
      <w:r w:rsidRPr="00AB3206">
        <w:t>.</w:t>
      </w:r>
    </w:p>
    <w:p w14:paraId="355D4532" w14:textId="77777777" w:rsidR="00AB3206" w:rsidRPr="00AB3206" w:rsidRDefault="00AB3206" w:rsidP="00AB3206">
      <w:pPr>
        <w:numPr>
          <w:ilvl w:val="1"/>
          <w:numId w:val="7"/>
        </w:numPr>
      </w:pPr>
      <w:r w:rsidRPr="00AB3206">
        <w:t xml:space="preserve">If rates rise, high convexity bonds fall </w:t>
      </w:r>
      <w:r w:rsidRPr="00AB3206">
        <w:rPr>
          <w:i/>
          <w:iCs/>
        </w:rPr>
        <w:t>slower</w:t>
      </w:r>
      <w:r w:rsidRPr="00AB3206">
        <w:t>.</w:t>
      </w:r>
    </w:p>
    <w:p w14:paraId="563465C8" w14:textId="77777777" w:rsidR="00AB3206" w:rsidRPr="00AB3206" w:rsidRDefault="00AB3206" w:rsidP="00AB3206">
      <w:pPr>
        <w:numPr>
          <w:ilvl w:val="1"/>
          <w:numId w:val="7"/>
        </w:numPr>
      </w:pPr>
      <w:r w:rsidRPr="00AB3206">
        <w:lastRenderedPageBreak/>
        <w:t>By choosing higher convexity for the same duration, we gained "free" risk protection.</w:t>
      </w:r>
    </w:p>
    <w:p w14:paraId="33318299" w14:textId="77777777" w:rsidR="00AB3206" w:rsidRPr="00AB3206" w:rsidRDefault="00AB3206" w:rsidP="00AB3206">
      <w:pPr>
        <w:rPr>
          <w:b/>
          <w:bCs/>
        </w:rPr>
      </w:pPr>
      <w:r w:rsidRPr="00AB3206">
        <w:rPr>
          <w:b/>
          <w:bCs/>
        </w:rPr>
        <w:t>Step 7: Scenario Testing (Price Change Calculation)</w:t>
      </w:r>
    </w:p>
    <w:p w14:paraId="0D6BF25D" w14:textId="77777777" w:rsidR="00AB3206" w:rsidRDefault="00AB3206" w:rsidP="00AB3206">
      <w:pPr>
        <w:numPr>
          <w:ilvl w:val="0"/>
          <w:numId w:val="8"/>
        </w:numPr>
      </w:pPr>
      <w:r w:rsidRPr="00AB3206">
        <w:t>Action: Calculated the predicted price change for potential constituents using the Taylor Series expansion:</w:t>
      </w:r>
    </w:p>
    <w:p w14:paraId="1F3E71CB" w14:textId="4FFB02EF" w:rsidR="00AB3206" w:rsidRPr="00AB3206" w:rsidRDefault="00AB3206" w:rsidP="00AB3206">
      <w:r>
        <w:t xml:space="preserve">                 </w:t>
      </w:r>
      <w:r>
        <w:rPr>
          <w:noProof/>
        </w:rPr>
        <w:drawing>
          <wp:inline distT="0" distB="0" distL="0" distR="0" wp14:anchorId="4AECC4AC" wp14:editId="3594F3F0">
            <wp:extent cx="2838450" cy="657800"/>
            <wp:effectExtent l="0" t="0" r="0" b="9525"/>
            <wp:docPr id="292819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941" name="Picture 1" descr="A black background with white text&#10;&#10;AI-generated content may be incorrect."/>
                    <pic:cNvPicPr/>
                  </pic:nvPicPr>
                  <pic:blipFill>
                    <a:blip r:embed="rId7"/>
                    <a:stretch>
                      <a:fillRect/>
                    </a:stretch>
                  </pic:blipFill>
                  <pic:spPr>
                    <a:xfrm>
                      <a:off x="0" y="0"/>
                      <a:ext cx="2850975" cy="660703"/>
                    </a:xfrm>
                    <a:prstGeom prst="rect">
                      <a:avLst/>
                    </a:prstGeom>
                  </pic:spPr>
                </pic:pic>
              </a:graphicData>
            </a:graphic>
          </wp:inline>
        </w:drawing>
      </w:r>
    </w:p>
    <w:p w14:paraId="32F942A6" w14:textId="77777777" w:rsidR="00AB3206" w:rsidRPr="00AB3206" w:rsidRDefault="00AB3206" w:rsidP="00AB3206">
      <w:pPr>
        <w:numPr>
          <w:ilvl w:val="0"/>
          <w:numId w:val="8"/>
        </w:numPr>
      </w:pPr>
      <w:r w:rsidRPr="00AB3206">
        <w:rPr>
          <w:b/>
          <w:bCs/>
        </w:rPr>
        <w:t>Rationale:</w:t>
      </w:r>
      <w:r w:rsidRPr="00AB3206">
        <w:t xml:space="preserve"> This stress-tested our thesis. It quantified exactly how the "Cheap" bonds would behave under a shock. We ensured that the "Convexity Benefit" (the second term) was significant enough to justify holding the long-duration assets.</w:t>
      </w:r>
    </w:p>
    <w:p w14:paraId="1F7EA9F5" w14:textId="77777777" w:rsidR="00AB3206" w:rsidRPr="00AB3206" w:rsidRDefault="00AB3206" w:rsidP="00AB3206">
      <w:pPr>
        <w:rPr>
          <w:b/>
          <w:bCs/>
        </w:rPr>
      </w:pPr>
      <w:r w:rsidRPr="00AB3206">
        <w:rPr>
          <w:b/>
          <w:bCs/>
        </w:rPr>
        <w:t>Step 8: Final Rich/Cheap Re-evaluation</w:t>
      </w:r>
    </w:p>
    <w:p w14:paraId="594ADE34" w14:textId="77777777" w:rsidR="00AB3206" w:rsidRPr="00AB3206" w:rsidRDefault="00AB3206" w:rsidP="00AB3206">
      <w:pPr>
        <w:numPr>
          <w:ilvl w:val="0"/>
          <w:numId w:val="9"/>
        </w:numPr>
      </w:pPr>
      <w:r w:rsidRPr="00AB3206">
        <w:rPr>
          <w:b/>
          <w:bCs/>
        </w:rPr>
        <w:t>Action:</w:t>
      </w:r>
      <w:r w:rsidRPr="00AB3206">
        <w:t xml:space="preserve"> Re-ran the Rich/Cheap analysis on the final shortlist after all risk adjustments.</w:t>
      </w:r>
    </w:p>
    <w:p w14:paraId="283B49F2" w14:textId="65FDF76F" w:rsidR="00AB3206" w:rsidRPr="00AB3206" w:rsidRDefault="00AB3206" w:rsidP="00AB3206">
      <w:pPr>
        <w:numPr>
          <w:ilvl w:val="0"/>
          <w:numId w:val="9"/>
        </w:numPr>
      </w:pPr>
      <w:r w:rsidRPr="00AB3206">
        <w:rPr>
          <w:b/>
          <w:bCs/>
        </w:rPr>
        <w:t>Rationale:</w:t>
      </w:r>
      <w:r w:rsidRPr="00AB3206">
        <w:t xml:space="preserve"> A bond that looked "Cheap" in Step 3 might look "Rich" (expensive) after adjusting for its convexity and liquidity risks. This final check ensures we are not just buying risk but buying </w:t>
      </w:r>
      <w:r w:rsidRPr="00AB3206">
        <w:rPr>
          <w:b/>
          <w:bCs/>
        </w:rPr>
        <w:t>mispriced value</w:t>
      </w:r>
      <w:r w:rsidRPr="00AB3206">
        <w:t>.</w:t>
      </w:r>
    </w:p>
    <w:p w14:paraId="05908B01" w14:textId="77777777" w:rsidR="00AB3206" w:rsidRPr="00AB3206" w:rsidRDefault="00000000" w:rsidP="00AB3206">
      <w:r>
        <w:pict w14:anchorId="34B73F50">
          <v:rect id="_x0000_i1027" style="width:0;height:1.5pt" o:hralign="center" o:hrstd="t" o:hr="t" fillcolor="#a0a0a0" stroked="f"/>
        </w:pict>
      </w:r>
    </w:p>
    <w:p w14:paraId="153160C9" w14:textId="77777777" w:rsidR="00AB3206" w:rsidRPr="00AB3206" w:rsidRDefault="00AB3206" w:rsidP="00AB3206">
      <w:pPr>
        <w:rPr>
          <w:b/>
          <w:bCs/>
        </w:rPr>
      </w:pPr>
      <w:r w:rsidRPr="00AB3206">
        <w:rPr>
          <w:b/>
          <w:bCs/>
        </w:rPr>
        <w:t>3. Portfolio Composition &amp; Outlook</w:t>
      </w:r>
    </w:p>
    <w:p w14:paraId="225AB412" w14:textId="77777777" w:rsidR="00AB3206" w:rsidRPr="00AB3206" w:rsidRDefault="00AB3206" w:rsidP="00AB3206">
      <w:r w:rsidRPr="00AB3206">
        <w:t>Based on this methodology, the final portfolio is structured as follows: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8"/>
        <w:gridCol w:w="1276"/>
        <w:gridCol w:w="1812"/>
        <w:gridCol w:w="4654"/>
      </w:tblGrid>
      <w:tr w:rsidR="00AB3206" w:rsidRPr="00AB3206" w14:paraId="4820D57C" w14:textId="77777777" w:rsidTr="00AB3206">
        <w:trPr>
          <w:tblHeader/>
          <w:tblCellSpacing w:w="15" w:type="dxa"/>
        </w:trPr>
        <w:tc>
          <w:tcPr>
            <w:tcW w:w="1223" w:type="dxa"/>
            <w:tcBorders>
              <w:top w:val="single" w:sz="6" w:space="0" w:color="auto"/>
              <w:left w:val="single" w:sz="6" w:space="0" w:color="auto"/>
              <w:bottom w:val="single" w:sz="6" w:space="0" w:color="auto"/>
              <w:right w:val="single" w:sz="6" w:space="0" w:color="auto"/>
            </w:tcBorders>
            <w:vAlign w:val="center"/>
            <w:hideMark/>
          </w:tcPr>
          <w:p w14:paraId="0CBAE119" w14:textId="77777777" w:rsidR="00AB3206" w:rsidRPr="00AB3206" w:rsidRDefault="00AB3206" w:rsidP="00AB3206">
            <w:r w:rsidRPr="00AB3206">
              <w:rPr>
                <w:b/>
                <w:bCs/>
              </w:rPr>
              <w:t>Leg</w:t>
            </w:r>
          </w:p>
        </w:tc>
        <w:tc>
          <w:tcPr>
            <w:tcW w:w="1246" w:type="dxa"/>
            <w:tcBorders>
              <w:top w:val="single" w:sz="6" w:space="0" w:color="auto"/>
              <w:left w:val="single" w:sz="6" w:space="0" w:color="auto"/>
              <w:bottom w:val="single" w:sz="6" w:space="0" w:color="auto"/>
              <w:right w:val="single" w:sz="6" w:space="0" w:color="auto"/>
            </w:tcBorders>
            <w:vAlign w:val="center"/>
            <w:hideMark/>
          </w:tcPr>
          <w:p w14:paraId="785A254A" w14:textId="77777777" w:rsidR="00AB3206" w:rsidRPr="00AB3206" w:rsidRDefault="00AB3206" w:rsidP="00AB3206">
            <w:r w:rsidRPr="00AB3206">
              <w:rPr>
                <w:b/>
                <w:bCs/>
              </w:rPr>
              <w:t>Allocation</w:t>
            </w:r>
          </w:p>
        </w:tc>
        <w:tc>
          <w:tcPr>
            <w:tcW w:w="1782" w:type="dxa"/>
            <w:tcBorders>
              <w:top w:val="single" w:sz="6" w:space="0" w:color="auto"/>
              <w:left w:val="single" w:sz="6" w:space="0" w:color="auto"/>
              <w:bottom w:val="single" w:sz="6" w:space="0" w:color="auto"/>
              <w:right w:val="single" w:sz="6" w:space="0" w:color="auto"/>
            </w:tcBorders>
            <w:vAlign w:val="center"/>
            <w:hideMark/>
          </w:tcPr>
          <w:p w14:paraId="35558457" w14:textId="77777777" w:rsidR="00AB3206" w:rsidRPr="00AB3206" w:rsidRDefault="00AB3206" w:rsidP="00AB3206">
            <w:r w:rsidRPr="00AB3206">
              <w:rPr>
                <w:b/>
                <w:bCs/>
              </w:rPr>
              <w:t>Characteristics</w:t>
            </w:r>
          </w:p>
        </w:tc>
        <w:tc>
          <w:tcPr>
            <w:tcW w:w="4609" w:type="dxa"/>
            <w:tcBorders>
              <w:top w:val="single" w:sz="6" w:space="0" w:color="auto"/>
              <w:left w:val="single" w:sz="6" w:space="0" w:color="auto"/>
              <w:bottom w:val="single" w:sz="6" w:space="0" w:color="auto"/>
              <w:right w:val="single" w:sz="6" w:space="0" w:color="auto"/>
            </w:tcBorders>
            <w:vAlign w:val="center"/>
            <w:hideMark/>
          </w:tcPr>
          <w:p w14:paraId="2CC2CC35" w14:textId="77777777" w:rsidR="00AB3206" w:rsidRPr="00AB3206" w:rsidRDefault="00AB3206" w:rsidP="00AB3206">
            <w:r w:rsidRPr="00AB3206">
              <w:rPr>
                <w:b/>
                <w:bCs/>
              </w:rPr>
              <w:t>Role in Portfolio</w:t>
            </w:r>
          </w:p>
        </w:tc>
      </w:tr>
      <w:tr w:rsidR="00AB3206" w:rsidRPr="00AB3206" w14:paraId="01F81B37" w14:textId="77777777" w:rsidTr="00AB3206">
        <w:trPr>
          <w:trHeight w:val="699"/>
          <w:tblCellSpacing w:w="15" w:type="dxa"/>
        </w:trPr>
        <w:tc>
          <w:tcPr>
            <w:tcW w:w="1223" w:type="dxa"/>
            <w:tcBorders>
              <w:top w:val="single" w:sz="6" w:space="0" w:color="auto"/>
              <w:left w:val="single" w:sz="6" w:space="0" w:color="auto"/>
              <w:bottom w:val="single" w:sz="6" w:space="0" w:color="auto"/>
              <w:right w:val="single" w:sz="6" w:space="0" w:color="auto"/>
            </w:tcBorders>
            <w:vAlign w:val="center"/>
            <w:hideMark/>
          </w:tcPr>
          <w:p w14:paraId="2EAAD3C9" w14:textId="77777777" w:rsidR="00AB3206" w:rsidRPr="00AB3206" w:rsidRDefault="00AB3206" w:rsidP="00AB3206">
            <w:r w:rsidRPr="00AB3206">
              <w:rPr>
                <w:b/>
                <w:bCs/>
              </w:rPr>
              <w:t>Short Leg</w:t>
            </w:r>
          </w:p>
        </w:tc>
        <w:tc>
          <w:tcPr>
            <w:tcW w:w="1246" w:type="dxa"/>
            <w:tcBorders>
              <w:top w:val="single" w:sz="6" w:space="0" w:color="auto"/>
              <w:left w:val="single" w:sz="6" w:space="0" w:color="auto"/>
              <w:bottom w:val="single" w:sz="6" w:space="0" w:color="auto"/>
              <w:right w:val="single" w:sz="6" w:space="0" w:color="auto"/>
            </w:tcBorders>
            <w:vAlign w:val="center"/>
            <w:hideMark/>
          </w:tcPr>
          <w:p w14:paraId="6A8B8269" w14:textId="1D82EE3B" w:rsidR="00AB3206" w:rsidRPr="00AB3206" w:rsidRDefault="00AB3206" w:rsidP="00AB3206">
            <w:r w:rsidRPr="00AB3206">
              <w:t>~</w:t>
            </w:r>
            <w:r w:rsidR="001E5257">
              <w:t>6</w:t>
            </w:r>
            <w:r w:rsidRPr="00AB3206">
              <w:t>0%</w:t>
            </w:r>
          </w:p>
        </w:tc>
        <w:tc>
          <w:tcPr>
            <w:tcW w:w="1782" w:type="dxa"/>
            <w:tcBorders>
              <w:top w:val="single" w:sz="6" w:space="0" w:color="auto"/>
              <w:left w:val="single" w:sz="6" w:space="0" w:color="auto"/>
              <w:bottom w:val="single" w:sz="6" w:space="0" w:color="auto"/>
              <w:right w:val="single" w:sz="6" w:space="0" w:color="auto"/>
            </w:tcBorders>
            <w:vAlign w:val="center"/>
            <w:hideMark/>
          </w:tcPr>
          <w:p w14:paraId="0516DF6C" w14:textId="77777777" w:rsidR="00AB3206" w:rsidRPr="00AB3206" w:rsidRDefault="00AB3206" w:rsidP="00AB3206">
            <w:r w:rsidRPr="00AB3206">
              <w:rPr>
                <w:b/>
                <w:bCs/>
              </w:rPr>
              <w:t>High Coupon, Low Duration</w:t>
            </w:r>
          </w:p>
        </w:tc>
        <w:tc>
          <w:tcPr>
            <w:tcW w:w="4609" w:type="dxa"/>
            <w:tcBorders>
              <w:top w:val="single" w:sz="6" w:space="0" w:color="auto"/>
              <w:left w:val="single" w:sz="6" w:space="0" w:color="auto"/>
              <w:bottom w:val="single" w:sz="6" w:space="0" w:color="auto"/>
              <w:right w:val="single" w:sz="6" w:space="0" w:color="auto"/>
            </w:tcBorders>
            <w:vAlign w:val="center"/>
            <w:hideMark/>
          </w:tcPr>
          <w:p w14:paraId="5985ED94" w14:textId="77777777" w:rsidR="00AB3206" w:rsidRPr="00AB3206" w:rsidRDefault="00AB3206" w:rsidP="00AB3206">
            <w:r w:rsidRPr="00AB3206">
              <w:rPr>
                <w:b/>
                <w:bCs/>
              </w:rPr>
              <w:t>Income Generator.</w:t>
            </w:r>
            <w:r w:rsidRPr="00AB3206">
              <w:t xml:space="preserve"> Provides steady cash flow and low sensitivity to rate hikes.</w:t>
            </w:r>
          </w:p>
        </w:tc>
      </w:tr>
      <w:tr w:rsidR="00AB3206" w:rsidRPr="00AB3206" w14:paraId="4E0C23D2" w14:textId="77777777" w:rsidTr="00AB3206">
        <w:trPr>
          <w:trHeight w:val="896"/>
          <w:tblCellSpacing w:w="15" w:type="dxa"/>
        </w:trPr>
        <w:tc>
          <w:tcPr>
            <w:tcW w:w="1223" w:type="dxa"/>
            <w:tcBorders>
              <w:top w:val="single" w:sz="6" w:space="0" w:color="auto"/>
              <w:left w:val="single" w:sz="6" w:space="0" w:color="auto"/>
              <w:bottom w:val="single" w:sz="6" w:space="0" w:color="auto"/>
              <w:right w:val="single" w:sz="6" w:space="0" w:color="auto"/>
            </w:tcBorders>
            <w:vAlign w:val="center"/>
            <w:hideMark/>
          </w:tcPr>
          <w:p w14:paraId="2638B54B" w14:textId="77777777" w:rsidR="00AB3206" w:rsidRPr="00AB3206" w:rsidRDefault="00AB3206" w:rsidP="00AB3206">
            <w:r w:rsidRPr="00AB3206">
              <w:rPr>
                <w:b/>
                <w:bCs/>
              </w:rPr>
              <w:t>Long Leg</w:t>
            </w:r>
          </w:p>
        </w:tc>
        <w:tc>
          <w:tcPr>
            <w:tcW w:w="1246" w:type="dxa"/>
            <w:tcBorders>
              <w:top w:val="single" w:sz="6" w:space="0" w:color="auto"/>
              <w:left w:val="single" w:sz="6" w:space="0" w:color="auto"/>
              <w:bottom w:val="single" w:sz="6" w:space="0" w:color="auto"/>
              <w:right w:val="single" w:sz="6" w:space="0" w:color="auto"/>
            </w:tcBorders>
            <w:vAlign w:val="center"/>
            <w:hideMark/>
          </w:tcPr>
          <w:p w14:paraId="688FCD72" w14:textId="10010E48" w:rsidR="00AB3206" w:rsidRPr="00AB3206" w:rsidRDefault="00AB3206" w:rsidP="00AB3206">
            <w:r w:rsidRPr="00AB3206">
              <w:t>~</w:t>
            </w:r>
            <w:r w:rsidR="001E5257">
              <w:t>4</w:t>
            </w:r>
            <w:r w:rsidRPr="00AB3206">
              <w:t>0%</w:t>
            </w:r>
          </w:p>
        </w:tc>
        <w:tc>
          <w:tcPr>
            <w:tcW w:w="1782" w:type="dxa"/>
            <w:tcBorders>
              <w:top w:val="single" w:sz="6" w:space="0" w:color="auto"/>
              <w:left w:val="single" w:sz="6" w:space="0" w:color="auto"/>
              <w:bottom w:val="single" w:sz="6" w:space="0" w:color="auto"/>
              <w:right w:val="single" w:sz="6" w:space="0" w:color="auto"/>
            </w:tcBorders>
            <w:vAlign w:val="center"/>
            <w:hideMark/>
          </w:tcPr>
          <w:p w14:paraId="6FC97F07" w14:textId="77777777" w:rsidR="00AB3206" w:rsidRPr="00AB3206" w:rsidRDefault="00AB3206" w:rsidP="00AB3206">
            <w:r w:rsidRPr="00AB3206">
              <w:rPr>
                <w:b/>
                <w:bCs/>
              </w:rPr>
              <w:t>High Convexity, High Duration</w:t>
            </w:r>
          </w:p>
        </w:tc>
        <w:tc>
          <w:tcPr>
            <w:tcW w:w="4609" w:type="dxa"/>
            <w:tcBorders>
              <w:top w:val="single" w:sz="6" w:space="0" w:color="auto"/>
              <w:left w:val="single" w:sz="6" w:space="0" w:color="auto"/>
              <w:bottom w:val="single" w:sz="6" w:space="0" w:color="auto"/>
              <w:right w:val="single" w:sz="6" w:space="0" w:color="auto"/>
            </w:tcBorders>
            <w:vAlign w:val="center"/>
            <w:hideMark/>
          </w:tcPr>
          <w:p w14:paraId="201B2FF9" w14:textId="77777777" w:rsidR="00AB3206" w:rsidRPr="00AB3206" w:rsidRDefault="00AB3206" w:rsidP="00AB3206">
            <w:r w:rsidRPr="00AB3206">
              <w:rPr>
                <w:b/>
                <w:bCs/>
              </w:rPr>
              <w:t>Insurance/Upside.</w:t>
            </w:r>
            <w:r w:rsidRPr="00AB3206">
              <w:t xml:space="preserve"> Provides protection against rate cuts and non-linear gains via convexity.</w:t>
            </w:r>
          </w:p>
        </w:tc>
      </w:tr>
    </w:tbl>
    <w:p w14:paraId="559E80E6" w14:textId="77777777" w:rsidR="00AB3206" w:rsidRDefault="00AB3206" w:rsidP="00AB3206"/>
    <w:p w14:paraId="42C70A41" w14:textId="39A04C5E" w:rsidR="00AB3206" w:rsidRPr="00AB3206" w:rsidRDefault="00AB3206" w:rsidP="00AB3206">
      <w:r w:rsidRPr="00AB3206">
        <w:t>Conclusion:</w:t>
      </w:r>
    </w:p>
    <w:p w14:paraId="5293728F" w14:textId="5B0A3FDB" w:rsidR="00884305" w:rsidRDefault="00AB3206">
      <w:r w:rsidRPr="00AB3206">
        <w:t>This portfolio is mathematically optimized for an unsure market. If rates stay stable, the Short Leg generates superior carry (Step 4). If rates become volatile, the Long Leg’s convexity (Step 6 &amp; 7) mitigates losses and accelerates gains, outperforming a standard bullet portfolio.</w:t>
      </w:r>
    </w:p>
    <w:sectPr w:rsidR="0088430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732E" w14:textId="77777777" w:rsidR="008F7291" w:rsidRDefault="008F7291" w:rsidP="00AB3206">
      <w:pPr>
        <w:spacing w:after="0" w:line="240" w:lineRule="auto"/>
      </w:pPr>
      <w:r>
        <w:separator/>
      </w:r>
    </w:p>
  </w:endnote>
  <w:endnote w:type="continuationSeparator" w:id="0">
    <w:p w14:paraId="70A877EC" w14:textId="77777777" w:rsidR="008F7291" w:rsidRDefault="008F7291" w:rsidP="00AB3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68A0" w14:textId="77777777" w:rsidR="008F7291" w:rsidRDefault="008F7291" w:rsidP="00AB3206">
      <w:pPr>
        <w:spacing w:after="0" w:line="240" w:lineRule="auto"/>
      </w:pPr>
      <w:r>
        <w:separator/>
      </w:r>
    </w:p>
  </w:footnote>
  <w:footnote w:type="continuationSeparator" w:id="0">
    <w:p w14:paraId="67465507" w14:textId="77777777" w:rsidR="008F7291" w:rsidRDefault="008F7291" w:rsidP="00AB3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D92D" w14:textId="21905DD4" w:rsidR="00AB3206"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3152C7E9A39846BC8603BBD1C5096A66"/>
        </w:placeholder>
        <w:dataBinding w:prefixMappings="xmlns:ns0='http://purl.org/dc/elements/1.1/' xmlns:ns1='http://schemas.openxmlformats.org/package/2006/metadata/core-properties' " w:xpath="/ns1:coreProperties[1]/ns0:title[1]" w:storeItemID="{6C3C8BC8-F283-45AE-878A-BAB7291924A1}"/>
        <w:text/>
      </w:sdtPr>
      <w:sdtContent>
        <w:r w:rsidR="00AB3206">
          <w:rPr>
            <w:rFonts w:asciiTheme="majorHAnsi" w:eastAsiaTheme="majorEastAsia" w:hAnsiTheme="majorHAnsi" w:cstheme="majorBidi"/>
            <w:color w:val="0F4761" w:themeColor="accent1" w:themeShade="BF"/>
            <w:sz w:val="26"/>
            <w:szCs w:val="26"/>
          </w:rPr>
          <w:t>Portfolio Report – FT262001</w:t>
        </w:r>
      </w:sdtContent>
    </w:sdt>
  </w:p>
  <w:p w14:paraId="72DDF225" w14:textId="77777777" w:rsidR="00AB3206" w:rsidRDefault="00AB32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7A5"/>
    <w:multiLevelType w:val="multilevel"/>
    <w:tmpl w:val="290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80AE6"/>
    <w:multiLevelType w:val="multilevel"/>
    <w:tmpl w:val="A782A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3BA3"/>
    <w:multiLevelType w:val="multilevel"/>
    <w:tmpl w:val="2D4E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447F2"/>
    <w:multiLevelType w:val="multilevel"/>
    <w:tmpl w:val="961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04FE8"/>
    <w:multiLevelType w:val="multilevel"/>
    <w:tmpl w:val="60D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D6E8F"/>
    <w:multiLevelType w:val="multilevel"/>
    <w:tmpl w:val="631C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9375F"/>
    <w:multiLevelType w:val="multilevel"/>
    <w:tmpl w:val="CF2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96749"/>
    <w:multiLevelType w:val="multilevel"/>
    <w:tmpl w:val="545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695322">
    <w:abstractNumId w:val="7"/>
  </w:num>
  <w:num w:numId="2" w16cid:durableId="1144272791">
    <w:abstractNumId w:val="0"/>
  </w:num>
  <w:num w:numId="3" w16cid:durableId="1995912645">
    <w:abstractNumId w:val="6"/>
  </w:num>
  <w:num w:numId="4" w16cid:durableId="191112687">
    <w:abstractNumId w:val="1"/>
  </w:num>
  <w:num w:numId="5" w16cid:durableId="170979477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6917419">
    <w:abstractNumId w:val="2"/>
  </w:num>
  <w:num w:numId="7" w16cid:durableId="782772153">
    <w:abstractNumId w:val="5"/>
  </w:num>
  <w:num w:numId="8" w16cid:durableId="506094062">
    <w:abstractNumId w:val="3"/>
  </w:num>
  <w:num w:numId="9" w16cid:durableId="365061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06"/>
    <w:rsid w:val="001E5257"/>
    <w:rsid w:val="00302044"/>
    <w:rsid w:val="005E3BC4"/>
    <w:rsid w:val="00884305"/>
    <w:rsid w:val="008F7291"/>
    <w:rsid w:val="00A732AC"/>
    <w:rsid w:val="00AB3206"/>
    <w:rsid w:val="00BC30ED"/>
    <w:rsid w:val="00C377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944CE"/>
  <w15:chartTrackingRefBased/>
  <w15:docId w15:val="{64EEDC20-C32C-497A-9B7D-B3431F94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0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B320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B320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B3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0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B320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B320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B3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06"/>
    <w:rPr>
      <w:rFonts w:eastAsiaTheme="majorEastAsia" w:cstheme="majorBidi"/>
      <w:color w:val="272727" w:themeColor="text1" w:themeTint="D8"/>
    </w:rPr>
  </w:style>
  <w:style w:type="paragraph" w:styleId="Title">
    <w:name w:val="Title"/>
    <w:basedOn w:val="Normal"/>
    <w:next w:val="Normal"/>
    <w:link w:val="TitleChar"/>
    <w:uiPriority w:val="10"/>
    <w:qFormat/>
    <w:rsid w:val="00AB320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320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320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320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3206"/>
    <w:pPr>
      <w:spacing w:before="160"/>
      <w:jc w:val="center"/>
    </w:pPr>
    <w:rPr>
      <w:i/>
      <w:iCs/>
      <w:color w:val="404040" w:themeColor="text1" w:themeTint="BF"/>
    </w:rPr>
  </w:style>
  <w:style w:type="character" w:customStyle="1" w:styleId="QuoteChar">
    <w:name w:val="Quote Char"/>
    <w:basedOn w:val="DefaultParagraphFont"/>
    <w:link w:val="Quote"/>
    <w:uiPriority w:val="29"/>
    <w:rsid w:val="00AB3206"/>
    <w:rPr>
      <w:i/>
      <w:iCs/>
      <w:color w:val="404040" w:themeColor="text1" w:themeTint="BF"/>
    </w:rPr>
  </w:style>
  <w:style w:type="paragraph" w:styleId="ListParagraph">
    <w:name w:val="List Paragraph"/>
    <w:basedOn w:val="Normal"/>
    <w:uiPriority w:val="34"/>
    <w:qFormat/>
    <w:rsid w:val="00AB3206"/>
    <w:pPr>
      <w:ind w:left="720"/>
      <w:contextualSpacing/>
    </w:pPr>
  </w:style>
  <w:style w:type="character" w:styleId="IntenseEmphasis">
    <w:name w:val="Intense Emphasis"/>
    <w:basedOn w:val="DefaultParagraphFont"/>
    <w:uiPriority w:val="21"/>
    <w:qFormat/>
    <w:rsid w:val="00AB3206"/>
    <w:rPr>
      <w:i/>
      <w:iCs/>
      <w:color w:val="0F4761" w:themeColor="accent1" w:themeShade="BF"/>
    </w:rPr>
  </w:style>
  <w:style w:type="paragraph" w:styleId="IntenseQuote">
    <w:name w:val="Intense Quote"/>
    <w:basedOn w:val="Normal"/>
    <w:next w:val="Normal"/>
    <w:link w:val="IntenseQuoteChar"/>
    <w:uiPriority w:val="30"/>
    <w:qFormat/>
    <w:rsid w:val="00AB3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206"/>
    <w:rPr>
      <w:i/>
      <w:iCs/>
      <w:color w:val="0F4761" w:themeColor="accent1" w:themeShade="BF"/>
    </w:rPr>
  </w:style>
  <w:style w:type="character" w:styleId="IntenseReference">
    <w:name w:val="Intense Reference"/>
    <w:basedOn w:val="DefaultParagraphFont"/>
    <w:uiPriority w:val="32"/>
    <w:qFormat/>
    <w:rsid w:val="00AB3206"/>
    <w:rPr>
      <w:b/>
      <w:bCs/>
      <w:smallCaps/>
      <w:color w:val="0F4761" w:themeColor="accent1" w:themeShade="BF"/>
      <w:spacing w:val="5"/>
    </w:rPr>
  </w:style>
  <w:style w:type="paragraph" w:styleId="Header">
    <w:name w:val="header"/>
    <w:basedOn w:val="Normal"/>
    <w:link w:val="HeaderChar"/>
    <w:uiPriority w:val="99"/>
    <w:unhideWhenUsed/>
    <w:rsid w:val="00AB3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206"/>
  </w:style>
  <w:style w:type="paragraph" w:styleId="Footer">
    <w:name w:val="footer"/>
    <w:basedOn w:val="Normal"/>
    <w:link w:val="FooterChar"/>
    <w:uiPriority w:val="99"/>
    <w:unhideWhenUsed/>
    <w:rsid w:val="00AB3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52C7E9A39846BC8603BBD1C5096A66"/>
        <w:category>
          <w:name w:val="General"/>
          <w:gallery w:val="placeholder"/>
        </w:category>
        <w:types>
          <w:type w:val="bbPlcHdr"/>
        </w:types>
        <w:behaviors>
          <w:behavior w:val="content"/>
        </w:behaviors>
        <w:guid w:val="{A57EC1DE-C22F-409E-8E85-96B53A43F4F7}"/>
      </w:docPartPr>
      <w:docPartBody>
        <w:p w:rsidR="008802E7" w:rsidRDefault="00161F39" w:rsidP="00161F39">
          <w:pPr>
            <w:pStyle w:val="3152C7E9A39846BC8603BBD1C5096A66"/>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39"/>
    <w:rsid w:val="00161F39"/>
    <w:rsid w:val="0019125F"/>
    <w:rsid w:val="002D7E70"/>
    <w:rsid w:val="005E3BC4"/>
    <w:rsid w:val="008802E7"/>
    <w:rsid w:val="00C377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52C7E9A39846BC8603BBD1C5096A66">
    <w:name w:val="3152C7E9A39846BC8603BBD1C5096A66"/>
    <w:rsid w:val="00161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Report – FT262001</dc:title>
  <dc:subject/>
  <dc:creator>Bijesh Singha</dc:creator>
  <cp:keywords/>
  <dc:description/>
  <cp:lastModifiedBy>Bijesh Singha</cp:lastModifiedBy>
  <cp:revision>2</cp:revision>
  <cp:lastPrinted>2025-12-18T11:03:00Z</cp:lastPrinted>
  <dcterms:created xsi:type="dcterms:W3CDTF">2025-12-18T11:00:00Z</dcterms:created>
  <dcterms:modified xsi:type="dcterms:W3CDTF">2025-12-19T12:37:00Z</dcterms:modified>
</cp:coreProperties>
</file>