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</w:pPr>
    </w:p>
    <w:p>
      <w:pPr>
        <w:pStyle w:val="Title"/>
        <w:jc w:val="center"/>
      </w:pPr>
      <w:r>
        <w:t>INSTITUTIONAL INVESTMENT MEMO</w:t>
      </w:r>
    </w:p>
    <w:p>
      <w:pPr>
        <w:jc w:val="center"/>
      </w:pPr>
      <w:r>
        <w:rPr>
          <w:b/>
          <w:color w:val="64748B"/>
          <w:sz w:val="28"/>
        </w:rPr>
        <w:t>FUNDAMENTAL VALUATION &amp; STOCHASTIC ANALYSIS</w:t>
      </w:r>
    </w:p>
    <w:p>
      <w:pPr>
        <w:spacing w:after="24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Target Entity: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Sun Pharmaceutical Industries Ltd. (NSE: SUN.NS)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Sector / Industry: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Indian Pharmaceuticals (Nifty Pharma Index)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Lead Valuation Analyst: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Bijesh Singha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Valuation Date: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July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Document Classification: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CONFIDENTIAL - INSTITUTIONAL RESEARCH ONLY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pPr>
        <w:spacing w:before="120"/>
      </w:pPr>
      <w:r>
        <w:rPr>
          <w:b/>
        </w:rPr>
        <w:t xml:space="preserve">INVESTMENT RECOMMENDATION: </w:t>
      </w:r>
      <w:r>
        <w:rPr>
          <w:b/>
          <w:color w:val="DC2626"/>
          <w:sz w:val="26"/>
        </w:rPr>
        <w:t>SELL / UNDERWEIGHT</w:t>
      </w:r>
    </w:p>
    <w:p>
      <w:r>
        <w:t>Based on our deterministic Driver-Based Discounted Cash Flow (DCF) model and 10,000-iteration Monte Carlo stochastic simulation, Sun Pharmaceutical Industries (SUN.NS) is currently trading at a severe premium relative to its underlying cash-generative capacity.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93B"/>
          </w:tcPr>
          <w:p>
            <w:r>
              <w:rPr>
                <w:b/>
                <w:color w:val="FFFFFF"/>
              </w:rPr>
              <w:t>Valuation Metric</w:t>
            </w:r>
          </w:p>
        </w:tc>
        <w:tc>
          <w:tcPr>
            <w:tcW w:type="dxa" w:w="4320"/>
            <w:shd w:fill="1E293B"/>
          </w:tcPr>
          <w:p>
            <w:r>
              <w:rPr>
                <w:b/>
                <w:color w:val="FFFFFF"/>
              </w:rPr>
              <w:t>Value (INR / Share)</w:t>
            </w:r>
          </w:p>
        </w:tc>
      </w:tr>
      <w:tr>
        <w:tc>
          <w:tcPr>
            <w:tcW w:type="dxa" w:w="4320"/>
          </w:tcPr>
          <w:p>
            <w:r>
              <w:t>Current Market Trading Price</w:t>
            </w:r>
          </w:p>
        </w:tc>
        <w:tc>
          <w:tcPr>
            <w:tcW w:type="dxa" w:w="4320"/>
          </w:tcPr>
          <w:p>
            <w:r>
              <w:t>₹1,868.00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Base Case DCF Intrinsic Value (50th Percentile)</w:t>
            </w:r>
          </w:p>
        </w:tc>
        <w:tc>
          <w:tcPr>
            <w:tcW w:type="dxa" w:w="4320"/>
          </w:tcPr>
          <w:p>
            <w:r>
              <w:rPr>
                <w:b/>
                <w:color w:val="DC2626"/>
              </w:rPr>
              <w:t>₹887.87</w:t>
            </w:r>
          </w:p>
        </w:tc>
      </w:tr>
      <w:tr>
        <w:tc>
          <w:tcPr>
            <w:tcW w:type="dxa" w:w="4320"/>
          </w:tcPr>
          <w:p>
            <w:r>
              <w:t>Implied Target Downside</w:t>
            </w:r>
          </w:p>
        </w:tc>
        <w:tc>
          <w:tcPr>
            <w:tcW w:type="dxa" w:w="4320"/>
          </w:tcPr>
          <w:p>
            <w:r>
              <w:t>-52.47%</w:t>
            </w:r>
          </w:p>
        </w:tc>
      </w:tr>
      <w:tr>
        <w:tc>
          <w:tcPr>
            <w:tcW w:type="dxa" w:w="4320"/>
          </w:tcPr>
          <w:p>
            <w:r>
              <w:t>Bear Case Stress Value (10th Percentile)</w:t>
            </w:r>
          </w:p>
        </w:tc>
        <w:tc>
          <w:tcPr>
            <w:tcW w:type="dxa" w:w="4320"/>
          </w:tcPr>
          <w:p>
            <w:r>
              <w:t>₹780.22</w:t>
            </w:r>
          </w:p>
        </w:tc>
      </w:tr>
      <w:tr>
        <w:tc>
          <w:tcPr>
            <w:tcW w:type="dxa" w:w="4320"/>
          </w:tcPr>
          <w:p>
            <w:r>
              <w:t>Bull Case Stress Value (90th Percentile)</w:t>
            </w:r>
          </w:p>
        </w:tc>
        <w:tc>
          <w:tcPr>
            <w:tcW w:type="dxa" w:w="4320"/>
          </w:tcPr>
          <w:p>
            <w:r>
              <w:t>₹1,006.34</w:t>
            </w:r>
          </w:p>
        </w:tc>
      </w:tr>
    </w:tbl>
    <w:p>
      <w:pPr>
        <w:pStyle w:val="Heading2"/>
      </w:pPr>
      <w:r>
        <w:t>Core Investment Thesis</w:t>
      </w:r>
    </w:p>
    <w:p>
      <w:r>
        <w:t xml:space="preserve">While Sun Pharma exhibits stable top-line expansion (~10% CAGR) and robust EBIT operating margins (~23%), the required capital reinvestment rate—specifically the Working Capital drag and maintenance Capital Expenditures required to sustain pharmaceutical supply chains—absorbs approximately 30% of operating profits. </w:t>
      </w:r>
      <w:r>
        <w:t>The live equity market is pricing Sun Pharma for absolute operational perfection, completely ignoring the balance sheet reinvestment burden required to support future revenue growth.</w:t>
      </w:r>
    </w:p>
    <w:p>
      <w:r>
        <w:br w:type="page"/>
      </w:r>
    </w:p>
    <w:p>
      <w:pPr>
        <w:pStyle w:val="Heading1"/>
      </w:pPr>
      <w:r>
        <w:t>2. COMPLETE VALUATION ASSUMPTIONS &amp; PARAMETERS</w:t>
      </w:r>
    </w:p>
    <w:p>
      <w:r>
        <w:t>To ensure full mathematical transparency and institutional auditability, every parameter, proxy, and macroeconomic assumption utilized across our deterministic and stochastic modeling engines is detailed below.</w:t>
      </w:r>
    </w:p>
    <w:p>
      <w:pPr>
        <w:pStyle w:val="Heading2"/>
      </w:pPr>
      <w:r>
        <w:t>2.1 Macroeconomic &amp; Cost of Capital (WACC) Assumptions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34155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2880"/>
            <w:shd w:fill="334155"/>
          </w:tcPr>
          <w:p>
            <w:r>
              <w:rPr>
                <w:b/>
                <w:color w:val="FFFFFF"/>
              </w:rPr>
              <w:t>Assumed Value</w:t>
            </w:r>
          </w:p>
        </w:tc>
        <w:tc>
          <w:tcPr>
            <w:tcW w:type="dxa" w:w="2880"/>
            <w:shd w:fill="334155"/>
          </w:tcPr>
          <w:p>
            <w:r>
              <w:rPr>
                <w:b/>
                <w:color w:val="FFFFFF"/>
              </w:rPr>
              <w:t>Financial Rationale &amp; Source</w:t>
            </w:r>
          </w:p>
        </w:tc>
      </w:tr>
      <w:tr>
        <w:tc>
          <w:tcPr>
            <w:tcW w:type="dxa" w:w="2880"/>
          </w:tcPr>
          <w:p>
            <w:r>
              <w:t>Risk-Free Rate (Rf)</w:t>
            </w:r>
          </w:p>
        </w:tc>
        <w:tc>
          <w:tcPr>
            <w:tcW w:type="dxa" w:w="2880"/>
          </w:tcPr>
          <w:p>
            <w:r>
              <w:t>7.00%</w:t>
            </w:r>
          </w:p>
        </w:tc>
        <w:tc>
          <w:tcPr>
            <w:tcW w:type="dxa" w:w="2880"/>
          </w:tcPr>
          <w:p>
            <w:r>
              <w:t>Benchmark India 10-Year Government Bond Yield.</w:t>
            </w:r>
          </w:p>
        </w:tc>
      </w:tr>
      <w:tr>
        <w:tc>
          <w:tcPr>
            <w:tcW w:type="dxa" w:w="2880"/>
          </w:tcPr>
          <w:p>
            <w:r>
              <w:t>Equity Risk Premium (ERP)</w:t>
            </w:r>
          </w:p>
        </w:tc>
        <w:tc>
          <w:tcPr>
            <w:tcW w:type="dxa" w:w="2880"/>
          </w:tcPr>
          <w:p>
            <w:r>
              <w:t>6.00%</w:t>
            </w:r>
          </w:p>
        </w:tc>
        <w:tc>
          <w:tcPr>
            <w:tcW w:type="dxa" w:w="2880"/>
          </w:tcPr>
          <w:p>
            <w:r>
              <w:t>Consensus long-term equity risk premium for Indian equity markets.</w:t>
            </w:r>
          </w:p>
        </w:tc>
      </w:tr>
      <w:tr>
        <w:tc>
          <w:tcPr>
            <w:tcW w:type="dxa" w:w="2880"/>
          </w:tcPr>
          <w:p>
            <w:r>
              <w:t>Equity Beta (β)</w:t>
            </w:r>
          </w:p>
        </w:tc>
        <w:tc>
          <w:tcPr>
            <w:tcW w:type="dxa" w:w="2880"/>
          </w:tcPr>
          <w:p>
            <w:r>
              <w:t>0.75</w:t>
            </w:r>
          </w:p>
        </w:tc>
        <w:tc>
          <w:tcPr>
            <w:tcW w:type="dxa" w:w="2880"/>
          </w:tcPr>
          <w:p>
            <w:r>
              <w:t>LSEG live extraction or defensive proxy beta for large-cap pharmaceuticals.</w:t>
            </w:r>
          </w:p>
        </w:tc>
      </w:tr>
      <w:tr>
        <w:tc>
          <w:tcPr>
            <w:tcW w:type="dxa" w:w="2880"/>
          </w:tcPr>
          <w:p>
            <w:r>
              <w:t>Cost of Debt (Pre-Tax Rd)</w:t>
            </w:r>
          </w:p>
        </w:tc>
        <w:tc>
          <w:tcPr>
            <w:tcW w:type="dxa" w:w="2880"/>
          </w:tcPr>
          <w:p>
            <w:r>
              <w:t>8.00%</w:t>
            </w:r>
          </w:p>
        </w:tc>
        <w:tc>
          <w:tcPr>
            <w:tcW w:type="dxa" w:w="2880"/>
          </w:tcPr>
          <w:p>
            <w:r>
              <w:t>Annualized quarterly interest expense divided by total debt outstanding.</w:t>
            </w:r>
          </w:p>
        </w:tc>
      </w:tr>
      <w:tr>
        <w:tc>
          <w:tcPr>
            <w:tcW w:type="dxa" w:w="2880"/>
          </w:tcPr>
          <w:p>
            <w:r>
              <w:t>Effective Corporate Tax Rate (Tc)</w:t>
            </w:r>
          </w:p>
        </w:tc>
        <w:tc>
          <w:tcPr>
            <w:tcW w:type="dxa" w:w="2880"/>
          </w:tcPr>
          <w:p>
            <w:r>
              <w:t>25.00%</w:t>
            </w:r>
          </w:p>
        </w:tc>
        <w:tc>
          <w:tcPr>
            <w:tcW w:type="dxa" w:w="2880"/>
          </w:tcPr>
          <w:p>
            <w:r>
              <w:t>Normalized statutory Indian corporate tax rate proxy.</w:t>
            </w:r>
          </w:p>
        </w:tc>
      </w:tr>
      <w:tr>
        <w:tc>
          <w:tcPr>
            <w:tcW w:type="dxa" w:w="2880"/>
          </w:tcPr>
          <w:p>
            <w:r>
              <w:t>Calculated WACC</w:t>
            </w:r>
          </w:p>
        </w:tc>
        <w:tc>
          <w:tcPr>
            <w:tcW w:type="dxa" w:w="2880"/>
          </w:tcPr>
          <w:p>
            <w:r>
              <w:t>11.45%</w:t>
            </w:r>
          </w:p>
        </w:tc>
        <w:tc>
          <w:tcPr>
            <w:tcW w:type="dxa" w:w="2880"/>
          </w:tcPr>
          <w:p>
            <w:r>
              <w:t>Dynamic weighted blend based on live E/V and D/V capital structure.</w:t>
            </w:r>
          </w:p>
        </w:tc>
      </w:tr>
    </w:tbl>
    <w:p>
      <w:pPr>
        <w:pStyle w:val="Heading2"/>
      </w:pPr>
      <w:r>
        <w:t>2.2 Base Case Deterministic 5-Year Forecast Drivers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34155"/>
          </w:tcPr>
          <w:p>
            <w:r>
              <w:rPr>
                <w:b/>
                <w:color w:val="FFFFFF"/>
              </w:rPr>
              <w:t>Forecast Driver</w:t>
            </w:r>
          </w:p>
        </w:tc>
        <w:tc>
          <w:tcPr>
            <w:tcW w:type="dxa" w:w="2880"/>
            <w:shd w:fill="334155"/>
          </w:tcPr>
          <w:p>
            <w:r>
              <w:rPr>
                <w:b/>
                <w:color w:val="FFFFFF"/>
              </w:rPr>
              <w:t>Baseline Parameter</w:t>
            </w:r>
          </w:p>
        </w:tc>
        <w:tc>
          <w:tcPr>
            <w:tcW w:type="dxa" w:w="2880"/>
            <w:shd w:fill="334155"/>
          </w:tcPr>
          <w:p>
            <w:r>
              <w:rPr>
                <w:b/>
                <w:color w:val="FFFFFF"/>
              </w:rPr>
              <w:t>Operational Justification</w:t>
            </w:r>
          </w:p>
        </w:tc>
      </w:tr>
      <w:tr>
        <w:tc>
          <w:tcPr>
            <w:tcW w:type="dxa" w:w="2880"/>
          </w:tcPr>
          <w:p>
            <w:r>
              <w:t>Baseline Revenue (Year 0)</w:t>
            </w:r>
          </w:p>
        </w:tc>
        <w:tc>
          <w:tcPr>
            <w:tcW w:type="dxa" w:w="2880"/>
          </w:tcPr>
          <w:p>
            <w:r>
              <w:t>₹450,000 Million</w:t>
            </w:r>
          </w:p>
        </w:tc>
        <w:tc>
          <w:tcPr>
            <w:tcW w:type="dxa" w:w="2880"/>
          </w:tcPr>
          <w:p>
            <w:r>
              <w:t>Normalized trailing historical base revenue established in Phase 2.</w:t>
            </w:r>
          </w:p>
        </w:tc>
      </w:tr>
      <w:tr>
        <w:tc>
          <w:tcPr>
            <w:tcW w:type="dxa" w:w="2880"/>
          </w:tcPr>
          <w:p>
            <w:r>
              <w:t>Top-Line Revenue Growth Rate</w:t>
            </w:r>
          </w:p>
        </w:tc>
        <w:tc>
          <w:tcPr>
            <w:tcW w:type="dxa" w:w="2880"/>
          </w:tcPr>
          <w:p>
            <w:r>
              <w:t>10.00% p.a.</w:t>
            </w:r>
          </w:p>
        </w:tc>
        <w:tc>
          <w:tcPr>
            <w:tcW w:type="dxa" w:w="2880"/>
          </w:tcPr>
          <w:p>
            <w:r>
              <w:t>Historical industry growth ceiling for large-cap mature pharma manufacturers.</w:t>
            </w:r>
          </w:p>
        </w:tc>
      </w:tr>
      <w:tr>
        <w:tc>
          <w:tcPr>
            <w:tcW w:type="dxa" w:w="2880"/>
          </w:tcPr>
          <w:p>
            <w:r>
              <w:t>Operating Profit Margin (EBIT)</w:t>
            </w:r>
          </w:p>
        </w:tc>
        <w:tc>
          <w:tcPr>
            <w:tcW w:type="dxa" w:w="2880"/>
          </w:tcPr>
          <w:p>
            <w:r>
              <w:t>23.00%</w:t>
            </w:r>
          </w:p>
        </w:tc>
        <w:tc>
          <w:tcPr>
            <w:tcW w:type="dxa" w:w="2880"/>
          </w:tcPr>
          <w:p>
            <w:r>
              <w:t>Verified operating margin efficiency derived from historical financial statements.</w:t>
            </w:r>
          </w:p>
        </w:tc>
      </w:tr>
      <w:tr>
        <w:tc>
          <w:tcPr>
            <w:tcW w:type="dxa" w:w="2880"/>
          </w:tcPr>
          <w:p>
            <w:r>
              <w:t>Reinvestment Rate (CapEx + NWC)</w:t>
            </w:r>
          </w:p>
        </w:tc>
        <w:tc>
          <w:tcPr>
            <w:tcW w:type="dxa" w:w="2880"/>
          </w:tcPr>
          <w:p>
            <w:r>
              <w:t>30.00% of EBIT</w:t>
            </w:r>
          </w:p>
        </w:tc>
        <w:tc>
          <w:tcPr>
            <w:tcW w:type="dxa" w:w="2880"/>
          </w:tcPr>
          <w:p>
            <w:r>
              <w:t>Capital required to maintain physical plants and fund inventory/receivables.</w:t>
            </w:r>
          </w:p>
        </w:tc>
      </w:tr>
    </w:tbl>
    <w:p>
      <w:pPr>
        <w:pStyle w:val="Heading2"/>
      </w:pPr>
      <w:r>
        <w:t>2.3 Terminal Valuation Assumptions</w:t>
      </w:r>
    </w:p>
    <w:p>
      <w:r>
        <w:t>• Perpetual Gordon Growth Rate (g): 5.00% (Reflects long-term Indian nominal GDP growth ceiling).</w:t>
      </w:r>
    </w:p>
    <w:p>
      <w:r>
        <w:t>• Terminal Year Reinvestment: Assumed to normalize in perpetuity as reinvestment matches depreciation.</w:t>
      </w:r>
    </w:p>
    <w:p>
      <w:pPr>
        <w:pStyle w:val="Heading2"/>
      </w:pPr>
      <w:r>
        <w:t>2.4 Stochastic Monte Carlo Simulation Parameters</w:t>
      </w:r>
    </w:p>
    <w:p>
      <w:r>
        <w:t>• Simulation Iterations: 10,000 independent randomized trials.</w:t>
      </w:r>
    </w:p>
    <w:p>
      <w:r>
        <w:t>• Revenue Growth Distribution: Normal Distribution | Mean = 10.0% | Standard Deviation = 2.0%.</w:t>
      </w:r>
    </w:p>
    <w:p>
      <w:r>
        <w:t>• EBIT Margin Distribution: Normal Distribution | Mean = 23.0% | Standard Deviation = 1.5%.</w:t>
      </w:r>
    </w:p>
    <w:p>
      <w:r>
        <w:t>• Net Working Capital Drag Mechanics: Programmatically coupled to top-line revenue expansion to penalize artificial cash inflation.</w:t>
      </w:r>
    </w:p>
    <w:p>
      <w:r>
        <w:br w:type="page"/>
      </w:r>
    </w:p>
    <w:p>
      <w:pPr>
        <w:pStyle w:val="Heading1"/>
      </w:pPr>
      <w:r>
        <w:t>3. MONTE CARLO STOCHASTIC FINDINGS</w:t>
      </w:r>
    </w:p>
    <w:p>
      <w:r>
        <w:t>Stochastic stress testing confirms that even across 10,000 iterations simulating potential market upside and operating outperformance, Sun Pharma fails to reach current market trading levels:</w:t>
      </w:r>
    </w:p>
    <w:p>
      <w:r>
        <w:t>• 90th Percentile (Bull Case): ₹1,006.34 per share</w:t>
      </w:r>
    </w:p>
    <w:p>
      <w:r>
        <w:t>• 50th Percentile (Base Case): ₹887.87 per share</w:t>
      </w:r>
    </w:p>
    <w:p>
      <w:r>
        <w:t>• 10th Percentile (Bear Case): ₹780.22 per share</w:t>
      </w:r>
    </w:p>
    <w:p>
      <w:pPr>
        <w:pStyle w:val="Heading1"/>
      </w:pPr>
      <w:r>
        <w:t>4. REVERSE DCF: THE MARKET DELUSION</w:t>
      </w:r>
    </w:p>
    <w:p>
      <w:r>
        <w:t>To mathematically justify the current trading price of ₹1,868 under our verified WACC (11.45%) and margin framework (23%), Sun Pharma would have to achieve a Compound Annual Growth Rate (CAGR) of 37.3% every single year for the next 5 years.</w:t>
      </w:r>
    </w:p>
    <w:p>
      <w:r>
        <w:t>Because Sun Pharma is a ₹1.8+ Trillion market-cap incumbent whose historical organic growth ceiling averages ~10-12%, the market's implied expectation of 37.3% continuous growth is physically and structurally impossible to execute.</w:t>
      </w:r>
    </w:p>
    <w:p>
      <w:r>
        <w:t>______________________________________________________________________</w:t>
      </w:r>
    </w:p>
    <w:p>
      <w:pPr>
        <w:jc w:val="center"/>
      </w:pPr>
      <w:r>
        <w:t>CONFIDENTIAL - FOR INSTITUTIONAL DISTRIBUTION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