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PROJECT PROPOSAL · PREPR B2B INNOVATION CHALLENGE · RETAIL</w:t>
      </w:r>
    </w:p>
    <w:p>
      <w:pPr>
        <w:pStyle w:val="BodyText"/>
      </w:pPr>
      <w:r>
        <w:rPr>
          <w:bCs/>
          <w:b/>
        </w:rPr>
        <w:t xml:space="preserve">GROUNDWORK</w:t>
      </w:r>
    </w:p>
    <w:p>
      <w:pPr>
        <w:pStyle w:val="BodyText"/>
      </w:pPr>
      <w:r>
        <w:t xml:space="preserve">Toronto site selection, startup costing and financing navigation for independent business owners</w:t>
      </w:r>
    </w:p>
    <w:p>
      <w:pPr>
        <w:pStyle w:val="BodyText"/>
      </w:pPr>
      <w:r>
        <w:rPr>
          <w:iCs/>
          <w:i/>
        </w:rPr>
        <w:t xml:space="preserve">Know where to open. Know what it costs. Know how to pay for it.</w:t>
      </w:r>
    </w:p>
    <w:p>
      <w:pPr>
        <w:pStyle w:val="BodyText"/>
      </w:pPr>
      <w:r>
        <w:t xml:space="preserve">A web application that takes an owner from an idea to a lender-ready plan in one session. It scores every Toronto neighbourhood on demand versus competition for a chosen business type, builds an evidence-based startup cost budget for the site the owner picks, matches them to the government loans, guarantees and grants that could fund the opening, and assembles the result into a business plan document. It brings three kinds of institutional knowledge — location intelligence, cost benchmarking and financing navigation — to the operator opening a single location.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IN ONE PARAGRAPH</w:t>
            </w:r>
            <w:r>
              <w:t xml:space="preserve"> Three questions decide whether an independent business survives its first years. Where should I open? What will it cost me to open there? And how do I pay for it? A mature software category answers the first, for customers who own hundreds of locations. Almost nobody answers the second and third together, for anybody. Groundwork answers all three, for the person opening their first location, and hands them the document a lender will ask for.</w:t>
            </w:r>
          </w:p>
        </w:tc>
      </w:tr>
    </w:tbl>
    <w:p>
      <w:pPr>
        <w:pStyle w:val="BodyText"/>
      </w:pPr>
      <w:r>
        <w:rPr>
          <w:iCs/>
          <w:i/>
        </w:rPr>
        <w:t xml:space="preserve">Prepared September 2026. All figures verified against primary sources; see the companion Evidence and Source Verification memo.</w:t>
      </w:r>
    </w:p>
    <w:bookmarkStart w:id="20" w:name="executive-summary"/>
    <w:p>
      <w:pPr>
        <w:pStyle w:val="Heading1"/>
      </w:pPr>
      <w:r>
        <w:rPr>
          <w:bCs/>
          <w:b/>
        </w:rPr>
        <w:t xml:space="preserve">Executive summary</w:t>
      </w:r>
    </w:p>
    <w:p>
      <w:pPr>
        <w:pStyle w:val="FirstParagraph"/>
      </w:pPr>
      <w:r>
        <w:t xml:space="preserve">Choosing a location is the most expensive and least reversible decision an independent business makes, and it is routinely made on instinct. Financing that location is the second, and it is routinely made without knowing what is available. Both decisions depend on information that already exists in public datasets and government program documentation. Neither is packaged in a form a first-time owner can use.</w:t>
      </w:r>
    </w:p>
    <w:p>
      <w:pPr>
        <w:pStyle w:val="BodyText"/>
      </w:pPr>
      <w:r>
        <w:t xml:space="preserve">Groundwork answers three questions in one session. Where in Toronto is there demand for my kind of business that is not already served? What will it cost me to open there? And what money can I get to do it? The first is answered with a neighbourhood-level opportunity map built on Statistics Canada census geography. The second is answered with a structured cost model built from published benchmarks and the owner’s own inputs, stated in ranges rather than false precision. The third is answered with a rules-based eligibility engine over a curated database of federal, provincial and municipal financing programs.</w:t>
      </w:r>
    </w:p>
    <w:p>
      <w:pPr>
        <w:pStyle w:val="BodyText"/>
      </w:pPr>
      <w:r>
        <w:t xml:space="preserve">Those three answers are not three separate outputs. The owner creates a profile once — who they are, what they want to open, how much capital they have, what stage they are at — and that profile drives every stage. The map is filtered by their business type. The cost model is scaled to the site they choose and the format they described. The financing shortlist is evaluated against their age, status, business stage and the capital gap the cost model just calculated. The whole thing assembles into a business plan document they can take to a lender, an advisor or a landlord.</w:t>
      </w:r>
    </w:p>
    <w:p>
      <w:pPr>
        <w:pStyle w:val="BodyText"/>
      </w:pPr>
      <w:r>
        <w:t xml:space="preserve">The site selection half of this idea is contested territory. Esri, Environics Analytics, Sitewise, SiteZeus and Placer.ai all do demographic and competitive location analysis, several of them better than a one-week build could. Our competitor review found that Esri’s Business Analyst Advanced tier already ships Suitability Analysis for ranking sites and Void Analysis for detecting gaps in business coverage. Being simpler and cheaper than those products is a real advantage, but on its own it is one a well-resourced incumbent could erase with a stripped-down tier.</w:t>
      </w:r>
    </w:p>
    <w:p>
      <w:pPr>
        <w:pStyle w:val="BodyText"/>
      </w:pPr>
      <w:r>
        <w:t xml:space="preserve">The financing half is not contested. None of those platforms tells a Toronto baker whether they qualify for a Canada Small Business Financing Program loan, what the Starter Company Plus intake window is, or that Futurpreneur closes at age 40. Government program information exists, but it is scattered across three levels of government and dozens of pages. Statistics Canada’s 2023 financing survey found that only 7% of small and medium enterprises requested government financing at all, and that a lack of awareness of available sources was among the reasons businesses did not seek financing.</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CORE ARGUMENT</w:t>
            </w:r>
            <w:r>
              <w:t xml:space="preserve"> The defensible position is the join, not any one stage alone. A location score is a screening tool that many products offer. A cost estimate is something an accountant will build. A financing shortlist is buried in government portals. A location score, costed for that specific site, attached to a realistic funding path for that specific owner, assembled into the document a lender asks for — that is a decision aid nobody currently sells to independents at any price they would pay.</w:t>
            </w:r>
          </w:p>
        </w:tc>
      </w:tr>
    </w:tbl>
    <w:p>
      <w:pPr>
        <w:pStyle w:val="BodyText"/>
      </w:pPr>
      <w:r>
        <w:t xml:space="preserve">Commercially, Groundwork sells on two fronts. Owners buy a single-site plan or a short subscription at a price set against what a comparable advisory engagement costs, not against what enterprise location intelligence costs. Institutions that advise those owners — Business Improvement Areas, Small Business Enterprise Centres, credit unions, settlement agencies, brokerages — buy seats and territory licences. These organisations already run the conversation Groundwork supports; they currently run it with a whiteboard.</w:t>
      </w:r>
    </w:p>
    <w:bookmarkEnd w:id="20"/>
    <w:bookmarkStart w:id="21" w:name="challenge-statement"/>
    <w:p>
      <w:pPr>
        <w:pStyle w:val="Heading1"/>
      </w:pPr>
      <w:r>
        <w:rPr>
          <w:bCs/>
          <w:b/>
        </w:rPr>
        <w:t xml:space="preserve">1. Challenge statement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THE CHALLENGE</w:t>
            </w:r>
            <w:r>
              <w:t xml:space="preserve"> How might we give independent business owners the location intelligence and the financing knowledge that chains and franchises take for granted, so that opening a business is an evidence-based decision rather than a hopeful one?</w:t>
            </w:r>
          </w:p>
        </w:tc>
      </w:tr>
    </w:tbl>
    <w:p>
      <w:pPr>
        <w:pStyle w:val="BodyText"/>
      </w:pPr>
      <w:r>
        <w:t xml:space="preserve">The information required to open a business well is public. Census demographics are published free by Statistics Canada. Business locations are mapped in open data. Every government financing program publishes its eligibility rules. The problem is not that the data is missing. The problem is that using it requires a GIS licence, a research afternoon, or an advisor, and the people who most need it have none of the three.</w:t>
      </w:r>
    </w:p>
    <w:p>
      <w:pPr>
        <w:pStyle w:val="BodyText"/>
      </w:pPr>
      <w:r>
        <w:t xml:space="preserve">This produces a two-tier market. A national chain has a location strategy team and a commercial banking relationship. An independent operator has Google Maps and a family loan. Groundwork narrows that gap for the specific decisions where the gap costs the most.</w:t>
      </w:r>
    </w:p>
    <w:bookmarkEnd w:id="21"/>
    <w:bookmarkStart w:id="24" w:name="problem-statement"/>
    <w:p>
      <w:pPr>
        <w:pStyle w:val="Heading1"/>
      </w:pPr>
      <w:r>
        <w:rPr>
          <w:bCs/>
          <w:b/>
        </w:rPr>
        <w:t xml:space="preserve">2. Problem statement</w:t>
      </w:r>
    </w:p>
    <w:bookmarkStart w:id="22" w:name="Xf6d51367c8870a21d268baae50f18f324c33f90"/>
    <w:p>
      <w:pPr>
        <w:pStyle w:val="Heading2"/>
      </w:pPr>
      <w:r>
        <w:rPr>
          <w:bCs/>
          <w:b/>
        </w:rPr>
        <w:t xml:space="preserve">2.1 Problem one: the location is chosen without evidence</w:t>
      </w:r>
    </w:p>
    <w:p>
      <w:pPr>
        <w:pStyle w:val="FirstParagraph"/>
      </w:pPr>
      <w:r>
        <w:t xml:space="preserve">An independent operator opening a bakery, a barbershop or a dental practice typically selects a location because the rent looked reasonable, the street felt busy, or the space was near where they live. They sign a multi-year lease, then discover that the surrounding population does not match their customer, or that four competitors already trade within walking distance.</w:t>
      </w:r>
    </w:p>
    <w:p>
      <w:pPr>
        <w:pStyle w:val="BodyText"/>
      </w:pPr>
      <w:r>
        <w:t xml:space="preserve">The stakes are measurable.</w:t>
      </w:r>
    </w:p>
    <w:p>
      <w:pPr>
        <w:numPr>
          <w:ilvl w:val="0"/>
          <w:numId w:val="1001"/>
        </w:numPr>
      </w:pPr>
      <w:r>
        <w:rPr>
          <w:bCs/>
          <w:b/>
        </w:rPr>
        <w:t xml:space="preserve">Roughly a third of new Canadian businesses do not reach year five. </w:t>
      </w:r>
      <w:r>
        <w:t xml:space="preserve">Innovation, Science and Economic Development Canada reports that 68.0% of businesses with 1–99 employees survive five years, falling to 48.2% at ten years. For businesses that start with 1–4 employees — which is 91.2% of all new Canadian businesses — five-year survival is 63.0% and ten-year survival is 44.7%. Independent storefronts sit squarely in that lowest-survival band.</w:t>
      </w:r>
    </w:p>
    <w:p>
      <w:pPr>
        <w:numPr>
          <w:ilvl w:val="0"/>
          <w:numId w:val="1001"/>
        </w:numPr>
      </w:pPr>
      <w:r>
        <w:rPr>
          <w:bCs/>
          <w:b/>
        </w:rPr>
        <w:t xml:space="preserve">Retail space in Toronto is scarce and committed to for years. </w:t>
      </w:r>
      <w:r>
        <w:t xml:space="preserve">Lee &amp; Associates put GTA retail vacancy at 2.4% in Q1 2026, up 80 basis points year over year, with average net asking rent at $35.41 per square foot. Vacancy rose modestly again in Q2 2026 following large-format anchor closures. Space is opening up at the top end, but neighbourhood-scale storefronts remain tight, and a lease signed in this market is a multi-year commitment made under time pressure.</w:t>
      </w:r>
    </w:p>
    <w:p>
      <w:pPr>
        <w:numPr>
          <w:ilvl w:val="0"/>
          <w:numId w:val="1001"/>
        </w:numPr>
      </w:pPr>
      <w:r>
        <w:rPr>
          <w:bCs/>
          <w:b/>
        </w:rPr>
        <w:t xml:space="preserve">The pressure on independents is real, and it is uneven. </w:t>
      </w:r>
      <w:r>
        <w:t xml:space="preserve">The Dalhousie Agri-Food Analytics Lab forecast a net loss of roughly 4,000 Canadian restaurants in 2026. At mid-year the Lab revised its own view, saying the forecast was likely too pessimistic. What did hold: accommodation and food service insolvencies reached 360 in the first half of 2026, about 7.5% above the same period a year earlier, with second-quarter filings up almost 19%, and Restaurants Canada reports 41% of operators losing money or breaking even. The Lab is explicit that the strain is concentrated in high-rent markets including Toronto.</w:t>
      </w:r>
    </w:p>
    <w:p>
      <w:pPr>
        <w:pStyle w:val="FirstParagraph"/>
      </w:pPr>
      <w:r>
        <w:t xml:space="preserve">Note what this evidence does and does not say. It does not say most businesses fail, and it does not say a wave of closures is under way. It says that a large minority of new independents do not survive, that Toronto is one of the harder places to be one, and that the cost of a badly matched location is borne over years.</w:t>
      </w:r>
    </w:p>
    <w:bookmarkEnd w:id="22"/>
    <w:bookmarkStart w:id="23" w:name="Xf009b3326a0a25f9eca01bf6844e34a999ea3af"/>
    <w:p>
      <w:pPr>
        <w:pStyle w:val="Heading2"/>
      </w:pPr>
      <w:r>
        <w:rPr>
          <w:bCs/>
          <w:b/>
        </w:rPr>
        <w:t xml:space="preserve">2.2 Problem two: the money is left on the table</w:t>
      </w:r>
    </w:p>
    <w:p>
      <w:pPr>
        <w:pStyle w:val="FirstParagraph"/>
      </w:pPr>
      <w:r>
        <w:t xml:space="preserve">The second problem is quieter and, on the evidence, more tractable. Canadian small businesses that ask for credit generally get it. Statistics Canada and ISED data show a debt financing approval rate of 97% for small businesses in 2025. The difficulty is not rejection. It is that owners do not ask, and do not know what to ask for.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Finding</w:t>
            </w:r>
          </w:p>
        </w:tc>
        <w:tc>
          <w:tcPr/>
          <w:p>
            <w:pPr>
              <w:pStyle w:val="Compact"/>
              <w:jc w:val="left"/>
            </w:pPr>
            <w:r>
              <w:rPr>
                <w:bCs/>
                <w:b/>
              </w:rPr>
              <w:t xml:space="preserve">Figure</w:t>
            </w:r>
          </w:p>
        </w:tc>
        <w:tc>
          <w:tcPr/>
          <w:p>
            <w:pPr>
              <w:pStyle w:val="Compact"/>
              <w:jc w:val="left"/>
            </w:pPr>
            <w:r>
              <w:rPr>
                <w:bCs/>
                <w:b/>
              </w:rPr>
              <w:t xml:space="preserve">Source</w:t>
            </w:r>
          </w:p>
        </w:tc>
      </w:tr>
      <w:tr>
        <w:tc>
          <w:tcPr/>
          <w:p>
            <w:pPr>
              <w:pStyle w:val="Compact"/>
              <w:jc w:val="left"/>
            </w:pPr>
            <w:r>
              <w:rPr>
                <w:bCs/>
                <w:b/>
              </w:rPr>
              <w:t xml:space="preserve">SMEs requesting any external financing (2023)</w:t>
            </w:r>
          </w:p>
        </w:tc>
        <w:tc>
          <w:tcPr/>
          <w:p>
            <w:pPr>
              <w:pStyle w:val="Compact"/>
              <w:jc w:val="left"/>
            </w:pPr>
            <w:r>
              <w:t xml:space="preserve">49.3%</w:t>
            </w:r>
          </w:p>
        </w:tc>
        <w:tc>
          <w:tcPr/>
          <w:p>
            <w:pPr>
              <w:pStyle w:val="Compact"/>
              <w:jc w:val="left"/>
            </w:pPr>
            <w:r>
              <w:t xml:space="preserve">StatCan SFGSME 2023</w:t>
            </w:r>
          </w:p>
        </w:tc>
      </w:tr>
      <w:tr>
        <w:tc>
          <w:tcPr/>
          <w:p>
            <w:pPr>
              <w:pStyle w:val="Compact"/>
              <w:jc w:val="left"/>
            </w:pPr>
            <w:r>
              <w:rPr>
                <w:bCs/>
                <w:b/>
              </w:rPr>
              <w:t xml:space="preserve">SMEs requesting government financing specifically</w:t>
            </w:r>
          </w:p>
        </w:tc>
        <w:tc>
          <w:tcPr/>
          <w:p>
            <w:pPr>
              <w:pStyle w:val="Compact"/>
              <w:jc w:val="left"/>
            </w:pPr>
            <w:r>
              <w:t xml:space="preserve">7%</w:t>
            </w:r>
          </w:p>
        </w:tc>
        <w:tc>
          <w:tcPr/>
          <w:p>
            <w:pPr>
              <w:pStyle w:val="Compact"/>
              <w:jc w:val="left"/>
            </w:pPr>
            <w:r>
              <w:t xml:space="preserve">StatCan SFGSME 2023</w:t>
            </w:r>
          </w:p>
        </w:tc>
      </w:tr>
      <w:tr>
        <w:tc>
          <w:tcPr/>
          <w:p>
            <w:pPr>
              <w:pStyle w:val="Compact"/>
              <w:jc w:val="left"/>
            </w:pPr>
            <w:r>
              <w:rPr>
                <w:bCs/>
                <w:b/>
              </w:rPr>
              <w:t xml:space="preserve">Businesses with 1–4 employees requesting debt financing (2025)</w:t>
            </w:r>
          </w:p>
        </w:tc>
        <w:tc>
          <w:tcPr/>
          <w:p>
            <w:pPr>
              <w:pStyle w:val="Compact"/>
              <w:jc w:val="left"/>
            </w:pPr>
            <w:r>
              <w:t xml:space="preserve">18%</w:t>
            </w:r>
          </w:p>
        </w:tc>
        <w:tc>
          <w:tcPr/>
          <w:p>
            <w:pPr>
              <w:pStyle w:val="Compact"/>
              <w:jc w:val="left"/>
            </w:pPr>
            <w:r>
              <w:t xml:space="preserve">ISED Credit Conditions Survey</w:t>
            </w:r>
          </w:p>
        </w:tc>
      </w:tr>
      <w:tr>
        <w:tc>
          <w:tcPr/>
          <w:p>
            <w:pPr>
              <w:pStyle w:val="Compact"/>
              <w:jc w:val="left"/>
            </w:pPr>
            <w:r>
              <w:rPr>
                <w:bCs/>
                <w:b/>
              </w:rPr>
              <w:t xml:space="preserve">Debt financing approval rate, small business (2025)</w:t>
            </w:r>
          </w:p>
        </w:tc>
        <w:tc>
          <w:tcPr/>
          <w:p>
            <w:pPr>
              <w:pStyle w:val="Compact"/>
              <w:jc w:val="left"/>
            </w:pPr>
            <w:r>
              <w:t xml:space="preserve">97%</w:t>
            </w:r>
          </w:p>
        </w:tc>
        <w:tc>
          <w:tcPr/>
          <w:p>
            <w:pPr>
              <w:pStyle w:val="Compact"/>
              <w:jc w:val="left"/>
            </w:pPr>
            <w:r>
              <w:t xml:space="preserve">ISED Credit Conditions Survey</w:t>
            </w:r>
          </w:p>
        </w:tc>
      </w:tr>
      <w:tr>
        <w:tc>
          <w:tcPr/>
          <w:p>
            <w:pPr>
              <w:pStyle w:val="Compact"/>
              <w:jc w:val="left"/>
            </w:pPr>
            <w:r>
              <w:rPr>
                <w:bCs/>
                <w:b/>
              </w:rPr>
              <w:t xml:space="preserve">Non-requesters citing unawareness of available financing sources</w:t>
            </w:r>
          </w:p>
        </w:tc>
        <w:tc>
          <w:tcPr/>
          <w:p>
            <w:pPr>
              <w:pStyle w:val="Compact"/>
              <w:jc w:val="left"/>
            </w:pPr>
            <w:r>
              <w:t xml:space="preserve">6%</w:t>
            </w:r>
          </w:p>
        </w:tc>
        <w:tc>
          <w:tcPr/>
          <w:p>
            <w:pPr>
              <w:pStyle w:val="Compact"/>
              <w:jc w:val="left"/>
            </w:pPr>
            <w:r>
              <w:t xml:space="preserve">StatCan SFGSME 2023</w:t>
            </w:r>
          </w:p>
        </w:tc>
      </w:tr>
    </w:tbl>
    <w:p>
      <w:pPr>
        <w:pStyle w:val="BodyText"/>
      </w:pPr>
      <w:r>
        <w:t xml:space="preserve">Only 7% of SMEs approach government financing, against 26% for conventional debt. That gap is not explained by the programs being unattractive. The Canada Small Business Financing Program has the federal government absorbing 85% of a lender’s eligible loss, which is precisely the mechanism that makes a bank willing to lend to a first-time owner with no collateral. Most owners have never heard of it, or have heard of it and cannot tell whether leasehold improvements to a leased storefront qualify. They do.</w:t>
      </w:r>
    </w:p>
    <w:p>
      <w:pPr>
        <w:pStyle w:val="BodyText"/>
      </w:pPr>
      <w:r>
        <w:t xml:space="preserve">The Toronto owner opening a first location sits at the intersection of at least four distinct funding routes, each with its own rules, its own ceiling and its own front door.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Program</w:t>
            </w:r>
          </w:p>
        </w:tc>
        <w:tc>
          <w:tcPr/>
          <w:p>
            <w:pPr>
              <w:pStyle w:val="Compact"/>
              <w:jc w:val="left"/>
            </w:pPr>
            <w:r>
              <w:rPr>
                <w:bCs/>
                <w:b/>
              </w:rPr>
              <w:t xml:space="preserve">What it provides</w:t>
            </w:r>
          </w:p>
        </w:tc>
        <w:tc>
          <w:tcPr/>
          <w:p>
            <w:pPr>
              <w:pStyle w:val="Compact"/>
              <w:jc w:val="left"/>
            </w:pPr>
            <w:r>
              <w:rPr>
                <w:bCs/>
                <w:b/>
              </w:rPr>
              <w:t xml:space="preserve">The catch a first-timer misses</w:t>
            </w:r>
          </w:p>
        </w:tc>
      </w:tr>
      <w:tr>
        <w:tc>
          <w:tcPr/>
          <w:p>
            <w:pPr>
              <w:pStyle w:val="Compact"/>
              <w:jc w:val="left"/>
            </w:pPr>
            <w:r>
              <w:rPr>
                <w:bCs/>
                <w:b/>
              </w:rPr>
              <w:t xml:space="preserve">Canada Small Business Financing Program (federal, ISED)</w:t>
            </w:r>
          </w:p>
        </w:tc>
        <w:tc>
          <w:tcPr/>
          <w:p>
            <w:pPr>
              <w:pStyle w:val="Compact"/>
              <w:jc w:val="left"/>
            </w:pPr>
            <w:r>
              <w:t xml:space="preserve">Up to $1.15M total: $1M term loan plus $150K line of credit. Government covers 85% of a lender’s eligible loss. Revenue ceiling $10M.</w:t>
            </w:r>
          </w:p>
        </w:tc>
        <w:tc>
          <w:tcPr/>
          <w:p>
            <w:pPr>
              <w:pStyle w:val="Compact"/>
              <w:jc w:val="left"/>
            </w:pPr>
            <w:r>
              <w:t xml:space="preserve">ISED does not lend or decide. You apply at a bank or credit union and must ask for it by name. Of the $1M term portion, no more than $500K may go to leasehold improvements and equipment, and within that no more than $150K to intangibles and working capital. 2% registration fee and 1.25% annual administration fee. Farming excluded.</w:t>
            </w:r>
          </w:p>
        </w:tc>
      </w:tr>
      <w:tr>
        <w:tc>
          <w:tcPr/>
          <w:p>
            <w:pPr>
              <w:pStyle w:val="Compact"/>
              <w:jc w:val="left"/>
            </w:pPr>
            <w:r>
              <w:rPr>
                <w:bCs/>
                <w:b/>
              </w:rPr>
              <w:t xml:space="preserve">Futurpreneur core startup program (national non-profit, with BDC)</w:t>
            </w:r>
          </w:p>
        </w:tc>
        <w:tc>
          <w:tcPr/>
          <w:p>
            <w:pPr>
              <w:pStyle w:val="Compact"/>
              <w:jc w:val="left"/>
            </w:pPr>
            <w:r>
              <w:t xml:space="preserve">Up to $75,000 collateral-free: up to $25,000 from Futurpreneur plus up to $50,000 from BDC, with up to two years of matched mentorship.</w:t>
            </w:r>
          </w:p>
        </w:tc>
        <w:tc>
          <w:tcPr/>
          <w:p>
            <w:pPr>
              <w:pStyle w:val="Compact"/>
              <w:jc w:val="left"/>
            </w:pPr>
            <w:r>
              <w:t xml:space="preserve">Hard age ceiling of 39 at application. Requires demonstrated industry experience related to the business idea. Interest on the Futurpreneur portion is prime plus 3%.</w:t>
            </w:r>
          </w:p>
        </w:tc>
      </w:tr>
      <w:tr>
        <w:tc>
          <w:tcPr/>
          <w:p>
            <w:pPr>
              <w:pStyle w:val="Compact"/>
              <w:jc w:val="left"/>
            </w:pPr>
            <w:r>
              <w:rPr>
                <w:bCs/>
                <w:b/>
              </w:rPr>
              <w:t xml:space="preserve">Starter Company Plus (City of Toronto Small Business Enterprise Centre)</w:t>
            </w:r>
          </w:p>
        </w:tc>
        <w:tc>
          <w:tcPr/>
          <w:p>
            <w:pPr>
              <w:pStyle w:val="Compact"/>
              <w:jc w:val="left"/>
            </w:pPr>
            <w:r>
              <w:t xml:space="preserve">Non-repayable micro-grant of $5,000, roughly 15 hours of training and up to three months of advisory support.</w:t>
            </w:r>
          </w:p>
        </w:tc>
        <w:tc>
          <w:tcPr/>
          <w:p>
            <w:pPr>
              <w:pStyle w:val="Compact"/>
              <w:jc w:val="left"/>
            </w:pPr>
            <w:r>
              <w:t xml:space="preserve">Fixed intake windows, not open year-round. Requires a Toronto-registered business already trading between six months and five years, a commercial bank account, and proof that 25% of the grant value ($1,250) has already been invested.</w:t>
            </w:r>
          </w:p>
        </w:tc>
      </w:tr>
      <w:tr>
        <w:tc>
          <w:tcPr/>
          <w:p>
            <w:pPr>
              <w:pStyle w:val="Compact"/>
              <w:jc w:val="left"/>
            </w:pPr>
            <w:r>
              <w:rPr>
                <w:bCs/>
                <w:b/>
              </w:rPr>
              <w:t xml:space="preserve">BDC and credit union direct lending</w:t>
            </w:r>
          </w:p>
        </w:tc>
        <w:tc>
          <w:tcPr/>
          <w:p>
            <w:pPr>
              <w:pStyle w:val="Compact"/>
              <w:jc w:val="left"/>
            </w:pPr>
            <w:r>
              <w:t xml:space="preserve">Term and working-capital lending with startup-oriented structures, including reduced payments in year one.</w:t>
            </w:r>
          </w:p>
        </w:tc>
        <w:tc>
          <w:tcPr/>
          <w:p>
            <w:pPr>
              <w:pStyle w:val="Compact"/>
              <w:jc w:val="left"/>
            </w:pPr>
            <w:r>
              <w:t xml:space="preserve">Terms and appetite vary by institution and by sector; there is no single comparison point, so owners typically approach one lender and stop.</w:t>
            </w:r>
          </w:p>
        </w:tc>
      </w:tr>
    </w:tbl>
    <w:p>
      <w:pPr>
        <w:pStyle w:val="BodyText"/>
      </w:pPr>
      <w:r>
        <w:t xml:space="preserve">No product currently walks an owner through that grid. Government portals list programs but do not filter by the owner’s age, business age, location, sector and stage simultaneously. Grant-listing sites optimise for lead capture rather than accuracy. The result is a first-time owner who finances a $180,000 fit-out on a personal line of credit at consumer rates because nobody told them the alternative existed.</w:t>
      </w:r>
    </w:p>
    <w:bookmarkEnd w:id="23"/>
    <w:bookmarkEnd w:id="24"/>
    <w:bookmarkStart w:id="31" w:name="proposed-solution"/>
    <w:p>
      <w:pPr>
        <w:pStyle w:val="Heading1"/>
      </w:pPr>
      <w:r>
        <w:rPr>
          <w:bCs/>
          <w:b/>
        </w:rPr>
        <w:t xml:space="preserve">3. Proposed solution</w:t>
      </w:r>
    </w:p>
    <w:p>
      <w:pPr>
        <w:pStyle w:val="FirstParagraph"/>
      </w:pPr>
      <w:r>
        <w:t xml:space="preserve">Groundwork is a web application organised as a single sequence. The owner builds a profile once, and every stage after that is filtered, scaled and evaluated against it. Each stage produces something usable on its own; completing all of them produces a business plan.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THE SEQUENCE</w:t>
            </w:r>
            <w:r>
              <w:t xml:space="preserve"> Profile → where to open → what it costs → how to pay for it → the plan. Five stages, one session, one price.</w:t>
            </w:r>
          </w:p>
        </w:tc>
      </w:tr>
    </w:tbl>
    <w:bookmarkStart w:id="25" w:name="the-profile"/>
    <w:p>
      <w:pPr>
        <w:pStyle w:val="Heading2"/>
      </w:pPr>
      <w:r>
        <w:rPr>
          <w:bCs/>
          <w:b/>
        </w:rPr>
        <w:t xml:space="preserve">3.1 The profile</w:t>
      </w:r>
    </w:p>
    <w:p>
      <w:pPr>
        <w:numPr>
          <w:ilvl w:val="0"/>
          <w:numId w:val="1002"/>
        </w:numPr>
      </w:pPr>
      <w:r>
        <w:t xml:space="preserve">The owner answers a short structured intake: what they want to open and in what format, their own age band and residency status, whether the business is registered and for how long, how much capital they have available, whether they have relevant industry experience, and their intended floor area in square feet.</w:t>
      </w:r>
    </w:p>
    <w:p>
      <w:pPr>
        <w:numPr>
          <w:ilvl w:val="0"/>
          <w:numId w:val="1002"/>
        </w:numPr>
      </w:pPr>
      <w:r>
        <w:t xml:space="preserve">Nothing here is optional decoration. Every field is consumed by a later stage. Age band and residency determine Futurpreneur and newcomer program eligibility. Business registration status and trading history determine Starter Company Plus eligibility. Format and square footage drive the cost model. Business type drives the map.</w:t>
      </w:r>
    </w:p>
    <w:p>
      <w:pPr>
        <w:numPr>
          <w:ilvl w:val="0"/>
          <w:numId w:val="1002"/>
        </w:numPr>
      </w:pPr>
      <w:r>
        <w:t xml:space="preserve">The profile is saved to an account, which means the owner can leave and come back, revise an assumption and see what it changes, and compare two sites without re-entering everything. Accounts are therefore a week-one requirement rather than the week-two convenience they were treated as previously.</w:t>
      </w:r>
    </w:p>
    <w:p>
      <w:pPr>
        <w:numPr>
          <w:ilvl w:val="0"/>
          <w:numId w:val="1002"/>
        </w:numPr>
      </w:pPr>
      <w:r>
        <w:t xml:space="preserve">Building the profile costs nothing. It sits in front of the paywall, as do the first three scored areas; section 5.1 sets out where the boundary falls and why.</w:t>
      </w:r>
    </w:p>
    <w:p>
      <w:pPr>
        <w:numPr>
          <w:ilvl w:val="0"/>
          <w:numId w:val="1002"/>
        </w:numPr>
      </w:pPr>
      <w:r>
        <w:t xml:space="preserve">The intake states plainly which programs each answer affects, so the owner understands why they are being asked rather than filling in a form on faith.</w:t>
      </w:r>
    </w:p>
    <w:bookmarkEnd w:id="25"/>
    <w:bookmarkStart w:id="26" w:name="the-opportunity-map"/>
    <w:p>
      <w:pPr>
        <w:pStyle w:val="Heading2"/>
      </w:pPr>
      <w:r>
        <w:rPr>
          <w:bCs/>
          <w:b/>
        </w:rPr>
        <w:t xml:space="preserve">3.2 The opportunity map</w:t>
      </w:r>
    </w:p>
    <w:p>
      <w:pPr>
        <w:numPr>
          <w:ilvl w:val="0"/>
          <w:numId w:val="1003"/>
        </w:numPr>
      </w:pPr>
      <w:r>
        <w:t xml:space="preserve">The user selects a business category and, optionally, a target customer profile.</w:t>
      </w:r>
    </w:p>
    <w:p>
      <w:pPr>
        <w:numPr>
          <w:ilvl w:val="0"/>
          <w:numId w:val="1003"/>
        </w:numPr>
      </w:pPr>
      <w:r>
        <w:t xml:space="preserve">Demand signals are scored for every Toronto dissemination area from 2021 Census attributes: population density, household income, age profile and daytime population, the last derived from journey-to-work attributes. A dissemination area is the smallest standard geography for which all census data is disseminated, averaging 400 to 700 people, which is roughly a few city blocks.</w:t>
      </w:r>
    </w:p>
    <w:p>
      <w:pPr>
        <w:numPr>
          <w:ilvl w:val="0"/>
          <w:numId w:val="1003"/>
        </w:numPr>
      </w:pPr>
      <w:r>
        <w:t xml:space="preserve">Existing businesses in that category are counted from open mapping data to give a saturation measure.</w:t>
      </w:r>
    </w:p>
    <w:p>
      <w:pPr>
        <w:numPr>
          <w:ilvl w:val="0"/>
          <w:numId w:val="1003"/>
        </w:numPr>
      </w:pPr>
      <w:r>
        <w:t xml:space="preserve">The gap between demand and saturation is rendered as a colour-coded map on the diverging colourblind-safe ramp set out in section 10. Teal means demand that is not currently served; brown means a market that is already full. It is deliberately not a red-to-green ramp, for the reasons given there.</w:t>
      </w:r>
    </w:p>
    <w:p>
      <w:pPr>
        <w:numPr>
          <w:ilvl w:val="0"/>
          <w:numId w:val="1003"/>
        </w:numPr>
      </w:pPr>
      <w:r>
        <w:t xml:space="preserve">Selecting any area opens a panel showing the component signals, the competitor count, and a plain-language explanation of why it scored as it did.</w:t>
      </w:r>
    </w:p>
    <w:p>
      <w:pPr>
        <w:numPr>
          <w:ilvl w:val="0"/>
          <w:numId w:val="1003"/>
        </w:numPr>
      </w:pPr>
      <w:r>
        <w:t xml:space="preserve">The owner shortlists areas and carries them forward. The single-site plan opens one slot; the subscription opens four, which is where side-by-side comparison lives. The stages that follow are scoped to those choices.</w:t>
      </w:r>
    </w:p>
    <w:bookmarkEnd w:id="26"/>
    <w:bookmarkStart w:id="27" w:name="the-startup-cost-estimator"/>
    <w:p>
      <w:pPr>
        <w:pStyle w:val="Heading2"/>
      </w:pPr>
      <w:r>
        <w:rPr>
          <w:bCs/>
          <w:b/>
        </w:rPr>
        <w:t xml:space="preserve">3.3 The startup cost estimator</w:t>
      </w:r>
    </w:p>
    <w:p>
      <w:pPr>
        <w:pStyle w:val="FirstParagraph"/>
      </w:pPr>
      <w:r>
        <w:t xml:space="preserve">The cost side is where a tool like this can do the most damage if it is built carelessly, so the method matters more than the feature.</w:t>
      </w:r>
    </w:p>
    <w:p>
      <w:pPr>
        <w:numPr>
          <w:ilvl w:val="0"/>
          <w:numId w:val="1004"/>
        </w:numPr>
      </w:pPr>
      <w:r>
        <w:t xml:space="preserve">The estimator builds a line-item startup budget across the categories that actually appear in a first fit-out: leasehold improvements, equipment, initial inventory, deposits and prepaid rent, licensing and permits, professional fees, insurance, initial marketing, and a working capital reserve covering the pre-breakeven months.</w:t>
      </w:r>
    </w:p>
    <w:p>
      <w:pPr>
        <w:numPr>
          <w:ilvl w:val="0"/>
          <w:numId w:val="1004"/>
        </w:numPr>
      </w:pPr>
      <w:r>
        <w:t xml:space="preserve">Each line is derived from three inputs: a published benchmark where one exists, the owner’s own square footage and format from the profile, and the neighbourhood the owner selected. Rent-driven lines scale to the area; equipment lines scale to format and capacity.</w:t>
      </w:r>
    </w:p>
    <w:p>
      <w:pPr>
        <w:numPr>
          <w:ilvl w:val="0"/>
          <w:numId w:val="1004"/>
        </w:numPr>
      </w:pPr>
      <w:r>
        <w:rPr>
          <w:bCs/>
          <w:b/>
        </w:rPr>
        <w:t xml:space="preserve">Every figure is a range, not a point.</w:t>
      </w:r>
      <w:r>
        <w:t xml:space="preserve"> A single number implies a precision the underlying data does not support and invites the owner to treat an estimate as a quote. Ranges are shown with their basis, and the owner can override any line with a real quote they have obtained, at which point the override is marked as theirs rather than ours.</w:t>
      </w:r>
    </w:p>
    <w:p>
      <w:pPr>
        <w:numPr>
          <w:ilvl w:val="0"/>
          <w:numId w:val="1004"/>
        </w:numPr>
      </w:pPr>
      <w:r>
        <w:t xml:space="preserve">Lines with no defensible published source are shown as owner-input fields with guidance on how to obtain a quote, rather than being filled with a plausible-looking invented figure. An empty field the owner must fill is more honest than a number we cannot defend, and it is the direct application of the evidence standard the rest of this project is held to. Every line also carries its basis in the interface: sourced, scaled from a benchmarked format, or awaiting curation. Today only the rent line is sourced, and the prototype says so on each of the others rather than letting a placeholder pass as a benchmark.</w:t>
      </w:r>
    </w:p>
    <w:p>
      <w:pPr>
        <w:numPr>
          <w:ilvl w:val="0"/>
          <w:numId w:val="1004"/>
        </w:numPr>
      </w:pPr>
      <w:r>
        <w:t xml:space="preserve">The output is a total capital requirement with a stated confidence band, which becomes the input to the financing stage: the capital gap is the difference between that requirement and the capital the owner declared in their profile.</w:t>
      </w:r>
    </w:p>
    <w:bookmarkEnd w:id="27"/>
    <w:bookmarkStart w:id="28" w:name="the-financing-navigator"/>
    <w:p>
      <w:pPr>
        <w:pStyle w:val="Heading2"/>
      </w:pPr>
      <w:r>
        <w:rPr>
          <w:bCs/>
          <w:b/>
        </w:rPr>
        <w:t xml:space="preserve">3.4 The financing navigator</w:t>
      </w:r>
    </w:p>
    <w:p>
      <w:pPr>
        <w:numPr>
          <w:ilvl w:val="0"/>
          <w:numId w:val="1005"/>
        </w:numPr>
      </w:pPr>
      <w:r>
        <w:t xml:space="preserve">The profile from stage one already contains everything the eligibility rules need — age band, residency status, business stage and age, sector, registration status — and the cost model has just calculated what the money is for and how much of it is required. The owner does not re-enter any of it.</w:t>
      </w:r>
    </w:p>
    <w:p>
      <w:pPr>
        <w:numPr>
          <w:ilvl w:val="0"/>
          <w:numId w:val="1005"/>
        </w:numPr>
      </w:pPr>
      <w:r>
        <w:t xml:space="preserve">A deterministic rules engine evaluates that profile against a curated database of federal, Ontario and City of Toronto programs, each encoded with its eligibility criteria, ceiling, cost, intake dates and application route.</w:t>
      </w:r>
    </w:p>
    <w:p>
      <w:pPr>
        <w:numPr>
          <w:ilvl w:val="0"/>
          <w:numId w:val="1005"/>
        </w:numPr>
      </w:pPr>
      <w:r>
        <w:t xml:space="preserve">The output is a ranked, honest shortlist: what the owner is eligible for now, what they would become eligible for and when, and what they are permanently ineligible for and why.</w:t>
      </w:r>
    </w:p>
    <w:p>
      <w:pPr>
        <w:numPr>
          <w:ilvl w:val="0"/>
          <w:numId w:val="1005"/>
        </w:numPr>
      </w:pPr>
      <w:r>
        <w:t xml:space="preserve">Each match includes the realistic sequence — for example, that Starter Company Plus requires six months of trading history, so it is a month-eight action, not a month-one action — and a direct link to the official application page.</w:t>
      </w:r>
    </w:p>
    <w:p>
      <w:pPr>
        <w:numPr>
          <w:ilvl w:val="0"/>
          <w:numId w:val="1005"/>
        </w:numPr>
      </w:pPr>
      <w:r>
        <w:t xml:space="preserve">A capital stack view assembles the eligible programs into a plausible funding structure against the capital gap the cost model calculated, with any residual stated plainly rather than hidden.</w:t>
      </w:r>
    </w:p>
    <w:bookmarkEnd w:id="28"/>
    <w:bookmarkStart w:id="29" w:name="the-business-plan"/>
    <w:p>
      <w:pPr>
        <w:pStyle w:val="Heading2"/>
      </w:pPr>
      <w:r>
        <w:rPr>
          <w:bCs/>
          <w:b/>
        </w:rPr>
        <w:t xml:space="preserve">3.5 The business plan</w:t>
      </w:r>
    </w:p>
    <w:p>
      <w:pPr>
        <w:pStyle w:val="FirstParagraph"/>
      </w:pPr>
      <w:r>
        <w:t xml:space="preserve">The final stage assembles everything the owner has produced into a single document. This is the artefact the paid tier delivers and the thing most likely to be passed on to someone else, so it is built to be read by a lender rather than by 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Section</w:t>
            </w:r>
          </w:p>
        </w:tc>
        <w:tc>
          <w:tcPr/>
          <w:p>
            <w:pPr>
              <w:pStyle w:val="Compact"/>
              <w:jc w:val="left"/>
            </w:pPr>
            <w:r>
              <w:rPr>
                <w:bCs/>
                <w:b/>
              </w:rPr>
              <w:t xml:space="preserve">Where it comes from</w:t>
            </w:r>
          </w:p>
        </w:tc>
      </w:tr>
      <w:tr>
        <w:tc>
          <w:tcPr/>
          <w:p>
            <w:pPr>
              <w:pStyle w:val="Compact"/>
              <w:jc w:val="left"/>
            </w:pPr>
            <w:r>
              <w:rPr>
                <w:bCs/>
                <w:b/>
              </w:rPr>
              <w:t xml:space="preserve">Business concept and format</w:t>
            </w:r>
          </w:p>
        </w:tc>
        <w:tc>
          <w:tcPr/>
          <w:p>
            <w:pPr>
              <w:pStyle w:val="Compact"/>
              <w:jc w:val="left"/>
            </w:pPr>
            <w:r>
              <w:t xml:space="preserve">Profile, stated back in prose</w:t>
            </w:r>
          </w:p>
        </w:tc>
      </w:tr>
      <w:tr>
        <w:tc>
          <w:tcPr/>
          <w:p>
            <w:pPr>
              <w:pStyle w:val="Compact"/>
              <w:jc w:val="left"/>
            </w:pPr>
            <w:r>
              <w:rPr>
                <w:bCs/>
                <w:b/>
              </w:rPr>
              <w:t xml:space="preserve">Location and rationale</w:t>
            </w:r>
          </w:p>
        </w:tc>
        <w:tc>
          <w:tcPr/>
          <w:p>
            <w:pPr>
              <w:pStyle w:val="Compact"/>
              <w:jc w:val="left"/>
            </w:pPr>
            <w:r>
              <w:t xml:space="preserve">Chosen area, its score decomposition, the demand signals and competitor counts behind it</w:t>
            </w:r>
          </w:p>
        </w:tc>
      </w:tr>
      <w:tr>
        <w:tc>
          <w:tcPr/>
          <w:p>
            <w:pPr>
              <w:pStyle w:val="Compact"/>
              <w:jc w:val="left"/>
            </w:pPr>
            <w:r>
              <w:rPr>
                <w:bCs/>
                <w:b/>
              </w:rPr>
              <w:t xml:space="preserve">Market evidence</w:t>
            </w:r>
          </w:p>
        </w:tc>
        <w:tc>
          <w:tcPr/>
          <w:p>
            <w:pPr>
              <w:pStyle w:val="Compact"/>
              <w:jc w:val="left"/>
            </w:pPr>
            <w:r>
              <w:t xml:space="preserve">Census attributes for the catchment, saturation analysis, data vintage and coverage caveats</w:t>
            </w:r>
          </w:p>
        </w:tc>
      </w:tr>
      <w:tr>
        <w:tc>
          <w:tcPr/>
          <w:p>
            <w:pPr>
              <w:pStyle w:val="Compact"/>
              <w:jc w:val="left"/>
            </w:pPr>
            <w:r>
              <w:rPr>
                <w:bCs/>
                <w:b/>
              </w:rPr>
              <w:t xml:space="preserve">Startup cost budget</w:t>
            </w:r>
          </w:p>
        </w:tc>
        <w:tc>
          <w:tcPr/>
          <w:p>
            <w:pPr>
              <w:pStyle w:val="Compact"/>
              <w:jc w:val="left"/>
            </w:pPr>
            <w:r>
              <w:t xml:space="preserve">The line-item cost model, with ranges, sources and owner overrides distinguished</w:t>
            </w:r>
          </w:p>
        </w:tc>
      </w:tr>
      <w:tr>
        <w:tc>
          <w:tcPr/>
          <w:p>
            <w:pPr>
              <w:pStyle w:val="Compact"/>
              <w:jc w:val="left"/>
            </w:pPr>
            <w:r>
              <w:rPr>
                <w:bCs/>
                <w:b/>
              </w:rPr>
              <w:t xml:space="preserve">Funding request and capital stack</w:t>
            </w:r>
          </w:p>
        </w:tc>
        <w:tc>
          <w:tcPr/>
          <w:p>
            <w:pPr>
              <w:pStyle w:val="Compact"/>
              <w:jc w:val="left"/>
            </w:pPr>
            <w:r>
              <w:t xml:space="preserve">Eligible programs assembled against the capital gap, with the residual stated plainly</w:t>
            </w:r>
          </w:p>
        </w:tc>
      </w:tr>
      <w:tr>
        <w:tc>
          <w:tcPr/>
          <w:p>
            <w:pPr>
              <w:pStyle w:val="Compact"/>
              <w:jc w:val="left"/>
            </w:pPr>
            <w:r>
              <w:rPr>
                <w:bCs/>
                <w:b/>
              </w:rPr>
              <w:t xml:space="preserve">Action sequence</w:t>
            </w:r>
          </w:p>
        </w:tc>
        <w:tc>
          <w:tcPr/>
          <w:p>
            <w:pPr>
              <w:pStyle w:val="Compact"/>
              <w:jc w:val="left"/>
            </w:pPr>
            <w:r>
              <w:t xml:space="preserve">Ordered by what each program actually requires and when its intake opens</w:t>
            </w:r>
          </w:p>
        </w:tc>
      </w:tr>
      <w:tr>
        <w:tc>
          <w:tcPr/>
          <w:p>
            <w:pPr>
              <w:pStyle w:val="Compact"/>
              <w:jc w:val="left"/>
            </w:pPr>
            <w:r>
              <w:rPr>
                <w:bCs/>
                <w:b/>
              </w:rPr>
              <w:t xml:space="preserve">Assumptions, sources and vintages</w:t>
            </w:r>
          </w:p>
        </w:tc>
        <w:tc>
          <w:tcPr/>
          <w:p>
            <w:pPr>
              <w:pStyle w:val="Compact"/>
              <w:jc w:val="left"/>
            </w:pPr>
            <w:r>
              <w:t xml:space="preserve">Every figure traced to where it came from and when it was last verified</w:t>
            </w:r>
          </w:p>
        </w:tc>
      </w:tr>
      <w:tr>
        <w:tc>
          <w:tcPr/>
          <w:p>
            <w:pPr>
              <w:pStyle w:val="Compact"/>
              <w:jc w:val="left"/>
            </w:pPr>
            <w:r>
              <w:rPr>
                <w:bCs/>
                <w:b/>
              </w:rPr>
              <w:t xml:space="preserve">Revenue assumptions worksheet</w:t>
            </w:r>
          </w:p>
        </w:tc>
        <w:tc>
          <w:tcPr/>
          <w:p>
            <w:pPr>
              <w:pStyle w:val="Compact"/>
              <w:jc w:val="left"/>
            </w:pPr>
            <w:r>
              <w:t xml:space="preserve">Structured prompts the owner completes themselves; Groundwork does the arithmetic, the owner owns the assumptions</w:t>
            </w:r>
          </w:p>
        </w:tc>
      </w:tr>
    </w:tbl>
    <w:p>
      <w:pPr>
        <w:pStyle w:val="BodyText"/>
      </w:pPr>
      <w:r>
        <w:t xml:space="preserve">That last row is the important one. Groundwork does not forecast revenue, and section 7 keeps revenue forecasting explicitly out of scope. What it does is give the owner the structure a lender expects, do the arithmetic once they supply their own assumptions, and mark those figures clearly as owner-supplied throughout the document. A plan that invented a sales forecast would be more impressive and considerably less defensible.</w:t>
      </w:r>
    </w:p>
    <w:p>
      <w:pPr>
        <w:pStyle w:val="BodyText"/>
      </w:pPr>
      <w:r>
        <w:t xml:space="preserve">The document exports as a PDF and as a one-page summary for owners who want the short version.</w:t>
      </w:r>
    </w:p>
    <w:bookmarkEnd w:id="29"/>
    <w:bookmarkStart w:id="30" w:name="design-principles"/>
    <w:p>
      <w:pPr>
        <w:pStyle w:val="Heading2"/>
      </w:pPr>
      <w:r>
        <w:rPr>
          <w:bCs/>
          <w:b/>
        </w:rPr>
        <w:t xml:space="preserve">3.6 Design principles</w:t>
      </w:r>
    </w:p>
    <w:p>
      <w:pPr>
        <w:numPr>
          <w:ilvl w:val="0"/>
          <w:numId w:val="1006"/>
        </w:numPr>
      </w:pPr>
      <w:r>
        <w:rPr>
          <w:bCs/>
          <w:b/>
        </w:rPr>
        <w:t xml:space="preserve">Transparent scoring. </w:t>
      </w:r>
      <w:r>
        <w:t xml:space="preserve">Every score decomposes into its component signals. Nothing is a black box, and the weights are visible and adjustable.</w:t>
      </w:r>
    </w:p>
    <w:p>
      <w:pPr>
        <w:numPr>
          <w:ilvl w:val="0"/>
          <w:numId w:val="1006"/>
        </w:numPr>
      </w:pPr>
      <w:r>
        <w:rPr>
          <w:bCs/>
          <w:b/>
        </w:rPr>
        <w:t xml:space="preserve">A screening tool, not a verdict. </w:t>
      </w:r>
      <w:r>
        <w:t xml:space="preserve">The location output is a shortlist to visit. The financing output is a conversation to have with a lender, not a pre-approval.</w:t>
      </w:r>
    </w:p>
    <w:p>
      <w:pPr>
        <w:numPr>
          <w:ilvl w:val="0"/>
          <w:numId w:val="1006"/>
        </w:numPr>
      </w:pPr>
      <w:r>
        <w:rPr>
          <w:bCs/>
          <w:b/>
        </w:rPr>
        <w:t xml:space="preserve">Deterministic where it matters. </w:t>
      </w:r>
      <w:r>
        <w:t xml:space="preserve">Eligibility logic and scoring are rule-based and reproducible. A language model renders results into readable prose; it never determines eligibility or generates a figure.</w:t>
      </w:r>
    </w:p>
    <w:p>
      <w:pPr>
        <w:numPr>
          <w:ilvl w:val="0"/>
          <w:numId w:val="1006"/>
        </w:numPr>
      </w:pPr>
      <w:r>
        <w:rPr>
          <w:bCs/>
          <w:b/>
        </w:rPr>
        <w:t xml:space="preserve">Honest about ineligibility. </w:t>
      </w:r>
      <w:r>
        <w:t xml:space="preserve">Telling a 41-year-old that Futurpreneur is closed to them saves more time than listing it hopefully. Negative results are surfaced, not suppressed.</w:t>
      </w:r>
    </w:p>
    <w:p>
      <w:pPr>
        <w:numPr>
          <w:ilvl w:val="0"/>
          <w:numId w:val="1006"/>
        </w:numPr>
      </w:pPr>
      <w:r>
        <w:rPr>
          <w:bCs/>
          <w:b/>
        </w:rPr>
        <w:t xml:space="preserve">Open data only. </w:t>
      </w:r>
      <w:r>
        <w:t xml:space="preserve">Every input is a public dataset the user could go and check themselves. We charge for the work of joining and maintaining them, not for access to the data.</w:t>
      </w:r>
    </w:p>
    <w:p>
      <w:pPr>
        <w:numPr>
          <w:ilvl w:val="0"/>
          <w:numId w:val="1006"/>
        </w:numPr>
      </w:pPr>
      <w:r>
        <w:rPr>
          <w:bCs/>
          <w:b/>
        </w:rPr>
        <w:t xml:space="preserve">Ranges over point estimates. </w:t>
      </w:r>
      <w:r>
        <w:t xml:space="preserve">Anywhere the underlying evidence supports a range, a range is what is shown. False precision in a cost estimate is the fastest way for this product to mislead someone expensively.</w:t>
      </w:r>
    </w:p>
    <w:p>
      <w:pPr>
        <w:numPr>
          <w:ilvl w:val="0"/>
          <w:numId w:val="1006"/>
        </w:numPr>
      </w:pPr>
      <w:r>
        <w:rPr>
          <w:bCs/>
          <w:b/>
        </w:rPr>
        <w:t xml:space="preserve">Owner-supplied figures stay labelled. </w:t>
      </w:r>
      <w:r>
        <w:t xml:space="preserve">Anything the owner entered themselves is marked as theirs everywhere it appears, including in the exported plan. A lender reading the document can tell immediately which numbers Groundwork stands behind and which ones the applicant does.</w:t>
      </w:r>
    </w:p>
    <w:p>
      <w:pPr>
        <w:numPr>
          <w:ilvl w:val="0"/>
          <w:numId w:val="1006"/>
        </w:numPr>
      </w:pPr>
      <w:r>
        <w:rPr>
          <w:bCs/>
          <w:b/>
        </w:rPr>
        <w:t xml:space="preserve">Published price, no sales process. </w:t>
      </w:r>
      <w:r>
        <w:t xml:space="preserve">An owner can see the price, pay it, and get an answer the same evening. No demo call, no quote, no annual contract. Pricing is described in section 5.</w:t>
      </w:r>
    </w:p>
    <w:bookmarkEnd w:id="30"/>
    <w:bookmarkEnd w:id="31"/>
    <w:bookmarkStart w:id="38" w:name="market-and-competitor-analysis"/>
    <w:p>
      <w:pPr>
        <w:pStyle w:val="Heading1"/>
      </w:pPr>
      <w:r>
        <w:rPr>
          <w:bCs/>
          <w:b/>
        </w:rPr>
        <w:t xml:space="preserve">4. Market and competitor analysis</w:t>
      </w:r>
    </w:p>
    <w:bookmarkStart w:id="32" w:name="market-context"/>
    <w:p>
      <w:pPr>
        <w:pStyle w:val="Heading2"/>
      </w:pPr>
      <w:r>
        <w:rPr>
          <w:bCs/>
          <w:b/>
        </w:rPr>
        <w:t xml:space="preserve">4.1 Market context</w:t>
      </w:r>
    </w:p>
    <w:p>
      <w:pPr>
        <w:pStyle w:val="FirstParagraph"/>
      </w:pPr>
      <w:r>
        <w:t xml:space="preserve">Location intelligence is a mature, well-capitalised category. Enterprise platforms combine foot-traffic data, demographic modelling and predictive analytics, and they are sold almost exclusively to organisations operating many locations. Most vendors do not publish pricing, routing prospective buyers through a demo and a sales conversation. Esri publishes a detailed feature matrix for ArcGIS Business Analyst but not per-tier list prices on that page. Environics Analytics publishes SPOTLIGHT pricing in Canadian dollars and applied a price increase to transactional reports effective 25 March 2026. Sitewise does not post core platform pricing.</w:t>
      </w:r>
    </w:p>
    <w:p>
      <w:pPr>
        <w:pStyle w:val="BodyText"/>
      </w:pPr>
      <w:r>
        <w:t xml:space="preserve">The addressable population is large. As of December 2024 Canada had 1.10 million employer businesses, of which 98.2% were small. Micro-enterprises with one to four employees make up 59.1% of all Canadian businesses. Ontario alone has 410,154 small employer businesses. Retail trade accounts for 98,812 and accommodation and food services for 77,170. These are the categories where a physical location determines the outcome.</w:t>
      </w:r>
    </w:p>
    <w:bookmarkEnd w:id="32"/>
    <w:bookmarkStart w:id="33" w:name="X7399a472f2555836235827851a9fef514232052"/>
    <w:p>
      <w:pPr>
        <w:pStyle w:val="Heading2"/>
      </w:pPr>
      <w:r>
        <w:rPr>
          <w:bCs/>
          <w:b/>
        </w:rPr>
        <w:t xml:space="preserve">4.2 Competitive landscape: location intelligence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Player</w:t>
            </w:r>
          </w:p>
        </w:tc>
        <w:tc>
          <w:tcPr/>
          <w:p>
            <w:pPr>
              <w:pStyle w:val="Compact"/>
              <w:jc w:val="left"/>
            </w:pPr>
            <w:r>
              <w:rPr>
                <w:bCs/>
                <w:b/>
              </w:rPr>
              <w:t xml:space="preserve">What it offers</w:t>
            </w:r>
          </w:p>
        </w:tc>
        <w:tc>
          <w:tcPr/>
          <w:p>
            <w:pPr>
              <w:pStyle w:val="Compact"/>
              <w:jc w:val="left"/>
            </w:pPr>
            <w:r>
              <w:rPr>
                <w:bCs/>
                <w:b/>
              </w:rPr>
              <w:t xml:space="preserve">Who it serves</w:t>
            </w:r>
          </w:p>
        </w:tc>
        <w:tc>
          <w:tcPr/>
          <w:p>
            <w:pPr>
              <w:pStyle w:val="Compact"/>
              <w:jc w:val="left"/>
            </w:pPr>
            <w:r>
              <w:rPr>
                <w:bCs/>
                <w:b/>
              </w:rPr>
              <w:t xml:space="preserve">What it leaves open</w:t>
            </w:r>
          </w:p>
        </w:tc>
      </w:tr>
      <w:tr>
        <w:tc>
          <w:tcPr/>
          <w:p>
            <w:pPr>
              <w:pStyle w:val="Compact"/>
              <w:jc w:val="left"/>
            </w:pPr>
            <w:r>
              <w:rPr>
                <w:bCs/>
                <w:b/>
              </w:rPr>
              <w:t xml:space="preserve">Esri ArcGIS Business Analyst</w:t>
            </w:r>
          </w:p>
        </w:tc>
        <w:tc>
          <w:tcPr/>
          <w:p>
            <w:pPr>
              <w:pStyle w:val="Compact"/>
              <w:jc w:val="left"/>
            </w:pPr>
            <w:r>
              <w:t xml:space="preserve">Full GIS suite with census integration. The Advanced web tier includes Suitability Analysis for ranking sites and Void Analysis for detecting gaps in business coverage.</w:t>
            </w:r>
          </w:p>
        </w:tc>
        <w:tc>
          <w:tcPr/>
          <w:p>
            <w:pPr>
              <w:pStyle w:val="Compact"/>
              <w:jc w:val="left"/>
            </w:pPr>
            <w:r>
              <w:t xml:space="preserve">Organisations with GIS capability</w:t>
            </w:r>
          </w:p>
        </w:tc>
        <w:tc>
          <w:tcPr/>
          <w:p>
            <w:pPr>
              <w:pStyle w:val="Compact"/>
              <w:jc w:val="left"/>
            </w:pPr>
            <w:r>
              <w:t xml:space="preserve">Requires GIS literacy and a licensed user type; per-tier pricing is not published on the product buy page. Nothing about Canadian financing.</w:t>
            </w:r>
          </w:p>
        </w:tc>
      </w:tr>
      <w:tr>
        <w:tc>
          <w:tcPr/>
          <w:p>
            <w:pPr>
              <w:pStyle w:val="Compact"/>
              <w:jc w:val="left"/>
            </w:pPr>
            <w:r>
              <w:rPr>
                <w:bCs/>
                <w:b/>
              </w:rPr>
              <w:t xml:space="preserve">Environics Analytics (SPOTLIGHT)</w:t>
            </w:r>
          </w:p>
        </w:tc>
        <w:tc>
          <w:tcPr/>
          <w:p>
            <w:pPr>
              <w:pStyle w:val="Compact"/>
              <w:jc w:val="left"/>
            </w:pPr>
            <w:r>
              <w:t xml:space="preserve">Canadian demographics, PRIZM segmentation, trade-area reports, spending data, site-selection modelling. Over 40 self-serve reports.</w:t>
            </w:r>
          </w:p>
        </w:tc>
        <w:tc>
          <w:tcPr/>
          <w:p>
            <w:pPr>
              <w:pStyle w:val="Compact"/>
              <w:jc w:val="left"/>
            </w:pPr>
            <w:r>
              <w:t xml:space="preserve">Canadian organisations, marketers, some small businesses</w:t>
            </w:r>
          </w:p>
        </w:tc>
        <w:tc>
          <w:tcPr/>
          <w:p>
            <w:pPr>
              <w:pStyle w:val="Compact"/>
              <w:jc w:val="left"/>
            </w:pPr>
            <w:r>
              <w:t xml:space="preserve">Free account but paid reports; transactional prices rose in March 2026. Trade-area report workflow, not a citywide instant shortlist. No financing.</w:t>
            </w:r>
          </w:p>
        </w:tc>
      </w:tr>
      <w:tr>
        <w:tc>
          <w:tcPr/>
          <w:p>
            <w:pPr>
              <w:pStyle w:val="Compact"/>
              <w:jc w:val="left"/>
            </w:pPr>
            <w:r>
              <w:rPr>
                <w:bCs/>
                <w:b/>
              </w:rPr>
              <w:t xml:space="preserve">Sitewise</w:t>
            </w:r>
          </w:p>
        </w:tc>
        <w:tc>
          <w:tcPr/>
          <w:p>
            <w:pPr>
              <w:pStyle w:val="Compact"/>
              <w:jc w:val="left"/>
            </w:pPr>
            <w:r>
              <w:t xml:space="preserve">Site scoring, market scanning, heatmaps, mobility and traffic data, whitespace analysis, franchise territory management.</w:t>
            </w:r>
          </w:p>
        </w:tc>
        <w:tc>
          <w:tcPr/>
          <w:p>
            <w:pPr>
              <w:pStyle w:val="Compact"/>
              <w:jc w:val="left"/>
            </w:pPr>
            <w:r>
              <w:t xml:space="preserve">Multi-unit restaurant, retail and service brands</w:t>
            </w:r>
          </w:p>
        </w:tc>
        <w:tc>
          <w:tcPr/>
          <w:p>
            <w:pPr>
              <w:pStyle w:val="Compact"/>
              <w:jc w:val="left"/>
            </w:pPr>
            <w:r>
              <w:t xml:space="preserve">Core pricing requires sales contact. Free Market Grid is advertised for US markets; the equivalent free Toronto workflow is not confirmed. No financing.</w:t>
            </w:r>
          </w:p>
        </w:tc>
      </w:tr>
      <w:tr>
        <w:tc>
          <w:tcPr/>
          <w:p>
            <w:pPr>
              <w:pStyle w:val="Compact"/>
              <w:jc w:val="left"/>
            </w:pPr>
            <w:r>
              <w:rPr>
                <w:bCs/>
                <w:b/>
              </w:rPr>
              <w:t xml:space="preserve">SiteZeus</w:t>
            </w:r>
          </w:p>
        </w:tc>
        <w:tc>
          <w:tcPr/>
          <w:p>
            <w:pPr>
              <w:pStyle w:val="Compact"/>
              <w:jc w:val="left"/>
            </w:pPr>
            <w:r>
              <w:t xml:space="preserve">Predictive site selection, revenue forecasting, competitor and customer intelligence.</w:t>
            </w:r>
          </w:p>
        </w:tc>
        <w:tc>
          <w:tcPr/>
          <w:p>
            <w:pPr>
              <w:pStyle w:val="Compact"/>
              <w:jc w:val="left"/>
            </w:pPr>
            <w:r>
              <w:t xml:space="preserve">Franchises, chains, multi-location brands</w:t>
            </w:r>
          </w:p>
        </w:tc>
        <w:tc>
          <w:tcPr/>
          <w:p>
            <w:pPr>
              <w:pStyle w:val="Compact"/>
              <w:jc w:val="left"/>
            </w:pPr>
            <w:r>
              <w:t xml:space="preserve">Demo-gated; built around brands with existing location performance data to model against. No financing.</w:t>
            </w:r>
          </w:p>
        </w:tc>
      </w:tr>
      <w:tr>
        <w:tc>
          <w:tcPr/>
          <w:p>
            <w:pPr>
              <w:pStyle w:val="Compact"/>
              <w:jc w:val="left"/>
            </w:pPr>
            <w:r>
              <w:rPr>
                <w:bCs/>
                <w:b/>
              </w:rPr>
              <w:t xml:space="preserve">Placer.ai</w:t>
            </w:r>
          </w:p>
        </w:tc>
        <w:tc>
          <w:tcPr/>
          <w:p>
            <w:pPr>
              <w:pStyle w:val="Compact"/>
              <w:jc w:val="left"/>
            </w:pPr>
            <w:r>
              <w:t xml:space="preserve">Foot-traffic analytics and site selection at scale.</w:t>
            </w:r>
          </w:p>
        </w:tc>
        <w:tc>
          <w:tcPr/>
          <w:p>
            <w:pPr>
              <w:pStyle w:val="Compact"/>
              <w:jc w:val="left"/>
            </w:pPr>
            <w:r>
              <w:t xml:space="preserve">Retail chains, commercial real estate, CPG</w:t>
            </w:r>
          </w:p>
        </w:tc>
        <w:tc>
          <w:tcPr/>
          <w:p>
            <w:pPr>
              <w:pStyle w:val="Compact"/>
              <w:jc w:val="left"/>
            </w:pPr>
            <w:r>
              <w:t xml:space="preserve">Priced for organisations; foot-traffic licensing is the core asset and is not replicable on open data. No financing.</w:t>
            </w:r>
          </w:p>
        </w:tc>
      </w:tr>
      <w:tr>
        <w:tc>
          <w:tcPr/>
          <w:p>
            <w:pPr>
              <w:pStyle w:val="Compact"/>
              <w:jc w:val="left"/>
            </w:pPr>
            <w:r>
              <w:rPr>
                <w:bCs/>
                <w:b/>
              </w:rPr>
              <w:t xml:space="preserve">Google Maps and manual research</w:t>
            </w:r>
          </w:p>
        </w:tc>
        <w:tc>
          <w:tcPr/>
          <w:p>
            <w:pPr>
              <w:pStyle w:val="Compact"/>
              <w:jc w:val="left"/>
            </w:pPr>
            <w:r>
              <w:t xml:space="preserve">Free browsing of what already exists.</w:t>
            </w:r>
          </w:p>
        </w:tc>
        <w:tc>
          <w:tcPr/>
          <w:p>
            <w:pPr>
              <w:pStyle w:val="Compact"/>
              <w:jc w:val="left"/>
            </w:pPr>
            <w:r>
              <w:t xml:space="preserve">Everyone</w:t>
            </w:r>
          </w:p>
        </w:tc>
        <w:tc>
          <w:tcPr/>
          <w:p>
            <w:pPr>
              <w:pStyle w:val="Compact"/>
              <w:jc w:val="left"/>
            </w:pPr>
            <w:r>
              <w:t xml:space="preserve">No demographics, no scoring, no comparison across areas, no funding path.</w:t>
            </w:r>
          </w:p>
        </w:tc>
      </w:tr>
      <w:tr>
        <w:tc>
          <w:tcPr/>
          <w:p>
            <w:pPr>
              <w:pStyle w:val="Compact"/>
              <w:jc w:val="left"/>
            </w:pPr>
            <w:r>
              <w:rPr>
                <w:bCs/>
                <w:b/>
              </w:rPr>
              <w:t xml:space="preserve">Groundwork</w:t>
            </w:r>
          </w:p>
        </w:tc>
        <w:tc>
          <w:tcPr/>
          <w:p>
            <w:pPr>
              <w:pStyle w:val="Compact"/>
              <w:jc w:val="left"/>
            </w:pPr>
            <w:r>
              <w:t xml:space="preserve">Toronto neighbourhood opportunity scoring on Canadian census granularity, joined to a personalised government financing shortlist. Published price, self-serve.</w:t>
            </w:r>
          </w:p>
        </w:tc>
        <w:tc>
          <w:tcPr/>
          <w:p>
            <w:pPr>
              <w:pStyle w:val="Compact"/>
              <w:jc w:val="left"/>
            </w:pPr>
            <w:r>
              <w:t xml:space="preserve">Independents opening one Toronto location, and the institutions advising them</w:t>
            </w:r>
          </w:p>
        </w:tc>
        <w:tc>
          <w:tcPr/>
          <w:p>
            <w:pPr>
              <w:pStyle w:val="Compact"/>
              <w:jc w:val="left"/>
            </w:pPr>
            <w:r>
              <w:t xml:space="preserve">Toronto only; no foot traffic; no revenue forecasting; census vintage is 2021. Narrower analytically than any vendor above.</w:t>
            </w:r>
          </w:p>
        </w:tc>
      </w:tr>
    </w:tbl>
    <w:bookmarkEnd w:id="33"/>
    <w:bookmarkStart w:id="34" w:name="Xcd062d2fe409b62821470ff20a0a258e70fc6a5"/>
    <w:p>
      <w:pPr>
        <w:pStyle w:val="Heading2"/>
      </w:pPr>
      <w:r>
        <w:rPr>
          <w:bCs/>
          <w:b/>
        </w:rPr>
        <w:t xml:space="preserve">4.3 Competitive landscape: financing navigation</w:t>
      </w:r>
    </w:p>
    <w:p>
      <w:pPr>
        <w:pStyle w:val="FirstParagraph"/>
      </w:pPr>
      <w:r>
        <w:t xml:space="preserve">This is a different market with different incumbents, and it is where the opening 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Player</w:t>
            </w:r>
          </w:p>
        </w:tc>
        <w:tc>
          <w:tcPr/>
          <w:p>
            <w:pPr>
              <w:pStyle w:val="Compact"/>
              <w:jc w:val="left"/>
            </w:pPr>
            <w:r>
              <w:rPr>
                <w:bCs/>
                <w:b/>
              </w:rPr>
              <w:t xml:space="preserve">What it does</w:t>
            </w:r>
          </w:p>
        </w:tc>
        <w:tc>
          <w:tcPr/>
          <w:p>
            <w:pPr>
              <w:pStyle w:val="Compact"/>
              <w:jc w:val="left"/>
            </w:pPr>
            <w:r>
              <w:rPr>
                <w:bCs/>
                <w:b/>
              </w:rPr>
              <w:t xml:space="preserve">What it leaves open</w:t>
            </w:r>
          </w:p>
        </w:tc>
      </w:tr>
      <w:tr>
        <w:tc>
          <w:tcPr/>
          <w:p>
            <w:pPr>
              <w:pStyle w:val="Compact"/>
              <w:jc w:val="left"/>
            </w:pPr>
            <w:r>
              <w:rPr>
                <w:bCs/>
                <w:b/>
              </w:rPr>
              <w:t xml:space="preserve">Government portals (ISED, Canada.ca Business Benefits Finder, City of Toronto)</w:t>
            </w:r>
          </w:p>
        </w:tc>
        <w:tc>
          <w:tcPr/>
          <w:p>
            <w:pPr>
              <w:pStyle w:val="Compact"/>
              <w:jc w:val="left"/>
            </w:pPr>
            <w:r>
              <w:t xml:space="preserve">Authoritative program descriptions and eligibility rules, published free.</w:t>
            </w:r>
          </w:p>
        </w:tc>
        <w:tc>
          <w:tcPr/>
          <w:p>
            <w:pPr>
              <w:pStyle w:val="Compact"/>
              <w:jc w:val="left"/>
            </w:pPr>
            <w:r>
              <w:t xml:space="preserve">Organised by department, not by the owner’s situation. No cross-level view. No sequencing. The Business Benefits Finder returns long lists rather than a ranked, filtered shortlist tied to a specific opening plan.</w:t>
            </w:r>
          </w:p>
        </w:tc>
      </w:tr>
      <w:tr>
        <w:tc>
          <w:tcPr/>
          <w:p>
            <w:pPr>
              <w:pStyle w:val="Compact"/>
              <w:jc w:val="left"/>
            </w:pPr>
            <w:r>
              <w:rPr>
                <w:bCs/>
                <w:b/>
              </w:rPr>
              <w:t xml:space="preserve">Commercial grant-listing sites</w:t>
            </w:r>
          </w:p>
        </w:tc>
        <w:tc>
          <w:tcPr/>
          <w:p>
            <w:pPr>
              <w:pStyle w:val="Compact"/>
              <w:jc w:val="left"/>
            </w:pPr>
            <w:r>
              <w:t xml:space="preserve">Aggregated program directories with search.</w:t>
            </w:r>
          </w:p>
        </w:tc>
        <w:tc>
          <w:tcPr/>
          <w:p>
            <w:pPr>
              <w:pStyle w:val="Compact"/>
              <w:jc w:val="left"/>
            </w:pPr>
            <w:r>
              <w:t xml:space="preserve">Lead generation businesses. Accuracy varies, program status is often stale, and the incentive is to route the user to a paid consultant.</w:t>
            </w:r>
          </w:p>
        </w:tc>
      </w:tr>
      <w:tr>
        <w:tc>
          <w:tcPr/>
          <w:p>
            <w:pPr>
              <w:pStyle w:val="Compact"/>
              <w:jc w:val="left"/>
            </w:pPr>
            <w:r>
              <w:rPr>
                <w:bCs/>
                <w:b/>
              </w:rPr>
              <w:t xml:space="preserve">Banks and credit unions</w:t>
            </w:r>
          </w:p>
        </w:tc>
        <w:tc>
          <w:tcPr/>
          <w:p>
            <w:pPr>
              <w:pStyle w:val="Compact"/>
              <w:jc w:val="left"/>
            </w:pPr>
            <w:r>
              <w:t xml:space="preserve">Deliver CSBFP loans and their own lending.</w:t>
            </w:r>
          </w:p>
        </w:tc>
        <w:tc>
          <w:tcPr/>
          <w:p>
            <w:pPr>
              <w:pStyle w:val="Compact"/>
              <w:jc w:val="left"/>
            </w:pPr>
            <w:r>
              <w:t xml:space="preserve">Each shows only its own products. A first-time owner rarely knows to ask for CSBFP by name, and no lender will tell them about a municipal grant.</w:t>
            </w:r>
          </w:p>
        </w:tc>
      </w:tr>
      <w:tr>
        <w:tc>
          <w:tcPr/>
          <w:p>
            <w:pPr>
              <w:pStyle w:val="Compact"/>
              <w:jc w:val="left"/>
            </w:pPr>
            <w:r>
              <w:rPr>
                <w:bCs/>
                <w:b/>
              </w:rPr>
              <w:t xml:space="preserve">Small Business Enterprise Centres and BIAs</w:t>
            </w:r>
          </w:p>
        </w:tc>
        <w:tc>
          <w:tcPr/>
          <w:p>
            <w:pPr>
              <w:pStyle w:val="Compact"/>
              <w:jc w:val="left"/>
            </w:pPr>
            <w:r>
              <w:t xml:space="preserve">Genuine, high-quality one-to-one advice for Toronto owners.</w:t>
            </w:r>
          </w:p>
        </w:tc>
        <w:tc>
          <w:tcPr/>
          <w:p>
            <w:pPr>
              <w:pStyle w:val="Compact"/>
              <w:jc w:val="left"/>
            </w:pPr>
            <w:r>
              <w:t xml:space="preserve">Human capacity constrained, appointment-based, and the advisor rebuilds the same eligibility picture from scratch for every client. This is the buyer, not the competitor.</w:t>
            </w:r>
          </w:p>
        </w:tc>
      </w:tr>
      <w:tr>
        <w:tc>
          <w:tcPr/>
          <w:p>
            <w:pPr>
              <w:pStyle w:val="Compact"/>
              <w:jc w:val="left"/>
            </w:pPr>
            <w:r>
              <w:rPr>
                <w:bCs/>
                <w:b/>
              </w:rPr>
              <w:t xml:space="preserve">Location intelligence platforms</w:t>
            </w:r>
          </w:p>
        </w:tc>
        <w:tc>
          <w:tcPr/>
          <w:p>
            <w:pPr>
              <w:pStyle w:val="Compact"/>
              <w:jc w:val="left"/>
            </w:pPr>
            <w:r>
              <w:t xml:space="preserve">Nothing in this column.</w:t>
            </w:r>
          </w:p>
        </w:tc>
        <w:tc>
          <w:tcPr/>
          <w:p>
            <w:pPr>
              <w:pStyle w:val="Compact"/>
              <w:jc w:val="left"/>
            </w:pPr>
            <w:r>
              <w:t xml:space="preserve">None of the five vendors above documents any Canadian small-business financing capability.</w:t>
            </w:r>
          </w:p>
        </w:tc>
      </w:tr>
    </w:tbl>
    <w:bookmarkEnd w:id="34"/>
    <w:bookmarkStart w:id="35" w:name="where-the-defensible-gap-actually-is"/>
    <w:p>
      <w:pPr>
        <w:pStyle w:val="Heading2"/>
      </w:pPr>
      <w:r>
        <w:rPr>
          <w:bCs/>
          <w:b/>
        </w:rPr>
        <w:t xml:space="preserve">4.4 Where the defensible gap actually is</w:t>
      </w:r>
    </w:p>
    <w:p>
      <w:pPr>
        <w:pStyle w:val="FirstParagraph"/>
      </w:pPr>
      <w:r>
        <w:t xml:space="preserve">It is tempting to claim the gap is price and simplicity. Environics and Sitewise already cover the core analytical functions, and access model is not the same thing as a defensible advantage. Any of these vendors could launch a cheaper self-serve tier; Sitewise has effectively already done so in the United States with Market Grid. Pricing is a real and immediate advantage, but it is not the one to build the company 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THE DIFFERENTIATION</w:t>
            </w:r>
            <w:r>
              <w:t xml:space="preserve"> Weak claim: we do location intelligence, but cheaper and simpler. Every incumbent can undercut this with a stripped-down tier, and Esri already ships suitability and void analysis. Strong claim: we are the only tool that connects a Toronto neighbourhood opportunity score to a personalised, current, cross-government financing path for the person who wants to open there. Incumbents would have to build and maintain a Canadian regulatory knowledge base to match it, which is outside their product logic and their customer base.</w:t>
            </w:r>
          </w:p>
        </w:tc>
      </w:tr>
    </w:tbl>
    <w:p>
      <w:pPr>
        <w:pStyle w:val="BodyText"/>
      </w:pPr>
      <w:r>
        <w:t xml:space="preserve">Three things make the financing layer durable rather than merely novel:</w:t>
      </w:r>
    </w:p>
    <w:p>
      <w:pPr>
        <w:numPr>
          <w:ilvl w:val="0"/>
          <w:numId w:val="1007"/>
        </w:numPr>
      </w:pPr>
      <w:r>
        <w:rPr>
          <w:bCs/>
          <w:b/>
        </w:rPr>
        <w:t xml:space="preserve">It is a maintenance moat, not a technology moat. </w:t>
      </w:r>
      <w:r>
        <w:t xml:space="preserve">Program rules, ceilings and intake dates change constantly. The Environics price change in March 2026 and the Starter Company Plus intake shift to September 2026 are both from this year. Keeping the database current is unglamorous work that global platforms have no reason to do for one Canadian city.</w:t>
      </w:r>
    </w:p>
    <w:p>
      <w:pPr>
        <w:numPr>
          <w:ilvl w:val="0"/>
          <w:numId w:val="1007"/>
        </w:numPr>
      </w:pPr>
      <w:r>
        <w:rPr>
          <w:bCs/>
          <w:b/>
        </w:rPr>
        <w:t xml:space="preserve">It is where the institutional buyers already are. </w:t>
      </w:r>
      <w:r>
        <w:t xml:space="preserve">BIAs and enterprise centres do not need help drawing maps. They need to stop answering the same financing questions by hand.</w:t>
      </w:r>
    </w:p>
    <w:p>
      <w:pPr>
        <w:numPr>
          <w:ilvl w:val="0"/>
          <w:numId w:val="1007"/>
        </w:numPr>
      </w:pPr>
      <w:r>
        <w:rPr>
          <w:bCs/>
          <w:b/>
        </w:rPr>
        <w:t xml:space="preserve">It closes the loop. </w:t>
      </w:r>
      <w:r>
        <w:t xml:space="preserve">A location score with no funding path is advice. A location score with a funding path is a plan.</w:t>
      </w:r>
    </w:p>
    <w:bookmarkEnd w:id="35"/>
    <w:bookmarkStart w:id="37" w:name="target-users-and-buyers"/>
    <w:p>
      <w:pPr>
        <w:pStyle w:val="Heading2"/>
      </w:pPr>
      <w:r>
        <w:rPr>
          <w:bCs/>
          <w:b/>
        </w:rPr>
        <w:t xml:space="preserve">4.5 Target users and buyers</w:t>
      </w:r>
    </w:p>
    <w:bookmarkStart w:id="36" w:name="X7ea0ba6e2df712a2cf9508c53cbdbea7d4ce46c"/>
    <w:p>
      <w:pPr>
        <w:pStyle w:val="Heading3"/>
      </w:pPr>
      <w:r>
        <w:rPr>
          <w:bCs/>
          <w:b/>
        </w:rPr>
        <w:t xml:space="preserve">Owners — who buy a plan or a short subscription</w:t>
      </w:r>
    </w:p>
    <w:p>
      <w:pPr>
        <w:numPr>
          <w:ilvl w:val="0"/>
          <w:numId w:val="1008"/>
        </w:numPr>
      </w:pPr>
      <w:r>
        <w:t xml:space="preserve">First-time owners opening a single retail or service location in Toronto</w:t>
      </w:r>
    </w:p>
    <w:p>
      <w:pPr>
        <w:numPr>
          <w:ilvl w:val="0"/>
          <w:numId w:val="1008"/>
        </w:numPr>
      </w:pPr>
      <w:r>
        <w:t xml:space="preserve">Newcomers to Canada starting a business, who face the steepest information asymmetry at every stage</w:t>
      </w:r>
    </w:p>
    <w:p>
      <w:pPr>
        <w:numPr>
          <w:ilvl w:val="0"/>
          <w:numId w:val="1008"/>
        </w:numPr>
      </w:pPr>
      <w:r>
        <w:t xml:space="preserve">Existing operators evaluating a second location</w:t>
      </w:r>
    </w:p>
    <w:p>
      <w:pPr>
        <w:numPr>
          <w:ilvl w:val="0"/>
          <w:numId w:val="1008"/>
        </w:numPr>
      </w:pPr>
      <w:r>
        <w:t xml:space="preserve">Commercial tenants comparing two or three specific spaces they are already considering</w:t>
      </w:r>
    </w:p>
    <w:p>
      <w:pPr>
        <w:pStyle w:val="FirstParagraph"/>
      </w:pPr>
      <w:r>
        <w:t xml:space="preserve">Institutional buyers — Business Improvement Areas, Small Business Enterprise Centres, credit unions, settlement agencies, brokerages — are a real and probably larger opportunity, and they are deliberately out of the initial commercial scope. Section 5.5 records them as future work rather than treating them as revenue the product can currently claim.</w:t>
      </w:r>
    </w:p>
    <w:bookmarkEnd w:id="36"/>
    <w:bookmarkEnd w:id="37"/>
    <w:bookmarkEnd w:id="38"/>
    <w:bookmarkStart w:id="44" w:name="commercial-model"/>
    <w:p>
      <w:pPr>
        <w:pStyle w:val="Heading1"/>
      </w:pPr>
      <w:r>
        <w:rPr>
          <w:bCs/>
          <w:b/>
        </w:rPr>
        <w:t xml:space="preserve">5. Commercial model</w:t>
      </w:r>
    </w:p>
    <w:p>
      <w:pPr>
        <w:pStyle w:val="FirstParagraph"/>
      </w:pPr>
      <w:r>
        <w:t xml:space="preserve">Groundwork is a paid product. That is a deliberate choice and it shapes the design: a tool that has to be worth $99.99 to a person deciding where to spend $180,000 is held to a standard that a free tool is not. It also means the incentives are clean. Groundwork is paid by the people it advises, not by lenders, landlords or franchisors who would have an interest in the answer.</w:t>
      </w:r>
    </w:p>
    <w:bookmarkStart w:id="39" w:name="what-owners-pay"/>
    <w:p>
      <w:pPr>
        <w:pStyle w:val="Heading2"/>
      </w:pPr>
      <w:r>
        <w:rPr>
          <w:bCs/>
          <w:b/>
        </w:rPr>
        <w:t xml:space="preserve">5.1 What owners pay</w:t>
      </w:r>
    </w:p>
    <w:p>
      <w:pPr>
        <w:pStyle w:val="FirstParagraph"/>
      </w:pPr>
      <w:r>
        <w:t xml:space="preserve">Pricing is set against the cost of the comparable alternative, which is no longer a research afternoon. Once the deliverable is a complete plan — costed, financed and sequenced — the thing Groundwork replaces is a paid advisory engagement: a consultant or bookkeeper assembling a lender-ready plan from scratch. Groundwork sits an order of magnitude below that, and well above the price of a data lookup, because it is no longer a data lookup.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Tier</w:t>
            </w:r>
          </w:p>
        </w:tc>
        <w:tc>
          <w:tcPr/>
          <w:p>
            <w:pPr>
              <w:pStyle w:val="Compact"/>
              <w:jc w:val="left"/>
            </w:pPr>
            <w:r>
              <w:rPr>
                <w:bCs/>
                <w:b/>
              </w:rPr>
              <w:t xml:space="preserve">Who it is for</w:t>
            </w:r>
          </w:p>
        </w:tc>
        <w:tc>
          <w:tcPr/>
          <w:p>
            <w:pPr>
              <w:pStyle w:val="Compact"/>
              <w:jc w:val="left"/>
            </w:pPr>
            <w:r>
              <w:rPr>
                <w:bCs/>
                <w:b/>
              </w:rPr>
              <w:t xml:space="preserve">What it includes</w:t>
            </w:r>
          </w:p>
        </w:tc>
        <w:tc>
          <w:tcPr/>
          <w:p>
            <w:pPr>
              <w:pStyle w:val="Compact"/>
              <w:jc w:val="left"/>
            </w:pPr>
            <w:r>
              <w:rPr>
                <w:bCs/>
                <w:b/>
              </w:rPr>
              <w:t xml:space="preserve">Price</w:t>
            </w:r>
          </w:p>
        </w:tc>
      </w:tr>
      <w:tr>
        <w:tc>
          <w:tcPr/>
          <w:p>
            <w:pPr>
              <w:pStyle w:val="Compact"/>
              <w:jc w:val="left"/>
            </w:pPr>
            <w:r>
              <w:rPr>
                <w:bCs/>
                <w:b/>
              </w:rPr>
              <w:t xml:space="preserve">Single-site plan</w:t>
            </w:r>
          </w:p>
        </w:tc>
        <w:tc>
          <w:tcPr/>
          <w:p>
            <w:pPr>
              <w:pStyle w:val="Compact"/>
              <w:jc w:val="left"/>
            </w:pPr>
            <w:r>
              <w:t xml:space="preserve">Someone who has chosen a neighbourhood and wants the full picture before committing</w:t>
            </w:r>
          </w:p>
        </w:tc>
        <w:tc>
          <w:tcPr/>
          <w:p>
            <w:pPr>
              <w:pStyle w:val="Compact"/>
              <w:jc w:val="left"/>
            </w:pPr>
            <w:r>
              <w:t xml:space="preserve">Profile, full scoring and breakdown for one area, complete line-item cost model, financing shortlist and capital stack, sequenced action list, exported business plan and one-page summary. Thirty days of access to revise and re-export.</w:t>
            </w:r>
          </w:p>
        </w:tc>
        <w:tc>
          <w:tcPr/>
          <w:p>
            <w:pPr>
              <w:pStyle w:val="Compact"/>
              <w:jc w:val="left"/>
            </w:pPr>
            <w:r>
              <w:t xml:space="preserve">$99.99 once</w:t>
            </w:r>
          </w:p>
        </w:tc>
      </w:tr>
      <w:tr>
        <w:tc>
          <w:tcPr/>
          <w:p>
            <w:pPr>
              <w:pStyle w:val="Compact"/>
              <w:jc w:val="left"/>
            </w:pPr>
            <w:r>
              <w:rPr>
                <w:bCs/>
                <w:b/>
              </w:rPr>
              <w:t xml:space="preserve">Planning subscription</w:t>
            </w:r>
          </w:p>
        </w:tc>
        <w:tc>
          <w:tcPr/>
          <w:p>
            <w:pPr>
              <w:pStyle w:val="Compact"/>
              <w:jc w:val="left"/>
            </w:pPr>
            <w:r>
              <w:t xml:space="preserve">Someone still deciding where in the city to look, or working through several sites and scenarios</w:t>
            </w:r>
          </w:p>
        </w:tc>
        <w:tc>
          <w:tcPr/>
          <w:p>
            <w:pPr>
              <w:pStyle w:val="Compact"/>
              <w:jc w:val="left"/>
            </w:pPr>
            <w:r>
              <w:t xml:space="preserve">Unlimited areas and scenarios, side-by-side comparison, saved shortlists, revision history, alerts when a financing program they are waiting on opens its intake window.</w:t>
            </w:r>
          </w:p>
        </w:tc>
        <w:tc>
          <w:tcPr/>
          <w:p>
            <w:pPr>
              <w:pStyle w:val="Compact"/>
              <w:jc w:val="left"/>
            </w:pPr>
            <w:r>
              <w:t xml:space="preserve">$249 per month, cancel anytime. A prior single-site purchase is credited against the first month.</w:t>
            </w:r>
          </w:p>
        </w:tc>
      </w:tr>
    </w:tbl>
    <w:p>
      <w:pPr>
        <w:pStyle w:val="BodyText"/>
      </w:pPr>
      <w:r>
        <w:t xml:space="preserve">Two tiers, and the relationship between them is the point. The single plan is the default purchase: most first-time owners are opening one location and will buy once. The subscription is priced well above it because it grants unlimited areas and scenarios, and a subscriber consumes materially more of the expensive part of the product — the maintained financing database and the cost benchmarks — than a one-time buyer does. Pricing it below the single plan would have made the one-off purchase irrational, which is the flaw in a middle tier we considered and removed.</w:t>
      </w:r>
    </w:p>
    <w:p>
      <w:pPr>
        <w:pStyle w:val="BodyText"/>
      </w:pPr>
      <w:r>
        <w:t xml:space="preserve">Removing that middle tier left a gap. Someone who buys a single plan and then wants to look at a second site faces $99.99 or $249 with nothing between them, and a jump of that size at the moment of highest intent loses customers who were ready to spend more. Two mechanisms close it, and both are commitments rather than presentation choices.</w:t>
      </w:r>
    </w:p>
    <w:p>
      <w:pPr>
        <w:pStyle w:val="BodyText"/>
      </w:pPr>
      <w:r>
        <w:rPr>
          <w:bCs/>
          <w:b/>
        </w:rPr>
        <w:t xml:space="preserve">The single-site purchase is credited in full against the first subscription month.</w:t>
      </w:r>
      <w:r>
        <w:t xml:space="preserve"> An owner who paid $99.99 and upgrades pays roughly $149 to start, not $249 on top of what they have already spent. The credit applies once, to the first month only. It costs $99.99 of margin on every upgrade, which is the price of not stranding the customer who wants more.</w:t>
      </w:r>
    </w:p>
    <w:p>
      <w:pPr>
        <w:pStyle w:val="BodyText"/>
      </w:pPr>
      <w:r>
        <w:rPr>
          <w:bCs/>
          <w:b/>
        </w:rPr>
        <w:t xml:space="preserve">The subscription is sold inside the product, not on the landing page.</w:t>
      </w:r>
      <w:r>
        <w:t xml:space="preserve"> It surfaces on the site comparison screen, at the moment an owner tries to add a second site and finds the slot locked. Willingness to pay is far higher there than it is cold: the owner has already seen the scoring, the cost model and the financing shortlist for their first site, so they are deciding whether the tool is worth more, not whether it works at all. The landing page therefore carries one primary action.</w:t>
      </w:r>
    </w:p>
    <w:p>
      <w:pPr>
        <w:pStyle w:val="BodyText"/>
      </w:pPr>
      <w:r>
        <w:t xml:space="preserve">This does not mean the subscription is hidden. It is listed at its price in the pricing section, where anyone can find it, because published pricing is a stated position in section 5.3 and a tier that requires a conversation to discover would contradict it. What changes is emphasis, not disclosure: two co-equal calls to action split attention, and the higher anchor makes the cheaper one read as the compromise version.</w:t>
      </w:r>
    </w:p>
    <w:p>
      <w:pPr>
        <w:pStyle w:val="BodyText"/>
      </w:pPr>
      <w:r>
        <w:t xml:space="preserve">The subscription is not aimed at the first-time owner at all. It is for the person comparing many sites over weeks, the operator evaluating a second and third location, and the advisor or broker running this for several clients before an advisor tier exists to serve them properly.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BEFORE THE PITCH</w:t>
            </w:r>
            <w:r>
              <w:t xml:space="preserve"> The claim that a comparable advisory engagement costs substantially more than $99.99 is stated qualitatively here on purpose. If a specific figure is wanted for the pitch, it needs a named published source and a verification pass like every other number in this package. It should not be asserted from intuition.</w:t>
            </w:r>
          </w:p>
        </w:tc>
      </w:tr>
    </w:tbl>
    <w:p>
      <w:pPr>
        <w:pStyle w:val="BodyText"/>
      </w:pPr>
      <w:r>
        <w:rPr>
          <w:bCs/>
          <w:b/>
        </w:rPr>
        <w:t xml:space="preserve">What is free, precisely.</w:t>
      </w:r>
      <w:r>
        <w:t xml:space="preserve"> An owner can create an account, complete the full profile intake, and browse three scored areas in full, decomposition included. Everything after that sits behind the purchase: the remaining areas, the competitor counts, the cost model, the financing shortlist, the capital stack and the plan export.</w:t>
      </w:r>
    </w:p>
    <w:p>
      <w:pPr>
        <w:pStyle w:val="BodyText"/>
      </w:pPr>
      <w:r>
        <w:t xml:space="preserve">This is a deliberate choice and it is more generous than a preview. The profile is where the owner does the work — a dozen questions about their situation — and asking them to pay before they have seen anything the product produces would waste that effort if the answer disappoints them. The component signals are shown for those three areas rather than withheld, because a score with no breakdown is exactly the black box the transparency principle exists to prevent, and the Feature Plan excludes it by name. Showing how a score is built is what earns the trust to sell the rest of the product; withholding it would save nothing and cost the argument. Three areas out of 140, with no competitor counts, no costs, no financing and no plan, is enough to judge whether the method is credible and nowhere near enough to substitute for the product.</w:t>
      </w:r>
    </w:p>
    <w:p>
      <w:pPr>
        <w:pStyle w:val="BodyText"/>
      </w:pPr>
      <w:r>
        <w:t xml:space="preserve">It also places the paywall mid-flow rather than at the front, which has a consequence for the build: checkout is not a screen bolted on at the end but a state the application passes through, and the screens on either side of it have to work for a user who has not paid yet.</w:t>
      </w:r>
    </w:p>
    <w:bookmarkEnd w:id="39"/>
    <w:bookmarkStart w:id="40" w:name="the-access-problem-stated-honestly"/>
    <w:p>
      <w:pPr>
        <w:pStyle w:val="Heading2"/>
      </w:pPr>
      <w:r>
        <w:rPr>
          <w:bCs/>
          <w:b/>
        </w:rPr>
        <w:t xml:space="preserve">5.2 The access problem, stated honestly</w:t>
      </w:r>
    </w:p>
    <w:p>
      <w:pPr>
        <w:pStyle w:val="FirstParagraph"/>
      </w:pPr>
      <w:r>
        <w:t xml:space="preserve">The obvious objection to charging $99.99 is that the owners with the least information often have the least money, and that is exactly the group the product claims to serve. This is a real tension and the initial commercial model does not resolve it.</w:t>
      </w:r>
    </w:p>
    <w:p>
      <w:pPr>
        <w:pStyle w:val="BodyText"/>
      </w:pPr>
      <w:r>
        <w:t xml:space="preserve">The answer is not a free tier, which would remove the revenue that funds the data maintenance the product depends on, and not a discount, which would signal that the cheap version is the unreliable one. The intended answer is sponsored access — institutions buying blocks of plans at a volume rate and issuing them to clients, so a settlement agency hands a newcomer a code and the newcomer gets the full product at no cost to themselves. That mechanism is described in section 5.5 as future work, because it depends on the institutional relationships the initial model does not yet have. Until it exists, the product is priced for owners who can pay $99.99, and it is better to say so than to imply a reach the commercial model has not earned.</w:t>
      </w:r>
    </w:p>
    <w:bookmarkEnd w:id="40"/>
    <w:bookmarkStart w:id="41" w:name="why-this-pricing-is-itself-a-position"/>
    <w:p>
      <w:pPr>
        <w:pStyle w:val="Heading2"/>
      </w:pPr>
      <w:r>
        <w:rPr>
          <w:bCs/>
          <w:b/>
        </w:rPr>
        <w:t xml:space="preserve">5.3 Why this pricing is itself a position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Vendor</w:t>
            </w:r>
          </w:p>
        </w:tc>
        <w:tc>
          <w:tcPr/>
          <w:p>
            <w:pPr>
              <w:pStyle w:val="Compact"/>
              <w:jc w:val="left"/>
            </w:pPr>
            <w:r>
              <w:rPr>
                <w:bCs/>
                <w:b/>
              </w:rPr>
              <w:t xml:space="preserve">What it costs an independent operator to get an answer</w:t>
            </w:r>
          </w:p>
        </w:tc>
      </w:tr>
      <w:tr>
        <w:tc>
          <w:tcPr/>
          <w:p>
            <w:pPr>
              <w:pStyle w:val="Compact"/>
              <w:jc w:val="left"/>
            </w:pPr>
            <w:r>
              <w:rPr>
                <w:bCs/>
                <w:b/>
              </w:rPr>
              <w:t xml:space="preserve">Esri ArcGIS Business Analyst</w:t>
            </w:r>
          </w:p>
        </w:tc>
        <w:tc>
          <w:tcPr/>
          <w:p>
            <w:pPr>
              <w:pStyle w:val="Compact"/>
              <w:jc w:val="left"/>
            </w:pPr>
            <w:r>
              <w:t xml:space="preserve">Requires a separately purchased user type and credits. Per-tier list pricing is not published on the product buy page.</w:t>
            </w:r>
          </w:p>
        </w:tc>
      </w:tr>
      <w:tr>
        <w:tc>
          <w:tcPr/>
          <w:p>
            <w:pPr>
              <w:pStyle w:val="Compact"/>
              <w:jc w:val="left"/>
            </w:pPr>
            <w:r>
              <w:rPr>
                <w:bCs/>
                <w:b/>
              </w:rPr>
              <w:t xml:space="preserve">Environics Analytics SPOTLIGHT</w:t>
            </w:r>
          </w:p>
        </w:tc>
        <w:tc>
          <w:tcPr/>
          <w:p>
            <w:pPr>
              <w:pStyle w:val="Compact"/>
              <w:jc w:val="left"/>
            </w:pPr>
            <w:r>
              <w:t xml:space="preserve">Free account, then paid reports in Canadian dollars, with licensed bundles above that. Transactional report prices increased on 25 March 2026.</w:t>
            </w:r>
          </w:p>
        </w:tc>
      </w:tr>
      <w:tr>
        <w:tc>
          <w:tcPr/>
          <w:p>
            <w:pPr>
              <w:pStyle w:val="Compact"/>
              <w:jc w:val="left"/>
            </w:pPr>
            <w:r>
              <w:rPr>
                <w:bCs/>
                <w:b/>
              </w:rPr>
              <w:t xml:space="preserve">Sitewise</w:t>
            </w:r>
          </w:p>
        </w:tc>
        <w:tc>
          <w:tcPr/>
          <w:p>
            <w:pPr>
              <w:pStyle w:val="Compact"/>
              <w:jc w:val="left"/>
            </w:pPr>
            <w:r>
              <w:t xml:space="preserve">Core platform pricing is not posted; access requires contacting sales.</w:t>
            </w:r>
          </w:p>
        </w:tc>
      </w:tr>
      <w:tr>
        <w:tc>
          <w:tcPr/>
          <w:p>
            <w:pPr>
              <w:pStyle w:val="Compact"/>
              <w:jc w:val="left"/>
            </w:pPr>
            <w:r>
              <w:rPr>
                <w:bCs/>
                <w:b/>
              </w:rPr>
              <w:t xml:space="preserve">SiteZeus</w:t>
            </w:r>
          </w:p>
        </w:tc>
        <w:tc>
          <w:tcPr/>
          <w:p>
            <w:pPr>
              <w:pStyle w:val="Compact"/>
              <w:jc w:val="left"/>
            </w:pPr>
            <w:r>
              <w:t xml:space="preserve">Demo-gated. No self-serve tier.</w:t>
            </w:r>
          </w:p>
        </w:tc>
      </w:tr>
      <w:tr>
        <w:tc>
          <w:tcPr/>
          <w:p>
            <w:pPr>
              <w:pStyle w:val="Compact"/>
              <w:jc w:val="left"/>
            </w:pPr>
            <w:r>
              <w:rPr>
                <w:bCs/>
                <w:b/>
              </w:rPr>
              <w:t xml:space="preserve">Placer.ai</w:t>
            </w:r>
          </w:p>
        </w:tc>
        <w:tc>
          <w:tcPr/>
          <w:p>
            <w:pPr>
              <w:pStyle w:val="Compact"/>
              <w:jc w:val="left"/>
            </w:pPr>
            <w:r>
              <w:t xml:space="preserve">Enterprise pricing, not published.</w:t>
            </w:r>
          </w:p>
        </w:tc>
      </w:tr>
      <w:tr>
        <w:tc>
          <w:tcPr/>
          <w:p>
            <w:pPr>
              <w:pStyle w:val="Compact"/>
              <w:jc w:val="left"/>
            </w:pPr>
            <w:r>
              <w:rPr>
                <w:bCs/>
                <w:b/>
              </w:rPr>
              <w:t xml:space="preserve">Groundwork</w:t>
            </w:r>
          </w:p>
        </w:tc>
        <w:tc>
          <w:tcPr/>
          <w:p>
            <w:pPr>
              <w:pStyle w:val="Compact"/>
              <w:jc w:val="left"/>
            </w:pPr>
            <w:r>
              <w:t xml:space="preserve">Price on the page. Pay and leave with a costed, financed plan the same evening.</w:t>
            </w:r>
          </w:p>
        </w:tc>
      </w:tr>
    </w:tbl>
    <w:p>
      <w:pPr>
        <w:pStyle w:val="BodyText"/>
      </w:pPr>
      <w:r>
        <w:t xml:space="preserve">Every vendor in that table except Environics routes a buyer through a sales conversation. For a customer who has never bought software and will not book a demo call to ask about a bakery, a published price is not a marketing detail — it is the difference between a customer and no customer. It also shortens the cycle with public-sector buyers, who need a number before they can start a procurement at all.</w:t>
      </w:r>
    </w:p>
    <w:bookmarkEnd w:id="41"/>
    <w:bookmarkStart w:id="42" w:name="X61fdafeeb8a9120636a4631c12800a0d640a587"/>
    <w:p>
      <w:pPr>
        <w:pStyle w:val="Heading2"/>
      </w:pPr>
      <w:r>
        <w:rPr>
          <w:bCs/>
          <w:b/>
        </w:rPr>
        <w:t xml:space="preserve">5.4 Unit economics and the shape of the business</w:t>
      </w:r>
    </w:p>
    <w:p>
      <w:pPr>
        <w:pStyle w:val="FirstParagraph"/>
      </w:pPr>
      <w:r>
        <w:t xml:space="preserve">Owner revenue is transactional and churns by design: someone opening one location buys once at $99.99, or subscribes for two or three months and leaves. That is the honest shape of this business at launch and it should not be disguised.</w:t>
      </w:r>
    </w:p>
    <w:p>
      <w:pPr>
        <w:pStyle w:val="BodyText"/>
      </w:pPr>
      <w:r>
        <w:t xml:space="preserve">It also means the initial model carries a structural weakness worth naming rather than hiding. The most expensive ongoing commitment in the product is the quarterly re-verification of the financing database and the cost benchmarks, and that cost recurs whether or not anyone buys anything that quarter. One-off purchases from a customer who by definition opens one business do not naturally fund recurring maintenance. The subscription tier helps and does not solve it, because subscribers churn once they have opened.</w:t>
      </w:r>
    </w:p>
    <w:p>
      <w:pPr>
        <w:pStyle w:val="BodyText"/>
      </w:pPr>
      <w:r>
        <w:t xml:space="preserve">Recurring institutional revenue is the structural answer, which is why section 5.5 treats it as the first commercial priority after launch rather than as an optional expansion. The launch model proves that owners will pay for the answer; it does not by itself prove the business is durable.</w:t>
      </w:r>
    </w:p>
    <w:bookmarkEnd w:id="42"/>
    <w:bookmarkStart w:id="43" w:name="future-commercial-development"/>
    <w:p>
      <w:pPr>
        <w:pStyle w:val="Heading2"/>
      </w:pPr>
      <w:r>
        <w:rPr>
          <w:bCs/>
          <w:b/>
        </w:rPr>
        <w:t xml:space="preserve">5.5 Future commercial development</w:t>
      </w:r>
    </w:p>
    <w:p>
      <w:pPr>
        <w:pStyle w:val="FirstParagraph"/>
      </w:pPr>
      <w:r>
        <w:t xml:space="preserve">These tiers are named here because the product is designed to support them and because the durability argument in 5.4 depends on them. None of them is in the initial scope, and the proposal does not count their revenue.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Tier</w:t>
            </w:r>
          </w:p>
        </w:tc>
        <w:tc>
          <w:tcPr/>
          <w:p>
            <w:pPr>
              <w:pStyle w:val="Compact"/>
              <w:jc w:val="left"/>
            </w:pPr>
            <w:r>
              <w:rPr>
                <w:bCs/>
                <w:b/>
              </w:rPr>
              <w:t xml:space="preserve">Who it would serve</w:t>
            </w:r>
          </w:p>
        </w:tc>
        <w:tc>
          <w:tcPr/>
          <w:p>
            <w:pPr>
              <w:pStyle w:val="Compact"/>
              <w:jc w:val="left"/>
            </w:pPr>
            <w:r>
              <w:rPr>
                <w:bCs/>
                <w:b/>
              </w:rPr>
              <w:t xml:space="preserve">Why it is deferred</w:t>
            </w:r>
          </w:p>
        </w:tc>
      </w:tr>
      <w:tr>
        <w:tc>
          <w:tcPr/>
          <w:p>
            <w:pPr>
              <w:pStyle w:val="Compact"/>
              <w:jc w:val="left"/>
            </w:pPr>
            <w:r>
              <w:rPr>
                <w:bCs/>
                <w:b/>
              </w:rPr>
              <w:t xml:space="preserve">Advisor seat</w:t>
            </w:r>
          </w:p>
        </w:tc>
        <w:tc>
          <w:tcPr/>
          <w:p>
            <w:pPr>
              <w:pStyle w:val="Compact"/>
              <w:jc w:val="left"/>
            </w:pPr>
            <w:r>
              <w:t xml:space="preserve">SBEC advisors, BIA staff, settlement caseworkers, brokers and franchise consultants running Groundwork on behalf of clients</w:t>
            </w:r>
          </w:p>
        </w:tc>
        <w:tc>
          <w:tcPr/>
          <w:p>
            <w:pPr>
              <w:pStyle w:val="Compact"/>
              <w:jc w:val="left"/>
            </w:pPr>
            <w:r>
              <w:t xml:space="preserve">Needs client session records, branded exports and cross-client comparison — a distinct product surface, not a permission flag on the owner product.</w:t>
            </w:r>
          </w:p>
        </w:tc>
      </w:tr>
      <w:tr>
        <w:tc>
          <w:tcPr/>
          <w:p>
            <w:pPr>
              <w:pStyle w:val="Compact"/>
              <w:jc w:val="left"/>
            </w:pPr>
            <w:r>
              <w:rPr>
                <w:bCs/>
                <w:b/>
              </w:rPr>
              <w:t xml:space="preserve">Territory licence</w:t>
            </w:r>
          </w:p>
        </w:tc>
        <w:tc>
          <w:tcPr/>
          <w:p>
            <w:pPr>
              <w:pStyle w:val="Compact"/>
              <w:jc w:val="left"/>
            </w:pPr>
            <w:r>
              <w:t xml:space="preserve">BIAs, municipalities, credit unions and franchise networks wanting catchment-level views</w:t>
            </w:r>
          </w:p>
        </w:tc>
        <w:tc>
          <w:tcPr/>
          <w:p>
            <w:pPr>
              <w:pStyle w:val="Compact"/>
              <w:jc w:val="left"/>
            </w:pPr>
            <w:r>
              <w:t xml:space="preserve">Needs aggregate demand reporting, vacancy matching and an API, plus a public-sector procurement cycle the launch timeline cannot absorb.</w:t>
            </w:r>
          </w:p>
        </w:tc>
      </w:tr>
      <w:tr>
        <w:tc>
          <w:tcPr/>
          <w:p>
            <w:pPr>
              <w:pStyle w:val="Compact"/>
              <w:jc w:val="left"/>
            </w:pPr>
            <w:r>
              <w:rPr>
                <w:bCs/>
                <w:b/>
              </w:rPr>
              <w:t xml:space="preserve">Sponsored access blocks</w:t>
            </w:r>
          </w:p>
        </w:tc>
        <w:tc>
          <w:tcPr/>
          <w:p>
            <w:pPr>
              <w:pStyle w:val="Compact"/>
              <w:jc w:val="left"/>
            </w:pPr>
            <w:r>
              <w:t xml:space="preserve">Institutions buying plans on behalf of lower-income owners, as described in 5.2</w:t>
            </w:r>
          </w:p>
        </w:tc>
        <w:tc>
          <w:tcPr/>
          <w:p>
            <w:pPr>
              <w:pStyle w:val="Compact"/>
              <w:jc w:val="left"/>
            </w:pPr>
            <w:r>
              <w:t xml:space="preserve">Depends on the institutional relationships the advisor and territory tiers create. It is the mechanism that answers the access problem, and it is the reason the institutional track matters beyond revenue.</w:t>
            </w:r>
          </w:p>
        </w:tc>
      </w:tr>
      <w:tr>
        <w:tc>
          <w:tcPr/>
          <w:p>
            <w:pPr>
              <w:pStyle w:val="Compact"/>
              <w:jc w:val="left"/>
            </w:pPr>
            <w:r>
              <w:rPr>
                <w:bCs/>
                <w:b/>
              </w:rPr>
              <w:t xml:space="preserve">White label</w:t>
            </w:r>
          </w:p>
        </w:tc>
        <w:tc>
          <w:tcPr/>
          <w:p>
            <w:pPr>
              <w:pStyle w:val="Compact"/>
              <w:jc w:val="left"/>
            </w:pPr>
            <w:r>
              <w:t xml:space="preserve">Economic development agencies and commercial real estate</w:t>
            </w:r>
          </w:p>
        </w:tc>
        <w:tc>
          <w:tcPr/>
          <w:p>
            <w:pPr>
              <w:pStyle w:val="Compact"/>
              <w:jc w:val="left"/>
            </w:pPr>
            <w:r>
              <w:t xml:space="preserve">Requires the scoring API and a second-city data load before it means anything.</w:t>
            </w:r>
          </w:p>
        </w:tc>
      </w:tr>
    </w:tbl>
    <w:p>
      <w:pPr>
        <w:pStyle w:val="BodyText"/>
      </w:pPr>
      <w:r>
        <w:t xml:space="preserve">The sequence matters. Advisor seats are the way in, because a seat is a single approval rather than a budget cycle, and because advisors are already doing this work by hand. Territory licences and sponsored access follow from those relationships.</w:t>
      </w:r>
    </w:p>
    <w:bookmarkEnd w:id="43"/>
    <w:bookmarkEnd w:id="44"/>
    <w:bookmarkStart w:id="45" w:name="technical-approach"/>
    <w:p>
      <w:pPr>
        <w:pStyle w:val="Heading1"/>
      </w:pPr>
      <w:r>
        <w:rPr>
          <w:bCs/>
          <w:b/>
        </w:rPr>
        <w:t xml:space="preserve">6. Technical approach</w:t>
      </w:r>
    </w:p>
    <w:p>
      <w:pPr>
        <w:pStyle w:val="FirstParagraph"/>
      </w:pPr>
      <w:r>
        <w:t xml:space="preserve">The build is deliberately conventional. Nothing here is research; all of it is assembly.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Choice</w:t>
            </w:r>
          </w:p>
        </w:tc>
        <w:tc>
          <w:tcPr/>
          <w:p>
            <w:pPr>
              <w:pStyle w:val="Compact"/>
              <w:jc w:val="left"/>
            </w:pPr>
            <w:r>
              <w:rPr>
                <w:bCs/>
                <w:b/>
              </w:rPr>
              <w:t xml:space="preserve">Why</w:t>
            </w:r>
          </w:p>
        </w:tc>
      </w:tr>
      <w:tr>
        <w:tc>
          <w:tcPr/>
          <w:p>
            <w:pPr>
              <w:pStyle w:val="Compact"/>
              <w:jc w:val="left"/>
            </w:pPr>
            <w:r>
              <w:rPr>
                <w:bCs/>
                <w:b/>
              </w:rPr>
              <w:t xml:space="preserve">Front end</w:t>
            </w:r>
          </w:p>
        </w:tc>
        <w:tc>
          <w:tcPr/>
          <w:p>
            <w:pPr>
              <w:pStyle w:val="Compact"/>
              <w:jc w:val="left"/>
            </w:pPr>
            <w:r>
              <w:t xml:space="preserve">React and TypeScript, inline SVG for the map layer, static hosting on S3 behind CloudFront</w:t>
            </w:r>
          </w:p>
        </w:tc>
        <w:tc>
          <w:tcPr/>
          <w:p>
            <w:pPr>
              <w:pStyle w:val="Compact"/>
              <w:jc w:val="left"/>
            </w:pPr>
            <w:r>
              <w:t xml:space="preserve">The working prototype renders every Toronto neighbourhood as inline SVG with no map library and no tile server, which removes the API-key and watermark problem at the root. Leaflet or MapLibre remain available if a raster basemap is wanted later; neither is required for the map to work.</w:t>
            </w:r>
          </w:p>
        </w:tc>
      </w:tr>
      <w:tr>
        <w:tc>
          <w:tcPr/>
          <w:p>
            <w:pPr>
              <w:pStyle w:val="Compact"/>
              <w:jc w:val="left"/>
            </w:pPr>
            <w:r>
              <w:rPr>
                <w:bCs/>
                <w:b/>
              </w:rPr>
              <w:t xml:space="preserve">API</w:t>
            </w:r>
          </w:p>
        </w:tc>
        <w:tc>
          <w:tcPr/>
          <w:p>
            <w:pPr>
              <w:pStyle w:val="Compact"/>
              <w:jc w:val="left"/>
            </w:pPr>
            <w:r>
              <w:t xml:space="preserve">Node and Express on AWS Lambda behind API Gateway</w:t>
            </w:r>
          </w:p>
        </w:tc>
        <w:tc>
          <w:tcPr/>
          <w:p>
            <w:pPr>
              <w:pStyle w:val="Compact"/>
              <w:jc w:val="left"/>
            </w:pPr>
            <w:r>
              <w:t xml:space="preserve">Scoring and eligibility requests are short, stateless and bursty.</w:t>
            </w:r>
          </w:p>
        </w:tc>
      </w:tr>
      <w:tr>
        <w:tc>
          <w:tcPr/>
          <w:p>
            <w:pPr>
              <w:pStyle w:val="Compact"/>
              <w:jc w:val="left"/>
            </w:pPr>
            <w:r>
              <w:rPr>
                <w:bCs/>
                <w:b/>
              </w:rPr>
              <w:t xml:space="preserve">Data store</w:t>
            </w:r>
          </w:p>
        </w:tc>
        <w:tc>
          <w:tcPr/>
          <w:p>
            <w:pPr>
              <w:pStyle w:val="Compact"/>
              <w:jc w:val="left"/>
            </w:pPr>
            <w:r>
              <w:t xml:space="preserve">PostgreSQL with PostGIS on Amazon RDS</w:t>
            </w:r>
          </w:p>
        </w:tc>
        <w:tc>
          <w:tcPr/>
          <w:p>
            <w:pPr>
              <w:pStyle w:val="Compact"/>
              <w:jc w:val="left"/>
            </w:pPr>
            <w:r>
              <w:t xml:space="preserve">Boundary geometry, census attributes, cached competitor counts and the financing program table. PostGIS matters: spatial joins between dissemination areas and business points are the core query.</w:t>
            </w:r>
          </w:p>
        </w:tc>
      </w:tr>
      <w:tr>
        <w:tc>
          <w:tcPr/>
          <w:p>
            <w:pPr>
              <w:pStyle w:val="Compact"/>
              <w:jc w:val="left"/>
            </w:pPr>
            <w:r>
              <w:rPr>
                <w:bCs/>
                <w:b/>
              </w:rPr>
              <w:t xml:space="preserve">Census data</w:t>
            </w:r>
          </w:p>
        </w:tc>
        <w:tc>
          <w:tcPr/>
          <w:p>
            <w:pPr>
              <w:pStyle w:val="Compact"/>
              <w:jc w:val="left"/>
            </w:pPr>
            <w:r>
              <w:t xml:space="preserve">2021 Census boundary files and Census Profile at the dissemination-area level</w:t>
            </w:r>
          </w:p>
        </w:tc>
        <w:tc>
          <w:tcPr/>
          <w:p>
            <w:pPr>
              <w:pStyle w:val="Compact"/>
              <w:jc w:val="left"/>
            </w:pPr>
            <w:r>
              <w:t xml:space="preserve">Free, authoritative, and finer than any global product carries for Toronto.</w:t>
            </w:r>
          </w:p>
        </w:tc>
      </w:tr>
      <w:tr>
        <w:tc>
          <w:tcPr/>
          <w:p>
            <w:pPr>
              <w:pStyle w:val="Compact"/>
              <w:jc w:val="left"/>
            </w:pPr>
            <w:r>
              <w:rPr>
                <w:bCs/>
                <w:b/>
              </w:rPr>
              <w:t xml:space="preserve">Competitor data</w:t>
            </w:r>
          </w:p>
        </w:tc>
        <w:tc>
          <w:tcPr/>
          <w:p>
            <w:pPr>
              <w:pStyle w:val="Compact"/>
              <w:jc w:val="left"/>
            </w:pPr>
            <w:r>
              <w:t xml:space="preserve">OpenStreetMap extract, refreshed on a schedule, restricted to well-mapped categories</w:t>
            </w:r>
          </w:p>
        </w:tc>
        <w:tc>
          <w:tcPr/>
          <w:p>
            <w:pPr>
              <w:pStyle w:val="Compact"/>
              <w:jc w:val="left"/>
            </w:pPr>
            <w:r>
              <w:t xml:space="preserve">Free and auditable. Coverage limitations are handled in section 8.</w:t>
            </w:r>
          </w:p>
        </w:tc>
      </w:tr>
      <w:tr>
        <w:tc>
          <w:tcPr/>
          <w:p>
            <w:pPr>
              <w:pStyle w:val="Compact"/>
              <w:jc w:val="left"/>
            </w:pPr>
            <w:r>
              <w:rPr>
                <w:bCs/>
                <w:b/>
              </w:rPr>
              <w:t xml:space="preserve">Cost benchmarks</w:t>
            </w:r>
          </w:p>
        </w:tc>
        <w:tc>
          <w:tcPr/>
          <w:p>
            <w:pPr>
              <w:pStyle w:val="Compact"/>
              <w:jc w:val="left"/>
            </w:pPr>
            <w:r>
              <w:t xml:space="preserve">Curated benchmark table by cost category and business format, each row carrying its source, vintage, geography and a stated range rather than a point value</w:t>
            </w:r>
          </w:p>
        </w:tc>
        <w:tc>
          <w:tcPr/>
          <w:p>
            <w:pPr>
              <w:pStyle w:val="Compact"/>
              <w:jc w:val="left"/>
            </w:pPr>
            <w:r>
              <w:t xml:space="preserve">The same discipline as the financing table. A benchmark with no defensible source becomes an owner-input field instead of an invented number.</w:t>
            </w:r>
          </w:p>
        </w:tc>
      </w:tr>
      <w:tr>
        <w:tc>
          <w:tcPr/>
          <w:p>
            <w:pPr>
              <w:pStyle w:val="Compact"/>
              <w:jc w:val="left"/>
            </w:pPr>
            <w:r>
              <w:rPr>
                <w:bCs/>
                <w:b/>
              </w:rPr>
              <w:t xml:space="preserve">Accounts and profiles</w:t>
            </w:r>
          </w:p>
        </w:tc>
        <w:tc>
          <w:tcPr/>
          <w:p>
            <w:pPr>
              <w:pStyle w:val="Compact"/>
              <w:jc w:val="left"/>
            </w:pPr>
            <w:r>
              <w:t xml:space="preserve">Email-and-password accounts with the profile stored server-side, Stripe for payment</w:t>
            </w:r>
          </w:p>
        </w:tc>
        <w:tc>
          <w:tcPr/>
          <w:p>
            <w:pPr>
              <w:pStyle w:val="Compact"/>
              <w:jc w:val="left"/>
            </w:pPr>
            <w:r>
              <w:t xml:space="preserve">Promoted into the week-one build because the profile is now the spine of the product rather than a convenience.</w:t>
            </w:r>
          </w:p>
        </w:tc>
      </w:tr>
      <w:tr>
        <w:tc>
          <w:tcPr/>
          <w:p>
            <w:pPr>
              <w:pStyle w:val="Compact"/>
              <w:jc w:val="left"/>
            </w:pPr>
            <w:r>
              <w:rPr>
                <w:bCs/>
                <w:b/>
              </w:rPr>
              <w:t xml:space="preserve">Plan generation</w:t>
            </w:r>
          </w:p>
        </w:tc>
        <w:tc>
          <w:tcPr/>
          <w:p>
            <w:pPr>
              <w:pStyle w:val="Compact"/>
              <w:jc w:val="left"/>
            </w:pPr>
            <w:r>
              <w:t xml:space="preserve">Server-side document assembly to PDF from computed values, with a template per section</w:t>
            </w:r>
          </w:p>
        </w:tc>
        <w:tc>
          <w:tcPr/>
          <w:p>
            <w:pPr>
              <w:pStyle w:val="Compact"/>
              <w:jc w:val="left"/>
            </w:pPr>
            <w:r>
              <w:t xml:space="preserve">The plan is assembled from figures already calculated. No figure originates at the generation step.</w:t>
            </w:r>
          </w:p>
        </w:tc>
      </w:tr>
      <w:tr>
        <w:tc>
          <w:tcPr/>
          <w:p>
            <w:pPr>
              <w:pStyle w:val="Compact"/>
              <w:jc w:val="left"/>
            </w:pPr>
            <w:r>
              <w:rPr>
                <w:bCs/>
                <w:b/>
              </w:rPr>
              <w:t xml:space="preserve">Financing rules</w:t>
            </w:r>
          </w:p>
        </w:tc>
        <w:tc>
          <w:tcPr/>
          <w:p>
            <w:pPr>
              <w:pStyle w:val="Compact"/>
              <w:jc w:val="left"/>
            </w:pPr>
            <w:r>
              <w:t xml:space="preserve">Hand-curated program table with structured eligibility predicates, versioned, with a source URL and last-verified date on every row</w:t>
            </w:r>
          </w:p>
        </w:tc>
        <w:tc>
          <w:tcPr/>
          <w:p>
            <w:pPr>
              <w:pStyle w:val="Compact"/>
              <w:jc w:val="left"/>
            </w:pPr>
            <w:r>
              <w:t xml:space="preserve">Deterministic and inspectable. No model is asked to decide eligibility.</w:t>
            </w:r>
          </w:p>
        </w:tc>
      </w:tr>
      <w:tr>
        <w:tc>
          <w:tcPr/>
          <w:p>
            <w:pPr>
              <w:pStyle w:val="Compact"/>
              <w:jc w:val="left"/>
            </w:pPr>
            <w:r>
              <w:rPr>
                <w:bCs/>
                <w:b/>
              </w:rPr>
              <w:t xml:space="preserve">Language generation</w:t>
            </w:r>
          </w:p>
        </w:tc>
        <w:tc>
          <w:tcPr/>
          <w:p>
            <w:pPr>
              <w:pStyle w:val="Compact"/>
              <w:jc w:val="left"/>
            </w:pPr>
            <w:r>
              <w:t xml:space="preserve">A language model used only to render already-computed results into prose</w:t>
            </w:r>
          </w:p>
        </w:tc>
        <w:tc>
          <w:tcPr/>
          <w:p>
            <w:pPr>
              <w:pStyle w:val="Compact"/>
              <w:jc w:val="left"/>
            </w:pPr>
            <w:r>
              <w:t xml:space="preserve">Explanations must be readable. Figures must not be invented. These are separated by design.</w:t>
            </w:r>
          </w:p>
        </w:tc>
      </w:tr>
    </w:tbl>
    <w:p>
      <w:pPr>
        <w:pStyle w:val="BodyText"/>
      </w:pPr>
      <w:r>
        <w:t xml:space="preserve">Two engineering notes worth stating in the pitch. First, the prototype ships its boundary data with the page rather than fetching it at load, which is the pre-downloaded option of the two an earlier draft weighed. The same choice returns at dissemination-area resolution, where the file is larger: ship it or proxy Statistics Canada server-side, but do not leave the application depending on a third-party endpoint’s availability and CORS policy at page load. Second, all scoring is deterministic: the same inputs produce the same score every time, which is a requirement for a tool that institutions will put their name on.</w:t>
      </w:r>
    </w:p>
    <w:bookmarkEnd w:id="45"/>
    <w:bookmarkStart w:id="48" w:name="scope"/>
    <w:p>
      <w:pPr>
        <w:pStyle w:val="Heading1"/>
      </w:pPr>
      <w:r>
        <w:rPr>
          <w:bCs/>
          <w:b/>
        </w:rPr>
        <w:t xml:space="preserve">7. Scope</w:t>
      </w:r>
    </w:p>
    <w:p>
      <w:pPr>
        <w:pStyle w:val="FirstParagraph"/>
      </w:pPr>
      <w:r>
        <w:t xml:space="preserve">The assumed budget is $100,000 CAD, but the actual build window is one week with Claude Code. Scope is therefore set by the week, not by the budget. The budget breakdown in the pitch pack covers the twelve-month path; this section covers what exists at the end of week one. The Feature Plan and Build Sequence document carries the same list with effort estimates, the day-by-day order, and the cut list if the week runs short.</w:t>
      </w:r>
    </w:p>
    <w:bookmarkStart w:id="46" w:name="in-scope-for-the-one-week-build"/>
    <w:p>
      <w:pPr>
        <w:pStyle w:val="Heading2"/>
      </w:pPr>
      <w:r>
        <w:rPr>
          <w:bCs/>
          <w:b/>
        </w:rPr>
        <w:t xml:space="preserve">In scope for the one-week build</w:t>
      </w:r>
    </w:p>
    <w:p>
      <w:pPr>
        <w:numPr>
          <w:ilvl w:val="0"/>
          <w:numId w:val="1009"/>
        </w:numPr>
      </w:pPr>
      <w:r>
        <w:t xml:space="preserve">Toronto only. Dissemination-area resolution is the production target. The prototype demonstrates the whole flow at neighbourhood resolution, 140 areas, because those boundaries ship with the page and need no live service; the scoring method is identical at either resolution.</w:t>
      </w:r>
    </w:p>
    <w:p>
      <w:pPr>
        <w:numPr>
          <w:ilvl w:val="0"/>
          <w:numId w:val="1009"/>
        </w:numPr>
      </w:pPr>
      <w:r>
        <w:t xml:space="preserve">Sixteen business formats plus a free-text option, so an owner opening something outside the list is not turned away. Six carry hand-built cost tables; the rest are scored identically and take their cost benchmark from the closest benchmarked format, scaled, with that stated on the screen. Open-data coverage quality is disclosed per category rather than used to shorten the list.</w:t>
      </w:r>
    </w:p>
    <w:p>
      <w:pPr>
        <w:numPr>
          <w:ilvl w:val="0"/>
          <w:numId w:val="1009"/>
        </w:numPr>
      </w:pPr>
      <w:r>
        <w:t xml:space="preserve">Four census demand signals: population density, household income, age profile, daytime population</w:t>
      </w:r>
    </w:p>
    <w:p>
      <w:pPr>
        <w:numPr>
          <w:ilvl w:val="0"/>
          <w:numId w:val="1009"/>
        </w:numPr>
      </w:pPr>
      <w:r>
        <w:t xml:space="preserve">Competitor counts per category per area from OpenStreetMap</w:t>
      </w:r>
    </w:p>
    <w:p>
      <w:pPr>
        <w:numPr>
          <w:ilvl w:val="0"/>
          <w:numId w:val="1009"/>
        </w:numPr>
      </w:pPr>
      <w:r>
        <w:t xml:space="preserve">Interactive map with colour-coded scoring and a per-area detail panel</w:t>
      </w:r>
    </w:p>
    <w:p>
      <w:pPr>
        <w:numPr>
          <w:ilvl w:val="0"/>
          <w:numId w:val="1009"/>
        </w:numPr>
      </w:pPr>
      <w:r>
        <w:t xml:space="preserve">Financing eligibility questionnaire and rules engine over an initial database of fifteen to twenty programs across the three levels of government. The prototype currently carries fourteen, five of them showing a needs-re-check stamp rather than a verified date, which is the disclosure working as intended</w:t>
      </w:r>
    </w:p>
    <w:p>
      <w:pPr>
        <w:numPr>
          <w:ilvl w:val="0"/>
          <w:numId w:val="1009"/>
        </w:numPr>
      </w:pPr>
      <w:r>
        <w:rPr>
          <w:bCs/>
          <w:b/>
        </w:rPr>
        <w:t xml:space="preserve">Owner profile and accounts. </w:t>
      </w:r>
      <w:r>
        <w:t xml:space="preserve">Required, because the profile drives every subsequent stage. Free to complete, along with three scored areas, with the paywall sitting after them rather than at the front door.</w:t>
      </w:r>
    </w:p>
    <w:p>
      <w:pPr>
        <w:numPr>
          <w:ilvl w:val="0"/>
          <w:numId w:val="1009"/>
        </w:numPr>
      </w:pPr>
      <w:r>
        <w:rPr>
          <w:bCs/>
          <w:b/>
        </w:rPr>
        <w:t xml:space="preserve">Site comparison with a locked second slot. </w:t>
      </w:r>
      <w:r>
        <w:t xml:space="preserve">The comparison view is where the subscription is sold, so its locked state is a designed screen in week one rather than a modal added later.</w:t>
      </w:r>
    </w:p>
    <w:p>
      <w:pPr>
        <w:numPr>
          <w:ilvl w:val="0"/>
          <w:numId w:val="1009"/>
        </w:numPr>
      </w:pPr>
      <w:r>
        <w:rPr>
          <w:bCs/>
          <w:b/>
        </w:rPr>
        <w:t xml:space="preserve">Startup cost estimator </w:t>
      </w:r>
      <w:r>
        <w:t xml:space="preserve">across the line-item categories in section 3.3, with ranges, stated sources, owner override on every line, and owner-input fields wherever no defensible benchmark exists</w:t>
      </w:r>
    </w:p>
    <w:p>
      <w:pPr>
        <w:numPr>
          <w:ilvl w:val="0"/>
          <w:numId w:val="1009"/>
        </w:numPr>
      </w:pPr>
      <w:r>
        <w:t xml:space="preserve">Capital stack view and sequenced action list, with the capital gap computed from the cost model rather than from a self-reported guess</w:t>
      </w:r>
    </w:p>
    <w:p>
      <w:pPr>
        <w:numPr>
          <w:ilvl w:val="0"/>
          <w:numId w:val="1009"/>
        </w:numPr>
      </w:pPr>
      <w:r>
        <w:rPr>
          <w:bCs/>
          <w:b/>
        </w:rPr>
        <w:t xml:space="preserve">Business plan assembly and PDF export</w:t>
      </w:r>
      <w:r>
        <w:t xml:space="preserve">, including the revenue assumptions worksheet the owner completes themselves</w:t>
      </w:r>
    </w:p>
    <w:p>
      <w:pPr>
        <w:numPr>
          <w:ilvl w:val="0"/>
          <w:numId w:val="1009"/>
        </w:numPr>
      </w:pPr>
      <w:r>
        <w:t xml:space="preserve">Plain-language explanation at every stage</w:t>
      </w:r>
    </w:p>
    <w:p>
      <w:pPr>
        <w:numPr>
          <w:ilvl w:val="0"/>
          <w:numId w:val="1009"/>
        </w:numPr>
      </w:pPr>
      <w:r>
        <w:t xml:space="preserve">Source URL and last-verified date shown in the interface on every financing record</w:t>
      </w:r>
    </w:p>
    <w:p>
      <w:pPr>
        <w:numPr>
          <w:ilvl w:val="0"/>
          <w:numId w:val="1009"/>
        </w:numPr>
      </w:pPr>
      <w:r>
        <w:t xml:space="preserve">Data vintage and per-category competitor coverage disclosed in the interface</w:t>
      </w:r>
    </w:p>
    <w:p>
      <w:pPr>
        <w:numPr>
          <w:ilvl w:val="0"/>
          <w:numId w:val="1009"/>
        </w:numPr>
      </w:pPr>
      <w:r>
        <w:rPr>
          <w:bCs/>
          <w:b/>
        </w:rPr>
        <w:t xml:space="preserve">Exportable one-page summary. </w:t>
      </w:r>
      <w:r>
        <w:t xml:space="preserve">The short form of the plan, for owners who want the condensed version alongside the full document.</w:t>
      </w:r>
    </w:p>
    <w:bookmarkEnd w:id="46"/>
    <w:bookmarkStart w:id="47" w:name="explicitly-out-of-scope-and-why"/>
    <w:p>
      <w:pPr>
        <w:pStyle w:val="Heading2"/>
      </w:pPr>
      <w:r>
        <w:rPr>
          <w:bCs/>
          <w:b/>
        </w:rPr>
        <w:t xml:space="preserve">Explicitly out of scope, and why</w:t>
      </w:r>
    </w:p>
    <w:p>
      <w:pPr>
        <w:numPr>
          <w:ilvl w:val="0"/>
          <w:numId w:val="1010"/>
        </w:numPr>
      </w:pPr>
      <w:r>
        <w:rPr>
          <w:bCs/>
          <w:b/>
        </w:rPr>
        <w:t xml:space="preserve">Foot-traffic data. </w:t>
      </w:r>
      <w:r>
        <w:t xml:space="preserve">Requires commercial licensing. This is a genuine capability gap against Placer.ai and Sitewise and should be conceded openly.</w:t>
      </w:r>
    </w:p>
    <w:p>
      <w:pPr>
        <w:numPr>
          <w:ilvl w:val="0"/>
          <w:numId w:val="1010"/>
        </w:numPr>
      </w:pPr>
      <w:r>
        <w:rPr>
          <w:bCs/>
          <w:b/>
        </w:rPr>
        <w:t xml:space="preserve">Rent and lease availability. </w:t>
      </w:r>
      <w:r>
        <w:t xml:space="preserve">No free authoritative feed exists. A future partnership with a brokerage is the realistic route.</w:t>
      </w:r>
    </w:p>
    <w:p>
      <w:pPr>
        <w:numPr>
          <w:ilvl w:val="0"/>
          <w:numId w:val="1010"/>
        </w:numPr>
      </w:pPr>
      <w:r>
        <w:rPr>
          <w:bCs/>
          <w:b/>
        </w:rPr>
        <w:t xml:space="preserve">Revenue forecasting. </w:t>
      </w:r>
      <w:r>
        <w:t xml:space="preserve">Would require location performance data the product does not have. Presenting a forecast without it would be the single most damaging thing this tool could do.</w:t>
      </w:r>
    </w:p>
    <w:p>
      <w:pPr>
        <w:numPr>
          <w:ilvl w:val="0"/>
          <w:numId w:val="1010"/>
        </w:numPr>
      </w:pPr>
      <w:r>
        <w:rPr>
          <w:bCs/>
          <w:b/>
        </w:rPr>
        <w:t xml:space="preserve">Application submission. </w:t>
      </w:r>
      <w:r>
        <w:t xml:space="preserve">Groundwork tells the owner what to apply for and where. It does not submit on their behalf, which would create liability and regulatory exposure.</w:t>
      </w:r>
    </w:p>
    <w:p>
      <w:pPr>
        <w:numPr>
          <w:ilvl w:val="0"/>
          <w:numId w:val="1010"/>
        </w:numPr>
      </w:pPr>
      <w:r>
        <w:rPr>
          <w:bCs/>
          <w:b/>
        </w:rPr>
        <w:t xml:space="preserve">Multi-city coverage. </w:t>
      </w:r>
      <w:r>
        <w:t xml:space="preserve">Toronto only in week one. The architecture is city-agnostic, but the municipal financing layer and the cost benchmarks are not.</w:t>
      </w:r>
    </w:p>
    <w:p>
      <w:pPr>
        <w:numPr>
          <w:ilvl w:val="0"/>
          <w:numId w:val="1010"/>
        </w:numPr>
      </w:pPr>
      <w:r>
        <w:rPr>
          <w:bCs/>
          <w:b/>
        </w:rPr>
        <w:t xml:space="preserve">Automated rent and lease-cost lookup. </w:t>
      </w:r>
      <w:r>
        <w:t xml:space="preserve">The cost model’s rent line scales to the selected area using published market data, but it does not know what any specific unit is listed at. That line is an owner-override field by design.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 NOTE ON THE EXPANDED SCOPE</w:t>
            </w:r>
            <w:r>
              <w:t xml:space="preserve"> This is materially more than the previous scope, and it is worth being direct about that. Accounts, payment, a cost model and document generation were all previously deferred to week two, and they are now week-one requirements because the product does not work without them. The Feature Plan and Build Sequence document needs to be re-sequenced against this before the build starts, and the realistic outcome is that the six launch categories narrow, the financing database launches nearer fifteen programs than twenty, or side-by-side comparison slips to a fast follow. Which of those gets cut is a decision to take deliberately rather than discover on day six.</w:t>
            </w:r>
          </w:p>
        </w:tc>
      </w:tr>
    </w:tbl>
    <w:bookmarkEnd w:id="47"/>
    <w:bookmarkEnd w:id="48"/>
    <w:bookmarkStart w:id="49" w:name="risks-and-mitigations"/>
    <w:p>
      <w:pPr>
        <w:pStyle w:val="Heading1"/>
      </w:pPr>
      <w:r>
        <w:rPr>
          <w:bCs/>
          <w:b/>
        </w:rPr>
        <w:t xml:space="preserve">8. Risks and mitigations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Risk</w:t>
            </w:r>
          </w:p>
        </w:tc>
        <w:tc>
          <w:tcPr/>
          <w:p>
            <w:pPr>
              <w:pStyle w:val="Compact"/>
              <w:jc w:val="left"/>
            </w:pPr>
            <w:r>
              <w:rPr>
                <w:bCs/>
                <w:b/>
              </w:rPr>
              <w:t xml:space="preserve">Assessment</w:t>
            </w:r>
          </w:p>
        </w:tc>
        <w:tc>
          <w:tcPr/>
          <w:p>
            <w:pPr>
              <w:pStyle w:val="Compact"/>
              <w:jc w:val="left"/>
            </w:pPr>
            <w:r>
              <w:rPr>
                <w:bCs/>
                <w:b/>
              </w:rPr>
              <w:t xml:space="preserve">Mitigation</w:t>
            </w:r>
          </w:p>
        </w:tc>
      </w:tr>
      <w:tr>
        <w:tc>
          <w:tcPr/>
          <w:p>
            <w:pPr>
              <w:pStyle w:val="Compact"/>
              <w:jc w:val="left"/>
            </w:pPr>
            <w:r>
              <w:rPr>
                <w:bCs/>
                <w:b/>
              </w:rPr>
              <w:t xml:space="preserve">Financing information goes stale and misleads someone</w:t>
            </w:r>
          </w:p>
        </w:tc>
        <w:tc>
          <w:tcPr/>
          <w:p>
            <w:pPr>
              <w:pStyle w:val="Compact"/>
              <w:jc w:val="left"/>
            </w:pPr>
            <w:r>
              <w:t xml:space="preserve">Highest-severity risk in the product. Program ceilings, intake windows and rates change without notice, and a wrong answer here costs the user money and costs an institutional customer its credibility.</w:t>
            </w:r>
          </w:p>
        </w:tc>
        <w:tc>
          <w:tcPr/>
          <w:p>
            <w:pPr>
              <w:pStyle w:val="Compact"/>
              <w:jc w:val="left"/>
            </w:pPr>
            <w:r>
              <w:t xml:space="preserve">Every program row carries a source URL and a last-verified date, both shown in the interface. Anything unverified for 90 days is flagged in-product. Output is framed as a conversation starter, never a pre-approval. A quarterly verification pass is a funded line item, not a volunteer task.</w:t>
            </w:r>
          </w:p>
        </w:tc>
      </w:tr>
      <w:tr>
        <w:tc>
          <w:tcPr/>
          <w:p>
            <w:pPr>
              <w:pStyle w:val="Compact"/>
              <w:jc w:val="left"/>
            </w:pPr>
            <w:r>
              <w:rPr>
                <w:bCs/>
                <w:b/>
              </w:rPr>
              <w:t xml:space="preserve">A cost estimate is treated as a quote</w:t>
            </w:r>
          </w:p>
        </w:tc>
        <w:tc>
          <w:tcPr/>
          <w:p>
            <w:pPr>
              <w:pStyle w:val="Compact"/>
              <w:jc w:val="left"/>
            </w:pPr>
            <w:r>
              <w:t xml:space="preserve">New with this scope and second only to the financing risk in severity. An owner who budgets a fit-out against our midpoint and finds the real cost at the top of the range has been actively harmed by the product.</w:t>
            </w:r>
          </w:p>
        </w:tc>
        <w:tc>
          <w:tcPr/>
          <w:p>
            <w:pPr>
              <w:pStyle w:val="Compact"/>
              <w:jc w:val="left"/>
            </w:pPr>
            <w:r>
              <w:t xml:space="preserve">Every line is a range with its basis shown, never a point estimate. Lines with no defensible published benchmark are owner-input fields rather than filled with a plausible figure. The plan document labels owner-supplied figures distinctly from sourced ones throughout, and the total carries a stated confidence band. The product never uses the word quote.</w:t>
            </w:r>
          </w:p>
        </w:tc>
      </w:tr>
      <w:tr>
        <w:tc>
          <w:tcPr/>
          <w:p>
            <w:pPr>
              <w:pStyle w:val="Compact"/>
              <w:jc w:val="left"/>
            </w:pPr>
            <w:r>
              <w:rPr>
                <w:bCs/>
                <w:b/>
              </w:rPr>
              <w:t xml:space="preserve">The plan document carries more authority than its inputs deserve</w:t>
            </w:r>
          </w:p>
        </w:tc>
        <w:tc>
          <w:tcPr/>
          <w:p>
            <w:pPr>
              <w:pStyle w:val="Compact"/>
              <w:jc w:val="left"/>
            </w:pPr>
            <w:r>
              <w:t xml:space="preserve">A formatted PDF with a logo on it reads as more authoritative than a screen full of caveats, and it will be handed to lenders who did not see those caveats.</w:t>
            </w:r>
          </w:p>
        </w:tc>
        <w:tc>
          <w:tcPr/>
          <w:p>
            <w:pPr>
              <w:pStyle w:val="Compact"/>
              <w:jc w:val="left"/>
            </w:pPr>
            <w:r>
              <w:t xml:space="preserve">Caveats, vintages and confidence bands travel with the figures into the document rather than being stripped for presentation. The assumptions and sources section is part of the plan, not an appendix that can be deleted. Owner-supplied figures stay marked in the export.</w:t>
            </w:r>
          </w:p>
        </w:tc>
      </w:tr>
      <w:tr>
        <w:tc>
          <w:tcPr/>
          <w:p>
            <w:pPr>
              <w:pStyle w:val="Compact"/>
              <w:jc w:val="left"/>
            </w:pPr>
            <w:r>
              <w:rPr>
                <w:bCs/>
                <w:b/>
              </w:rPr>
              <w:t xml:space="preserve">Open mapping data has uneven category coverage</w:t>
            </w:r>
          </w:p>
        </w:tc>
        <w:tc>
          <w:tcPr/>
          <w:p>
            <w:pPr>
              <w:pStyle w:val="Compact"/>
              <w:jc w:val="left"/>
            </w:pPr>
            <w:r>
              <w:t xml:space="preserve">Real and well documented. If competitor coverage is thin for a category, a saturated area can look underserved — the exact opposite of the truth, and the most dangerous failure mode for the map.</w:t>
            </w:r>
          </w:p>
        </w:tc>
        <w:tc>
          <w:tcPr/>
          <w:p>
            <w:pPr>
              <w:pStyle w:val="Compact"/>
              <w:jc w:val="left"/>
            </w:pPr>
            <w:r>
              <w:t xml:space="preserve">Validate coverage against a hand-counted sample of Toronto streets before launch. Restrict the launch category list to types that pass. Display a coverage confidence indicator per category rather than hiding the uncertainty.</w:t>
            </w:r>
          </w:p>
        </w:tc>
      </w:tr>
      <w:tr>
        <w:tc>
          <w:tcPr/>
          <w:p>
            <w:pPr>
              <w:pStyle w:val="Compact"/>
              <w:jc w:val="left"/>
            </w:pPr>
            <w:r>
              <w:rPr>
                <w:bCs/>
                <w:b/>
              </w:rPr>
              <w:t xml:space="preserve">Census vintage</w:t>
            </w:r>
          </w:p>
        </w:tc>
        <w:tc>
          <w:tcPr/>
          <w:p>
            <w:pPr>
              <w:pStyle w:val="Compact"/>
              <w:jc w:val="left"/>
            </w:pPr>
            <w:r>
              <w:t xml:space="preserve">2021 is the most recent published census; the 2026 collection is not yet released. Toronto neighbourhoods have changed materially since 2021.</w:t>
            </w:r>
          </w:p>
        </w:tc>
        <w:tc>
          <w:tcPr/>
          <w:p>
            <w:pPr>
              <w:pStyle w:val="Compact"/>
              <w:jc w:val="left"/>
            </w:pPr>
            <w:r>
              <w:t xml:space="preserve">State the vintage in the interface. Every competitor works from the same census. Where possible, cross-check against more recent StatCan population estimates at a coarser geography and note divergence.</w:t>
            </w:r>
          </w:p>
        </w:tc>
      </w:tr>
      <w:tr>
        <w:tc>
          <w:tcPr/>
          <w:p>
            <w:pPr>
              <w:pStyle w:val="Compact"/>
              <w:jc w:val="left"/>
            </w:pPr>
            <w:r>
              <w:rPr>
                <w:bCs/>
                <w:b/>
              </w:rPr>
              <w:t xml:space="preserve">Interpretation risk</w:t>
            </w:r>
          </w:p>
        </w:tc>
        <w:tc>
          <w:tcPr/>
          <w:p>
            <w:pPr>
              <w:pStyle w:val="Compact"/>
              <w:jc w:val="left"/>
            </w:pPr>
            <w:r>
              <w:t xml:space="preserve">A confident-looking score could be over-trusted for a decision worth hundreds of thousands of dollars.</w:t>
            </w:r>
          </w:p>
        </w:tc>
        <w:tc>
          <w:tcPr/>
          <w:p>
            <w:pPr>
              <w:pStyle w:val="Compact"/>
              <w:jc w:val="left"/>
            </w:pPr>
            <w:r>
              <w:t xml:space="preserve">Show component signals, name limitations in the interface, and frame output as a shortlist requiring in-person verification. Resist adding a single headline number without its breakdown.</w:t>
            </w:r>
          </w:p>
        </w:tc>
      </w:tr>
      <w:tr>
        <w:tc>
          <w:tcPr/>
          <w:p>
            <w:pPr>
              <w:pStyle w:val="Compact"/>
              <w:jc w:val="left"/>
            </w:pPr>
            <w:r>
              <w:rPr>
                <w:bCs/>
                <w:b/>
              </w:rPr>
              <w:t xml:space="preserve">Incumbent response</w:t>
            </w:r>
          </w:p>
        </w:tc>
        <w:tc>
          <w:tcPr/>
          <w:p>
            <w:pPr>
              <w:pStyle w:val="Compact"/>
              <w:jc w:val="left"/>
            </w:pPr>
            <w:r>
              <w:t xml:space="preserve">Environics is Toronto-headquartered and already sells a self-serve Canadian product. A free tier from them would compress the location half of the value proposition quickly.</w:t>
            </w:r>
          </w:p>
        </w:tc>
        <w:tc>
          <w:tcPr/>
          <w:p>
            <w:pPr>
              <w:pStyle w:val="Compact"/>
              <w:jc w:val="left"/>
            </w:pPr>
            <w:r>
              <w:t xml:space="preserve">This is precisely why the financing layer is the anchor. Build and market the join, not the map. Depth of Canadian regulatory knowledge is the harder thing to copy.</w:t>
            </w:r>
          </w:p>
        </w:tc>
      </w:tr>
      <w:tr>
        <w:tc>
          <w:tcPr/>
          <w:p>
            <w:pPr>
              <w:pStyle w:val="Compact"/>
              <w:jc w:val="left"/>
            </w:pPr>
            <w:r>
              <w:rPr>
                <w:bCs/>
                <w:b/>
              </w:rPr>
              <w:t xml:space="preserve">Front-loaded data preparation</w:t>
            </w:r>
          </w:p>
        </w:tc>
        <w:tc>
          <w:tcPr/>
          <w:p>
            <w:pPr>
              <w:pStyle w:val="Compact"/>
              <w:jc w:val="left"/>
            </w:pPr>
            <w:r>
              <w:t xml:space="preserve">Boundary and attribute loading must complete before scoring or interface work can be validated. In a one-week window this is the schedule risk.</w:t>
            </w:r>
          </w:p>
        </w:tc>
        <w:tc>
          <w:tcPr/>
          <w:p>
            <w:pPr>
              <w:pStyle w:val="Compact"/>
              <w:jc w:val="left"/>
            </w:pPr>
            <w:r>
              <w:t xml:space="preserve">Prove the pipeline end to end on a single small region on day one, then widen. The existing prototype already demonstrates that the geography renders, from boundary data shipped with the page.</w:t>
            </w:r>
          </w:p>
        </w:tc>
      </w:tr>
      <w:tr>
        <w:tc>
          <w:tcPr/>
          <w:p>
            <w:pPr>
              <w:pStyle w:val="Compact"/>
              <w:jc w:val="left"/>
            </w:pPr>
            <w:r>
              <w:rPr>
                <w:bCs/>
                <w:b/>
              </w:rPr>
              <w:t xml:space="preserve">B2B sales cycle length</w:t>
            </w:r>
          </w:p>
        </w:tc>
        <w:tc>
          <w:tcPr/>
          <w:p>
            <w:pPr>
              <w:pStyle w:val="Compact"/>
              <w:jc w:val="left"/>
            </w:pPr>
            <w:r>
              <w:t xml:space="preserve">Public-sector buyers procure slowly. Revenue will lag usage by quarters.</w:t>
            </w:r>
          </w:p>
        </w:tc>
        <w:tc>
          <w:tcPr/>
          <w:p>
            <w:pPr>
              <w:pStyle w:val="Compact"/>
              <w:jc w:val="left"/>
            </w:pPr>
            <w:r>
              <w:t xml:space="preserve">Publish prices to shorten evaluation. Target one BIA pilot before approaching the city. Design the advisor tier to be expensable on a single approval rather than a procurement.</w:t>
            </w:r>
          </w:p>
        </w:tc>
      </w:tr>
    </w:tbl>
    <w:bookmarkEnd w:id="49"/>
    <w:bookmarkStart w:id="54" w:name="value-and-impact"/>
    <w:p>
      <w:pPr>
        <w:pStyle w:val="Heading1"/>
      </w:pPr>
      <w:r>
        <w:rPr>
          <w:bCs/>
          <w:b/>
        </w:rPr>
        <w:t xml:space="preserve">9. Value and impact</w:t>
      </w:r>
    </w:p>
    <w:bookmarkStart w:id="50" w:name="for-the-business-owner"/>
    <w:p>
      <w:pPr>
        <w:pStyle w:val="Heading3"/>
      </w:pPr>
      <w:r>
        <w:rPr>
          <w:bCs/>
          <w:b/>
        </w:rPr>
        <w:t xml:space="preserve">For the business owner</w:t>
      </w:r>
    </w:p>
    <w:p>
      <w:pPr>
        <w:pStyle w:val="FirstParagraph"/>
      </w:pPr>
      <w:r>
        <w:t xml:space="preserve">Three decisions that are currently made on instinct and hearsay become evidence-based, at the point where they are still reversible: before the lease is signed, before the fit-out is budgeted, and before the personal line of credit is drawn. The owner also leaves with the document a lender will ask for, which is itself a barrier that stops people at the door.</w:t>
      </w:r>
    </w:p>
    <w:bookmarkEnd w:id="50"/>
    <w:bookmarkStart w:id="51" w:name="Xdcd6140806b5328a9202c021c67811ca06192cd"/>
    <w:p>
      <w:pPr>
        <w:pStyle w:val="Heading3"/>
      </w:pPr>
      <w:r>
        <w:rPr>
          <w:bCs/>
          <w:b/>
        </w:rPr>
        <w:t xml:space="preserve">For the advisor, once the institutional tier exists</w:t>
      </w:r>
    </w:p>
    <w:p>
      <w:pPr>
        <w:pStyle w:val="FirstParagraph"/>
      </w:pPr>
      <w:r>
        <w:t xml:space="preserve">An advisor at a Small Business Enterprise Centre currently reconstructs the same eligibility picture by hand for every client. Groundwork would make that reconstruction instant and consistent, raising the quality of the advice and increasing the number of clients one advisor can serve. This is stated as potential rather than delivered value: the advisor tier is future work under section 5.5, and at launch an advisor would be using the owner product.</w:t>
      </w:r>
    </w:p>
    <w:bookmarkEnd w:id="51"/>
    <w:bookmarkStart w:id="52" w:name="for-the-neighbourhood"/>
    <w:p>
      <w:pPr>
        <w:pStyle w:val="Heading3"/>
      </w:pPr>
      <w:r>
        <w:rPr>
          <w:bCs/>
          <w:b/>
        </w:rPr>
        <w:t xml:space="preserve">For the neighbourhood</w:t>
      </w:r>
    </w:p>
    <w:p>
      <w:pPr>
        <w:pStyle w:val="FirstParagraph"/>
      </w:pPr>
      <w:r>
        <w:t xml:space="preserve">Better-matched businesses in underserved areas are more likely to survive, and owners who open with appropriate financing rather than expensive consumer credit are less likely to be undone by their cost structure. Both matter on Toronto main streets where insolvencies in the food service sector rose in the first half of 2026. Reaching the owners who need it most without hollowing out the revenue that keeps the data accurate depends on the sponsored access route in section 5.5, which is not yet built.</w:t>
      </w:r>
    </w:p>
    <w:bookmarkEnd w:id="52"/>
    <w:bookmarkStart w:id="53" w:name="on-scalability"/>
    <w:p>
      <w:pPr>
        <w:pStyle w:val="Heading3"/>
      </w:pPr>
      <w:r>
        <w:rPr>
          <w:bCs/>
          <w:b/>
        </w:rPr>
        <w:t xml:space="preserve">On scalability</w:t>
      </w:r>
    </w:p>
    <w:p>
      <w:pPr>
        <w:pStyle w:val="FirstParagraph"/>
      </w:pPr>
      <w:r>
        <w:t xml:space="preserve">The architecture is city-agnostic. Statistics Canada publishes dissemination areas nationally, and the federal and provincial financing layers are already common across Ontario. Extending to Mississauga, Hamilton or Ottawa is a data-loading exercise plus a municipal program addendum, not a rebuild. This matters for the scalability criterion, and it is a genuine claim rather than an aspirational one.</w:t>
      </w:r>
    </w:p>
    <w:bookmarkEnd w:id="53"/>
    <w:bookmarkEnd w:id="54"/>
    <w:bookmarkStart w:id="55" w:name="colour-system"/>
    <w:p>
      <w:pPr>
        <w:pStyle w:val="Heading1"/>
      </w:pPr>
      <w:r>
        <w:rPr>
          <w:bCs/>
          <w:b/>
        </w:rPr>
        <w:t xml:space="preserve">10. Colour system</w:t>
      </w:r>
    </w:p>
    <w:p>
      <w:pPr>
        <w:pStyle w:val="FirstParagraph"/>
      </w:pPr>
      <w:r>
        <w:t xml:space="preserve">The palette is a working decision, not decoration, and the same system runs through this document and the application.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Role</w:t>
            </w:r>
          </w:p>
        </w:tc>
        <w:tc>
          <w:tcPr/>
          <w:p>
            <w:pPr>
              <w:pStyle w:val="Compact"/>
              <w:jc w:val="left"/>
            </w:pPr>
            <w:r>
              <w:rPr>
                <w:bCs/>
                <w:b/>
              </w:rPr>
              <w:t xml:space="preserve">Value</w:t>
            </w:r>
          </w:p>
        </w:tc>
        <w:tc>
          <w:tcPr/>
          <w:p>
            <w:pPr>
              <w:pStyle w:val="Compact"/>
              <w:jc w:val="left"/>
            </w:pPr>
            <w:r>
              <w:rPr>
                <w:bCs/>
                <w:b/>
              </w:rPr>
              <w:t xml:space="preserve">Reasoning</w:t>
            </w:r>
          </w:p>
        </w:tc>
      </w:tr>
      <w:tr>
        <w:tc>
          <w:tcPr/>
          <w:p>
            <w:pPr>
              <w:pStyle w:val="Compact"/>
              <w:jc w:val="left"/>
            </w:pPr>
            <w:r>
              <w:rPr>
                <w:bCs/>
                <w:b/>
              </w:rPr>
              <w:t xml:space="preserve">Anchor — deep teal</w:t>
            </w:r>
          </w:p>
        </w:tc>
        <w:tc>
          <w:tcPr/>
          <w:p>
            <w:pPr>
              <w:pStyle w:val="Compact"/>
              <w:jc w:val="left"/>
            </w:pPr>
            <w:r>
              <w:t xml:space="preserve">#0E4F58</w:t>
            </w:r>
          </w:p>
        </w:tc>
        <w:tc>
          <w:tcPr/>
          <w:p>
            <w:pPr>
              <w:pStyle w:val="Compact"/>
              <w:jc w:val="left"/>
            </w:pPr>
            <w:r>
              <w:t xml:space="preserve">Blue is the most trusted brand colour in consumer research, but default corporate blue is now a congested space in financial products, and design commentary through 2026 points to deep teal and forest green as distinctive anchors that still carry the trust signal. Teal also sits in the same family as the high-opportunity end of the map ramp, so the brand colour and the colour of a good answer are deliberately the same.</w:t>
            </w:r>
          </w:p>
        </w:tc>
      </w:tr>
      <w:tr>
        <w:tc>
          <w:tcPr/>
          <w:p>
            <w:pPr>
              <w:pStyle w:val="Compact"/>
              <w:jc w:val="left"/>
            </w:pPr>
            <w:r>
              <w:rPr>
                <w:bCs/>
                <w:b/>
              </w:rPr>
              <w:t xml:space="preserve">Map ramp — ColorBrewer BrBG</w:t>
            </w:r>
          </w:p>
        </w:tc>
        <w:tc>
          <w:tcPr/>
          <w:p>
            <w:pPr>
              <w:pStyle w:val="Compact"/>
              <w:jc w:val="left"/>
            </w:pPr>
            <w:r>
              <w:t xml:space="preserve">#8C510A to #01665E</w:t>
            </w:r>
          </w:p>
        </w:tc>
        <w:tc>
          <w:tcPr/>
          <w:p>
            <w:pPr>
              <w:pStyle w:val="Compact"/>
              <w:jc w:val="left"/>
            </w:pPr>
            <w:r>
              <w:t xml:space="preserve">A diverging scheme, because the data has a meaningful midpoint: a market that is neither saturated nor underserved. Brown for saturated, teal-green for underserved, with the lightest values at the centre so lightness alone carries the reading.</w:t>
            </w:r>
          </w:p>
        </w:tc>
      </w:tr>
      <w:tr>
        <w:tc>
          <w:tcPr/>
          <w:p>
            <w:pPr>
              <w:pStyle w:val="Compact"/>
              <w:jc w:val="left"/>
            </w:pPr>
            <w:r>
              <w:rPr>
                <w:bCs/>
                <w:b/>
              </w:rPr>
              <w:t xml:space="preserve">Not red-to-green</w:t>
            </w:r>
          </w:p>
        </w:tc>
        <w:tc>
          <w:tcPr/>
          <w:p>
            <w:pPr>
              <w:pStyle w:val="Compact"/>
              <w:jc w:val="left"/>
            </w:pPr>
            <w:r>
              <w:t xml:space="preserve">—</w:t>
            </w:r>
          </w:p>
        </w:tc>
        <w:tc>
          <w:tcPr/>
          <w:p>
            <w:pPr>
              <w:pStyle w:val="Compact"/>
              <w:jc w:val="left"/>
            </w:pPr>
            <w:r>
              <w:t xml:space="preserve">The traffic-light ramp is the intuitive default and the wrong choice. It fails for red-green colour vision deficiency, which affects roughly one in twelve men, and green-is-good biases interpretation before the reader has looked at the numbers. BrBG is on ColorBrewer’s colourblind-safe list.</w:t>
            </w:r>
          </w:p>
        </w:tc>
      </w:tr>
      <w:tr>
        <w:tc>
          <w:tcPr/>
          <w:p>
            <w:pPr>
              <w:pStyle w:val="Compact"/>
              <w:jc w:val="left"/>
            </w:pPr>
            <w:r>
              <w:rPr>
                <w:bCs/>
                <w:b/>
              </w:rPr>
              <w:t xml:space="preserve">Caution and ineligibility — brown</w:t>
            </w:r>
          </w:p>
        </w:tc>
        <w:tc>
          <w:tcPr/>
          <w:p>
            <w:pPr>
              <w:pStyle w:val="Compact"/>
              <w:jc w:val="left"/>
            </w:pPr>
            <w:r>
              <w:t xml:space="preserve">#8C510A</w:t>
            </w:r>
          </w:p>
        </w:tc>
        <w:tc>
          <w:tcPr/>
          <w:p>
            <w:pPr>
              <w:pStyle w:val="Compact"/>
              <w:jc w:val="left"/>
            </w:pPr>
            <w:r>
              <w:t xml:space="preserve">The same brown as the saturated end of the map, rather than a warning red. Red raises anxiety around money, and reusing the map’s brown makes one colour mean one thing everywhere in the product: this is the direction you do not want.</w:t>
            </w:r>
          </w:p>
        </w:tc>
      </w:tr>
      <w:tr>
        <w:tc>
          <w:tcPr/>
          <w:p>
            <w:pPr>
              <w:pStyle w:val="Compact"/>
              <w:jc w:val="left"/>
            </w:pPr>
            <w:r>
              <w:rPr>
                <w:bCs/>
                <w:b/>
              </w:rPr>
              <w:t xml:space="preserve">Neutrals</w:t>
            </w:r>
          </w:p>
        </w:tc>
        <w:tc>
          <w:tcPr/>
          <w:p>
            <w:pPr>
              <w:pStyle w:val="Compact"/>
              <w:jc w:val="left"/>
            </w:pPr>
            <w:r>
              <w:t xml:space="preserve">#16242A, #55666C, #F4F6F6</w:t>
            </w:r>
          </w:p>
        </w:tc>
        <w:tc>
          <w:tcPr/>
          <w:p>
            <w:pPr>
              <w:pStyle w:val="Compact"/>
              <w:jc w:val="left"/>
            </w:pPr>
            <w:r>
              <w:t xml:space="preserve">A deep blue-grey rather than black, and a cool paper tone. Body and secondary text clear 4.5:1 against their backgrounds; the anchor teal clears 9:1 on white.</w:t>
            </w:r>
          </w:p>
        </w:tc>
      </w:tr>
    </w:tbl>
    <w:bookmarkEnd w:id="55"/>
    <w:bookmarkStart w:id="56" w:name="sources"/>
    <w:p>
      <w:pPr>
        <w:pStyle w:val="Heading1"/>
      </w:pPr>
      <w:r>
        <w:rPr>
          <w:bCs/>
          <w:b/>
        </w:rPr>
        <w:t xml:space="preserve">11. Sources</w:t>
      </w:r>
    </w:p>
    <w:p>
      <w:pPr>
        <w:pStyle w:val="FirstParagraph"/>
      </w:pPr>
      <w:r>
        <w:t xml:space="preserve">All figures were verified against primary sources in September 2026. Statistics that did not survive verification were removed or restated; the companion Evidence and Source Verification memo records each check and its outcome.</w:t>
      </w:r>
    </w:p>
    <w:p>
      <w:pPr>
        <w:numPr>
          <w:ilvl w:val="0"/>
          <w:numId w:val="1011"/>
        </w:numPr>
      </w:pPr>
      <w:r>
        <w:t xml:space="preserve">Innovation, Science and Economic Development Canada, Key Small Business Statistics 2025 (business counts, birth and survival rates by initial size and sector)</w:t>
      </w:r>
    </w:p>
    <w:p>
      <w:pPr>
        <w:numPr>
          <w:ilvl w:val="0"/>
          <w:numId w:val="1011"/>
        </w:numPr>
      </w:pPr>
      <w:r>
        <w:t xml:space="preserve">Innovation, Science and Economic Development Canada, Small Business Credit Condition Trends 2015–2025 (request and approval rates)</w:t>
      </w:r>
    </w:p>
    <w:p>
      <w:pPr>
        <w:numPr>
          <w:ilvl w:val="0"/>
          <w:numId w:val="1011"/>
        </w:numPr>
      </w:pPr>
      <w:r>
        <w:t xml:space="preserve">Statistics Canada and ISED, Survey on Financing and Growth of Small and Medium Enterprises 2023, released 20 February 2025 (external financing request rates by type; reasons for not requesting)</w:t>
      </w:r>
    </w:p>
    <w:p>
      <w:pPr>
        <w:numPr>
          <w:ilvl w:val="0"/>
          <w:numId w:val="1011"/>
        </w:numPr>
      </w:pPr>
      <w:r>
        <w:t xml:space="preserve">Innovation, Science and Economic Development Canada, Canada Small Business Financing Program: program pages, guidelines, and Overview and Highlights 2024–25 (loan classes, ceilings, sub-limits, fees, loss-sharing)</w:t>
      </w:r>
    </w:p>
    <w:p>
      <w:pPr>
        <w:numPr>
          <w:ilvl w:val="0"/>
          <w:numId w:val="1011"/>
        </w:numPr>
      </w:pPr>
      <w:r>
        <w:t xml:space="preserve">Futurpreneur Canada, Core Startup Program and eligibility pages (loan structure, age criteria, mentorship terms)</w:t>
      </w:r>
    </w:p>
    <w:p>
      <w:pPr>
        <w:numPr>
          <w:ilvl w:val="0"/>
          <w:numId w:val="1011"/>
        </w:numPr>
      </w:pPr>
      <w:r>
        <w:t xml:space="preserve">City of Toronto, Starter Company Plus Grant (grant value, eligibility, contribution requirement, intake)</w:t>
      </w:r>
    </w:p>
    <w:p>
      <w:pPr>
        <w:numPr>
          <w:ilvl w:val="0"/>
          <w:numId w:val="1011"/>
        </w:numPr>
      </w:pPr>
      <w:r>
        <w:t xml:space="preserve">Statistics Canada, 2021 Census boundary files, Census Profile, and Census Dictionary definition of dissemination area</w:t>
      </w:r>
    </w:p>
    <w:p>
      <w:pPr>
        <w:numPr>
          <w:ilvl w:val="0"/>
          <w:numId w:val="1011"/>
        </w:numPr>
      </w:pPr>
      <w:r>
        <w:t xml:space="preserve">Lee &amp; Associates Toronto, Q1 2026 and Q2 2026 Toronto retail market reports (vacancy, asking rents, absorption)</w:t>
      </w:r>
    </w:p>
    <w:p>
      <w:pPr>
        <w:numPr>
          <w:ilvl w:val="0"/>
          <w:numId w:val="1011"/>
        </w:numPr>
      </w:pPr>
      <w:r>
        <w:t xml:space="preserve">Toronto Regional Real Estate Board, quarterly commercial market reports (commercial and retail net lease rates, with TRREB’s own note on property-mix effects)</w:t>
      </w:r>
    </w:p>
    <w:p>
      <w:pPr>
        <w:numPr>
          <w:ilvl w:val="0"/>
          <w:numId w:val="1011"/>
        </w:numPr>
      </w:pPr>
      <w:r>
        <w:t xml:space="preserve">Dalhousie University Agri-Food Analytics Lab, 2026 restaurant sector forecast and its mid-year revision; Restaurants Canada operator profitability data</w:t>
      </w:r>
    </w:p>
    <w:p>
      <w:pPr>
        <w:numPr>
          <w:ilvl w:val="0"/>
          <w:numId w:val="1011"/>
        </w:numPr>
      </w:pPr>
      <w:r>
        <w:t xml:space="preserve">Esri, ArcGIS Business Analyst product and pricing pages (feature tiers including Suitability and Void Analysis)</w:t>
      </w:r>
    </w:p>
    <w:p>
      <w:pPr>
        <w:numPr>
          <w:ilvl w:val="0"/>
          <w:numId w:val="1011"/>
        </w:numPr>
      </w:pPr>
      <w:r>
        <w:t xml:space="preserve">Environics Analytics, SPOTLIGHT platform, reports and pricing pages, including the transactional price change effective 25 March 2026</w:t>
      </w:r>
    </w:p>
    <w:p>
      <w:pPr>
        <w:numPr>
          <w:ilvl w:val="0"/>
          <w:numId w:val="1011"/>
        </w:numPr>
      </w:pPr>
      <w:r>
        <w:t xml:space="preserve">Sitewise and SiteZeus published product documentation</w:t>
      </w:r>
    </w:p>
    <w:p>
      <w:pPr>
        <w:numPr>
          <w:ilvl w:val="0"/>
          <w:numId w:val="1011"/>
        </w:numPr>
      </w:pPr>
      <w:r>
        <w:t xml:space="preserve">ColorBrewer (Cynthia Brewer, Mark Harrower, Pennsylvania State University) for the diverging colourblind-safe map scheme; Datawrapper and cartographic design guidance on choropleth colour and lightness ordering</w:t>
      </w:r>
    </w:p>
    <w:p>
      <w:pPr>
        <w:numPr>
          <w:ilvl w:val="0"/>
          <w:numId w:val="1011"/>
        </w:numPr>
      </w:pPr>
      <w:r>
        <w:t xml:space="preserve">Published colour-psychology research on financial services branding, including Adobe consumer research on colour and brand trust, and 2026 commentary on the saturation of corporate blue in fintech palettes</w:t>
      </w:r>
    </w:p>
    <w:p>
      <w:pPr>
        <w:pStyle w:val="FirstParagraph"/>
      </w:pPr>
      <w:r>
        <w:t xml:space="preserve">Groundwork — Project Proposal ·</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2026-09-09T14:40:29Z</dcterms:created>
  <dcterms:modified xsi:type="dcterms:W3CDTF">2026-09-09T14:40:29Z</dcterms:modified>
</cp:coreProperties>
</file>

<file path=docProps/custom.xml><?xml version="1.0" encoding="utf-8"?>
<Properties xmlns="http://schemas.openxmlformats.org/officeDocument/2006/custom-properties" xmlns:vt="http://schemas.openxmlformats.org/officeDocument/2006/docPropsVTypes"/>
</file>