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PITCH AND COMMUNICATIONS PACK · PREPR P.I.E. PART 2</w:t>
      </w:r>
    </w:p>
    <w:p>
      <w:pPr>
        <w:pStyle w:val="BodyText"/>
      </w:pPr>
      <w:r>
        <w:rPr>
          <w:bCs/>
          <w:b/>
        </w:rPr>
        <w:t xml:space="preserve">Groundwork</w:t>
      </w:r>
    </w:p>
    <w:p>
      <w:pPr>
        <w:pStyle w:val="BodyText"/>
      </w:pPr>
      <w:r>
        <w:t xml:space="preserve">Personas, customer journey, budget, feature matrix and pitch answers</w:t>
      </w:r>
    </w:p>
    <w:p>
      <w:pPr>
        <w:pStyle w:val="BodyText"/>
      </w:pPr>
      <w:r>
        <w:t xml:space="preserve">This pack covers the Part 2 submission requirements that the proposal does not: user personas and their needs, the customer journey map, the $100,000 development budget breakdown, a feature matrix against identified competition, and drafted answers to the pitch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Requirement from the brief</w:t>
            </w:r>
          </w:p>
        </w:tc>
        <w:tc>
          <w:tcPr/>
          <w:p>
            <w:pPr>
              <w:pStyle w:val="Compact"/>
              <w:jc w:val="left"/>
            </w:pPr>
            <w:r>
              <w:rPr>
                <w:bCs/>
                <w:b/>
              </w:rPr>
              <w:t xml:space="preserve">Where it is answered</w:t>
            </w:r>
          </w:p>
        </w:tc>
      </w:tr>
      <w:tr>
        <w:tc>
          <w:tcPr/>
          <w:p>
            <w:pPr>
              <w:pStyle w:val="Compact"/>
              <w:jc w:val="left"/>
            </w:pPr>
            <w:r>
              <w:rPr>
                <w:bCs/>
                <w:b/>
              </w:rPr>
              <w:t xml:space="preserve">User personas and their needs</w:t>
            </w:r>
          </w:p>
        </w:tc>
        <w:tc>
          <w:tcPr/>
          <w:p>
            <w:pPr>
              <w:pStyle w:val="Compact"/>
              <w:jc w:val="left"/>
            </w:pPr>
            <w:r>
              <w:t xml:space="preserve">Section 1</w:t>
            </w:r>
          </w:p>
        </w:tc>
      </w:tr>
      <w:tr>
        <w:tc>
          <w:tcPr/>
          <w:p>
            <w:pPr>
              <w:pStyle w:val="Compact"/>
              <w:jc w:val="left"/>
            </w:pPr>
            <w:r>
              <w:rPr>
                <w:bCs/>
                <w:b/>
              </w:rPr>
              <w:t xml:space="preserve">Customer journey map</w:t>
            </w:r>
          </w:p>
        </w:tc>
        <w:tc>
          <w:tcPr/>
          <w:p>
            <w:pPr>
              <w:pStyle w:val="Compact"/>
              <w:jc w:val="left"/>
            </w:pPr>
            <w:r>
              <w:t xml:space="preserve">Section 2</w:t>
            </w:r>
          </w:p>
        </w:tc>
      </w:tr>
      <w:tr>
        <w:tc>
          <w:tcPr/>
          <w:p>
            <w:pPr>
              <w:pStyle w:val="Compact"/>
              <w:jc w:val="left"/>
            </w:pPr>
            <w:r>
              <w:rPr>
                <w:bCs/>
                <w:b/>
              </w:rPr>
              <w:t xml:space="preserve">$100,000 product development budget breakdown</w:t>
            </w:r>
          </w:p>
        </w:tc>
        <w:tc>
          <w:tcPr/>
          <w:p>
            <w:pPr>
              <w:pStyle w:val="Compact"/>
              <w:jc w:val="left"/>
            </w:pPr>
            <w:r>
              <w:t xml:space="preserve">Section 3</w:t>
            </w:r>
          </w:p>
        </w:tc>
      </w:tr>
      <w:tr>
        <w:tc>
          <w:tcPr/>
          <w:p>
            <w:pPr>
              <w:pStyle w:val="Compact"/>
              <w:jc w:val="left"/>
            </w:pPr>
            <w:r>
              <w:rPr>
                <w:bCs/>
                <w:b/>
              </w:rPr>
              <w:t xml:space="preserve">Feature matrix against identified competition</w:t>
            </w:r>
          </w:p>
        </w:tc>
        <w:tc>
          <w:tcPr/>
          <w:p>
            <w:pPr>
              <w:pStyle w:val="Compact"/>
              <w:jc w:val="left"/>
            </w:pPr>
            <w:r>
              <w:t xml:space="preserve">Section 4</w:t>
            </w:r>
          </w:p>
        </w:tc>
      </w:tr>
      <w:tr>
        <w:tc>
          <w:tcPr/>
          <w:p>
            <w:pPr>
              <w:pStyle w:val="Compact"/>
              <w:jc w:val="left"/>
            </w:pPr>
            <w:r>
              <w:rPr>
                <w:bCs/>
                <w:b/>
              </w:rPr>
              <w:t xml:space="preserve">Pitch questions: overview, process, next steps</w:t>
            </w:r>
          </w:p>
        </w:tc>
        <w:tc>
          <w:tcPr/>
          <w:p>
            <w:pPr>
              <w:pStyle w:val="Compact"/>
              <w:jc w:val="left"/>
            </w:pPr>
            <w:r>
              <w:t xml:space="preserve">Section 5</w:t>
            </w:r>
          </w:p>
        </w:tc>
      </w:tr>
      <w:tr>
        <w:tc>
          <w:tcPr/>
          <w:p>
            <w:pPr>
              <w:pStyle w:val="Compact"/>
              <w:jc w:val="left"/>
            </w:pPr>
            <w:r>
              <w:rPr>
                <w:bCs/>
                <w:b/>
              </w:rPr>
              <w:t xml:space="preserve">Evaluation criteria: alignment, impact, feasibility, innovation, scalability</w:t>
            </w:r>
          </w:p>
        </w:tc>
        <w:tc>
          <w:tcPr/>
          <w:p>
            <w:pPr>
              <w:pStyle w:val="Compact"/>
              <w:jc w:val="left"/>
            </w:pPr>
            <w:r>
              <w:t xml:space="preserve">Section 6</w:t>
            </w:r>
          </w:p>
        </w:tc>
      </w:tr>
      <w:tr>
        <w:tc>
          <w:tcPr/>
          <w:p>
            <w:pPr>
              <w:pStyle w:val="Compact"/>
              <w:jc w:val="left"/>
            </w:pPr>
            <w:r>
              <w:rPr>
                <w:bCs/>
                <w:b/>
              </w:rPr>
              <w:t xml:space="preserve">Supporting statistics establishing need–market fit</w:t>
            </w:r>
          </w:p>
        </w:tc>
        <w:tc>
          <w:tcPr/>
          <w:p>
            <w:pPr>
              <w:pStyle w:val="Compact"/>
              <w:jc w:val="left"/>
            </w:pPr>
            <w:r>
              <w:t xml:space="preserve">Companion memo: Evidence and Source Verification</w:t>
            </w:r>
          </w:p>
        </w:tc>
      </w:tr>
      <w:tr>
        <w:tc>
          <w:tcPr/>
          <w:p>
            <w:pPr>
              <w:pStyle w:val="Compact"/>
              <w:jc w:val="left"/>
            </w:pPr>
            <w:r>
              <w:rPr>
                <w:bCs/>
                <w:b/>
              </w:rPr>
              <w:t xml:space="preserve">Key views of the refined prototype</w:t>
            </w:r>
          </w:p>
        </w:tc>
        <w:tc>
          <w:tcPr/>
          <w:p>
            <w:pPr>
              <w:pStyle w:val="Compact"/>
              <w:jc w:val="left"/>
            </w:pPr>
            <w:r>
              <w:t xml:space="preserve">Companion file: interactive HTML prototype</w:t>
            </w:r>
          </w:p>
        </w:tc>
      </w:tr>
    </w:tbl>
    <w:bookmarkStart w:id="23" w:name="user-personas"/>
    <w:p>
      <w:pPr>
        <w:pStyle w:val="Heading1"/>
      </w:pPr>
      <w:r>
        <w:rPr>
          <w:bCs/>
          <w:b/>
        </w:rPr>
        <w:t xml:space="preserve">1. User personas</w:t>
      </w:r>
    </w:p>
    <w:p>
      <w:pPr>
        <w:pStyle w:val="FirstParagraph"/>
      </w:pPr>
      <w:r>
        <w:t xml:space="preserve">Two users and one buyer. The distinction matters commercially: the people who use Groundwork are not the people who pay for it.</w:t>
      </w:r>
    </w:p>
    <w:bookmarkStart w:id="20" w:name="persona-1-amara-the-first-time-owner"/>
    <w:p>
      <w:pPr>
        <w:pStyle w:val="Heading2"/>
      </w:pPr>
      <w:r>
        <w:rPr>
          <w:bCs/>
          <w:b/>
        </w:rPr>
        <w:t xml:space="preserve">Persona 1 · Amara — the first-time owner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Detail</w:t>
            </w:r>
          </w:p>
        </w:tc>
      </w:tr>
      <w:tr>
        <w:tc>
          <w:tcPr/>
          <w:p>
            <w:pPr>
              <w:pStyle w:val="Compact"/>
              <w:jc w:val="left"/>
            </w:pPr>
            <w:r>
              <w:rPr>
                <w:bCs/>
                <w:b/>
              </w:rPr>
              <w:t xml:space="preserve">Profile</w:t>
            </w:r>
          </w:p>
        </w:tc>
        <w:tc>
          <w:tcPr/>
          <w:p>
            <w:pPr>
              <w:pStyle w:val="Compact"/>
              <w:jc w:val="left"/>
            </w:pPr>
            <w:r>
              <w:t xml:space="preserve">34, moved to Canada from Nigeria four years ago, currently a full-time care aide. Wants to open a West African grocery and bakery. Has $38,000 saved and a business plan written on her phone.</w:t>
            </w:r>
          </w:p>
        </w:tc>
      </w:tr>
      <w:tr>
        <w:tc>
          <w:tcPr/>
          <w:p>
            <w:pPr>
              <w:pStyle w:val="Compact"/>
              <w:jc w:val="left"/>
            </w:pPr>
            <w:r>
              <w:rPr>
                <w:bCs/>
                <w:b/>
              </w:rPr>
              <w:t xml:space="preserve">Current behaviour</w:t>
            </w:r>
          </w:p>
        </w:tc>
        <w:tc>
          <w:tcPr/>
          <w:p>
            <w:pPr>
              <w:pStyle w:val="Compact"/>
              <w:jc w:val="left"/>
            </w:pPr>
            <w:r>
              <w:t xml:space="preserve">Has looked at three storefronts, all found by walking around Etobicoke and Weston on weekends. Chose them because the rent was advertised and the street looked busy. Has not looked at demographics for any of them.</w:t>
            </w:r>
          </w:p>
        </w:tc>
      </w:tr>
      <w:tr>
        <w:tc>
          <w:tcPr/>
          <w:p>
            <w:pPr>
              <w:pStyle w:val="Compact"/>
              <w:jc w:val="left"/>
            </w:pPr>
            <w:r>
              <w:rPr>
                <w:bCs/>
                <w:b/>
              </w:rPr>
              <w:t xml:space="preserve">What she needs</w:t>
            </w:r>
          </w:p>
        </w:tc>
        <w:tc>
          <w:tcPr/>
          <w:p>
            <w:pPr>
              <w:pStyle w:val="Compact"/>
              <w:jc w:val="left"/>
            </w:pPr>
            <w:r>
              <w:t xml:space="preserve">To know whether the population within walking distance of each unit actually contains her customers, and how many similar stores already serve them. Then, to know what money she can get beyond her savings.</w:t>
            </w:r>
          </w:p>
        </w:tc>
      </w:tr>
      <w:tr>
        <w:tc>
          <w:tcPr/>
          <w:p>
            <w:pPr>
              <w:pStyle w:val="Compact"/>
              <w:jc w:val="left"/>
            </w:pPr>
            <w:r>
              <w:rPr>
                <w:bCs/>
                <w:b/>
              </w:rPr>
              <w:t xml:space="preserve">What she does not know</w:t>
            </w:r>
          </w:p>
        </w:tc>
        <w:tc>
          <w:tcPr/>
          <w:p>
            <w:pPr>
              <w:pStyle w:val="Compact"/>
              <w:jc w:val="left"/>
            </w:pPr>
            <w:r>
              <w:t xml:space="preserve">That the Canada Small Business Financing Program exists, that leasehold improvements to a leased unit are financeable under it, that the government absorbs 85% of the lender’s loss, or that she qualifies for Futurpreneur’s newcomer stream at 34 but will not at 40.</w:t>
            </w:r>
          </w:p>
        </w:tc>
      </w:tr>
      <w:tr>
        <w:tc>
          <w:tcPr/>
          <w:p>
            <w:pPr>
              <w:pStyle w:val="Compact"/>
              <w:jc w:val="left"/>
            </w:pPr>
            <w:r>
              <w:rPr>
                <w:bCs/>
                <w:b/>
              </w:rPr>
              <w:t xml:space="preserve">Barriers</w:t>
            </w:r>
          </w:p>
        </w:tc>
        <w:tc>
          <w:tcPr/>
          <w:p>
            <w:pPr>
              <w:pStyle w:val="Compact"/>
              <w:jc w:val="left"/>
            </w:pPr>
            <w:r>
              <w:t xml:space="preserve">No credit history in Canada. English is her third language. Cannot take a weekday afternoon off for an advisory appointment. Has been told twice to “just talk to your bank.”</w:t>
            </w:r>
          </w:p>
        </w:tc>
      </w:tr>
      <w:tr>
        <w:tc>
          <w:tcPr/>
          <w:p>
            <w:pPr>
              <w:pStyle w:val="Compact"/>
              <w:jc w:val="left"/>
            </w:pPr>
            <w:r>
              <w:rPr>
                <w:bCs/>
                <w:b/>
              </w:rPr>
              <w:t xml:space="preserve">What she will pay</w:t>
            </w:r>
          </w:p>
        </w:tc>
        <w:tc>
          <w:tcPr/>
          <w:p>
            <w:pPr>
              <w:pStyle w:val="Compact"/>
              <w:jc w:val="left"/>
            </w:pPr>
            <w:r>
              <w:t xml:space="preserve">She will not subscribe to anything before she has opened. She will pay $99.99 once for a plan she can take to a lender this week — but this is the sharpest tension in the whole model, because $99.99 is real money to her before she has earned a dollar. Sponsored access through the settlement agency that supports her is the intended answer and it is future work, so at launch she is a customer we may well lose on price. That is worth saying out loud rather than assuming she stretches.</w:t>
            </w:r>
          </w:p>
        </w:tc>
      </w:tr>
      <w:tr>
        <w:tc>
          <w:tcPr/>
          <w:p>
            <w:pPr>
              <w:pStyle w:val="Compact"/>
              <w:jc w:val="left"/>
            </w:pPr>
            <w:r>
              <w:rPr>
                <w:bCs/>
                <w:b/>
              </w:rPr>
              <w:t xml:space="preserve">Success for Amara</w:t>
            </w:r>
          </w:p>
        </w:tc>
        <w:tc>
          <w:tcPr/>
          <w:p>
            <w:pPr>
              <w:pStyle w:val="Compact"/>
              <w:jc w:val="left"/>
            </w:pPr>
            <w:r>
              <w:t xml:space="preserve">She rules out two of her three units in ten minutes, discovers a fourth area she had not considered, and walks into a credit union asking for a CSBFP loan by name.</w:t>
            </w:r>
          </w:p>
        </w:tc>
      </w:tr>
    </w:tbl>
    <w:bookmarkEnd w:id="20"/>
    <w:bookmarkStart w:id="21" w:name="X0be00861cff4f02d64020b66a412fae4743c145"/>
    <w:p>
      <w:pPr>
        <w:pStyle w:val="Heading2"/>
      </w:pPr>
      <w:r>
        <w:rPr>
          <w:bCs/>
          <w:b/>
        </w:rPr>
        <w:t xml:space="preserve">Persona 2 · Dev — the second-location operator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Detail</w:t>
            </w:r>
          </w:p>
        </w:tc>
      </w:tr>
      <w:tr>
        <w:tc>
          <w:tcPr/>
          <w:p>
            <w:pPr>
              <w:pStyle w:val="Compact"/>
              <w:jc w:val="left"/>
            </w:pPr>
            <w:r>
              <w:rPr>
                <w:bCs/>
                <w:b/>
              </w:rPr>
              <w:t xml:space="preserve">Profile</w:t>
            </w:r>
          </w:p>
        </w:tc>
        <w:tc>
          <w:tcPr/>
          <w:p>
            <w:pPr>
              <w:pStyle w:val="Compact"/>
              <w:jc w:val="left"/>
            </w:pPr>
            <w:r>
              <w:t xml:space="preserve">46, owns a dental practice in Scarborough that has traded for nine years. Considering a second location. Has an accountant and a bank relationship.</w:t>
            </w:r>
          </w:p>
        </w:tc>
      </w:tr>
      <w:tr>
        <w:tc>
          <w:tcPr/>
          <w:p>
            <w:pPr>
              <w:pStyle w:val="Compact"/>
              <w:jc w:val="left"/>
            </w:pPr>
            <w:r>
              <w:rPr>
                <w:bCs/>
                <w:b/>
              </w:rPr>
              <w:t xml:space="preserve">Current behaviour</w:t>
            </w:r>
          </w:p>
        </w:tc>
        <w:tc>
          <w:tcPr/>
          <w:p>
            <w:pPr>
              <w:pStyle w:val="Compact"/>
              <w:jc w:val="left"/>
            </w:pPr>
            <w:r>
              <w:t xml:space="preserve">Relies on a commercial broker’s recommendation and his own sense of where his patients come from. Has never seen a demographic map of his catchment.</w:t>
            </w:r>
          </w:p>
        </w:tc>
      </w:tr>
      <w:tr>
        <w:tc>
          <w:tcPr/>
          <w:p>
            <w:pPr>
              <w:pStyle w:val="Compact"/>
              <w:jc w:val="left"/>
            </w:pPr>
            <w:r>
              <w:rPr>
                <w:bCs/>
                <w:b/>
              </w:rPr>
              <w:t xml:space="preserve">What he needs</w:t>
            </w:r>
          </w:p>
        </w:tc>
        <w:tc>
          <w:tcPr/>
          <w:p>
            <w:pPr>
              <w:pStyle w:val="Compact"/>
              <w:jc w:val="left"/>
            </w:pPr>
            <w:r>
              <w:t xml:space="preserve">Age profile and household income by small area, because his service mix skews to families and retirees, and a competitor count that distinguishes general practice from specialists.</w:t>
            </w:r>
          </w:p>
        </w:tc>
      </w:tr>
      <w:tr>
        <w:tc>
          <w:tcPr/>
          <w:p>
            <w:pPr>
              <w:pStyle w:val="Compact"/>
              <w:jc w:val="left"/>
            </w:pPr>
            <w:r>
              <w:rPr>
                <w:bCs/>
                <w:b/>
              </w:rPr>
              <w:t xml:space="preserve">What he does not know</w:t>
            </w:r>
          </w:p>
        </w:tc>
        <w:tc>
          <w:tcPr/>
          <w:p>
            <w:pPr>
              <w:pStyle w:val="Compact"/>
              <w:jc w:val="left"/>
            </w:pPr>
            <w:r>
              <w:t xml:space="preserve">How much of his existing catchment overlaps with the candidate site, which would cannibalise rather than grow. Also that CSBFP applies to a second location and to the equipment fit-out.</w:t>
            </w:r>
          </w:p>
        </w:tc>
      </w:tr>
      <w:tr>
        <w:tc>
          <w:tcPr/>
          <w:p>
            <w:pPr>
              <w:pStyle w:val="Compact"/>
              <w:jc w:val="left"/>
            </w:pPr>
            <w:r>
              <w:rPr>
                <w:bCs/>
                <w:b/>
              </w:rPr>
              <w:t xml:space="preserve">Barriers</w:t>
            </w:r>
          </w:p>
        </w:tc>
        <w:tc>
          <w:tcPr/>
          <w:p>
            <w:pPr>
              <w:pStyle w:val="Compact"/>
              <w:jc w:val="left"/>
            </w:pPr>
            <w:r>
              <w:t xml:space="preserve">Time. He will give this twenty minutes, once, in the evening. Anything requiring a demo call will not happen.</w:t>
            </w:r>
          </w:p>
        </w:tc>
      </w:tr>
      <w:tr>
        <w:tc>
          <w:tcPr/>
          <w:p>
            <w:pPr>
              <w:pStyle w:val="Compact"/>
              <w:jc w:val="left"/>
            </w:pPr>
            <w:r>
              <w:rPr>
                <w:bCs/>
                <w:b/>
              </w:rPr>
              <w:t xml:space="preserve">What he will pay</w:t>
            </w:r>
          </w:p>
        </w:tc>
        <w:tc>
          <w:tcPr/>
          <w:p>
            <w:pPr>
              <w:pStyle w:val="Compact"/>
              <w:jc w:val="left"/>
            </w:pPr>
            <w:r>
              <w:t xml:space="preserve">Price is not his constraint; friction is. He would pay $99.99 without thinking about it, and is exactly the person the in-product upgrade is built for: he will hit the locked second-site slot on the comparison screen, see $99.99 credited against the first month, and take the subscription without hesitating. He would not attend a sales call for a free licence.</w:t>
            </w:r>
          </w:p>
        </w:tc>
      </w:tr>
      <w:tr>
        <w:tc>
          <w:tcPr/>
          <w:p>
            <w:pPr>
              <w:pStyle w:val="Compact"/>
              <w:jc w:val="left"/>
            </w:pPr>
            <w:r>
              <w:rPr>
                <w:bCs/>
                <w:b/>
              </w:rPr>
              <w:t xml:space="preserve">Success for Dev</w:t>
            </w:r>
          </w:p>
        </w:tc>
        <w:tc>
          <w:tcPr/>
          <w:p>
            <w:pPr>
              <w:pStyle w:val="Compact"/>
              <w:jc w:val="left"/>
            </w:pPr>
            <w:r>
              <w:t xml:space="preserve">He compares two candidate sites side by side, sees that one overlaps his existing catchment, and takes the printout to his accountant.</w:t>
            </w:r>
          </w:p>
        </w:tc>
      </w:tr>
    </w:tbl>
    <w:bookmarkEnd w:id="21"/>
    <w:bookmarkStart w:id="22" w:name="X54ab539668fab22778fa7a49afa8b57785d361d"/>
    <w:p>
      <w:pPr>
        <w:pStyle w:val="Heading2"/>
      </w:pPr>
      <w:r>
        <w:rPr>
          <w:bCs/>
          <w:b/>
        </w:rPr>
        <w:t xml:space="preserve">Persona 3 · Renée — the advisor, and the buyer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Detail</w:t>
            </w:r>
          </w:p>
        </w:tc>
      </w:tr>
      <w:tr>
        <w:tc>
          <w:tcPr/>
          <w:p>
            <w:pPr>
              <w:pStyle w:val="Compact"/>
              <w:jc w:val="left"/>
            </w:pPr>
            <w:r>
              <w:rPr>
                <w:bCs/>
                <w:b/>
              </w:rPr>
              <w:t xml:space="preserve">Profile</w:t>
            </w:r>
          </w:p>
        </w:tc>
        <w:tc>
          <w:tcPr/>
          <w:p>
            <w:pPr>
              <w:pStyle w:val="Compact"/>
              <w:jc w:val="left"/>
            </w:pPr>
            <w:r>
              <w:t xml:space="preserve">Business advisor at a Toronto Small Business Enterprise Centre. Sees roughly a dozen prospective owners a week, most of them at Amara’s stage.</w:t>
            </w:r>
          </w:p>
        </w:tc>
      </w:tr>
      <w:tr>
        <w:tc>
          <w:tcPr/>
          <w:p>
            <w:pPr>
              <w:pStyle w:val="Compact"/>
              <w:jc w:val="left"/>
            </w:pPr>
            <w:r>
              <w:rPr>
                <w:bCs/>
                <w:b/>
              </w:rPr>
              <w:t xml:space="preserve">Current behaviour</w:t>
            </w:r>
          </w:p>
        </w:tc>
        <w:tc>
          <w:tcPr/>
          <w:p>
            <w:pPr>
              <w:pStyle w:val="Compact"/>
              <w:jc w:val="left"/>
            </w:pPr>
            <w:r>
              <w:t xml:space="preserve">Rebuilds the same financing eligibility picture by hand for every client, from memory and bookmarks. Draws catchment reasoning on a whiteboard. Keeps a personal spreadsheet of program intake dates because no single official page lists them together.</w:t>
            </w:r>
          </w:p>
        </w:tc>
      </w:tr>
      <w:tr>
        <w:tc>
          <w:tcPr/>
          <w:p>
            <w:pPr>
              <w:pStyle w:val="Compact"/>
              <w:jc w:val="left"/>
            </w:pPr>
            <w:r>
              <w:rPr>
                <w:bCs/>
                <w:b/>
              </w:rPr>
              <w:t xml:space="preserve">What she needs</w:t>
            </w:r>
          </w:p>
        </w:tc>
        <w:tc>
          <w:tcPr/>
          <w:p>
            <w:pPr>
              <w:pStyle w:val="Compact"/>
              <w:jc w:val="left"/>
            </w:pPr>
            <w:r>
              <w:t xml:space="preserve">To stop repeating herself. A consistent, current, shareable starting point so the appointment can be spent on judgement rather than on look-ups.</w:t>
            </w:r>
          </w:p>
        </w:tc>
      </w:tr>
      <w:tr>
        <w:tc>
          <w:tcPr/>
          <w:p>
            <w:pPr>
              <w:pStyle w:val="Compact"/>
              <w:jc w:val="left"/>
            </w:pPr>
            <w:r>
              <w:rPr>
                <w:bCs/>
                <w:b/>
              </w:rPr>
              <w:t xml:space="preserve">What she risks</w:t>
            </w:r>
          </w:p>
        </w:tc>
        <w:tc>
          <w:tcPr/>
          <w:p>
            <w:pPr>
              <w:pStyle w:val="Compact"/>
              <w:jc w:val="left"/>
            </w:pPr>
            <w:r>
              <w:t xml:space="preserve">Giving a client stale program information. Her credibility is the product; she will not adopt a tool she cannot audit.</w:t>
            </w:r>
          </w:p>
        </w:tc>
      </w:tr>
      <w:tr>
        <w:tc>
          <w:tcPr/>
          <w:p>
            <w:pPr>
              <w:pStyle w:val="Compact"/>
              <w:jc w:val="left"/>
            </w:pPr>
            <w:r>
              <w:rPr>
                <w:bCs/>
                <w:b/>
              </w:rPr>
              <w:t xml:space="preserve">Barriers to adoption</w:t>
            </w:r>
          </w:p>
        </w:tc>
        <w:tc>
          <w:tcPr/>
          <w:p>
            <w:pPr>
              <w:pStyle w:val="Compact"/>
              <w:jc w:val="left"/>
            </w:pPr>
            <w:r>
              <w:t xml:space="preserve">Cannot approve a large purchase alone, but can expense a seat. Will not use anything that looks like a lead-generation funnel pointed at her clients — which is exactly why Groundwork being paid by its users rather than by lenders matters to her.</w:t>
            </w:r>
          </w:p>
        </w:tc>
      </w:tr>
      <w:tr>
        <w:tc>
          <w:tcPr/>
          <w:p>
            <w:pPr>
              <w:pStyle w:val="Compact"/>
              <w:jc w:val="left"/>
            </w:pPr>
            <w:r>
              <w:rPr>
                <w:bCs/>
                <w:b/>
              </w:rPr>
              <w:t xml:space="preserve">What her organisation will pay</w:t>
            </w:r>
          </w:p>
        </w:tc>
        <w:tc>
          <w:tcPr/>
          <w:p>
            <w:pPr>
              <w:pStyle w:val="Compact"/>
              <w:jc w:val="left"/>
            </w:pPr>
            <w:r>
              <w:t xml:space="preserve">Nothing yet. The advisor seat and territory licence are future work, so at launch Renée would be using the owner product — probably the $249 subscription, expensed — while running client sessions it was not designed for. She is the clearest evidence that the advisor tier is the first thing to build after launch, not an optional expansion.</w:t>
            </w:r>
          </w:p>
        </w:tc>
      </w:tr>
      <w:tr>
        <w:tc>
          <w:tcPr/>
          <w:p>
            <w:pPr>
              <w:pStyle w:val="Compact"/>
              <w:jc w:val="left"/>
            </w:pPr>
            <w:r>
              <w:rPr>
                <w:bCs/>
                <w:b/>
              </w:rPr>
              <w:t xml:space="preserve">Success for Renée</w:t>
            </w:r>
          </w:p>
        </w:tc>
        <w:tc>
          <w:tcPr/>
          <w:p>
            <w:pPr>
              <w:pStyle w:val="Compact"/>
              <w:jc w:val="left"/>
            </w:pPr>
            <w:r>
              <w:t xml:space="preserve">Client arrives having already run Groundwork, with a shortlist and a funding question. The appointment starts thirty minutes further along.</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DESIGN CONSEQUENCE</w:t>
            </w:r>
            <w:r>
              <w:t xml:space="preserve"> Renée is why the source URL and last-verified date appear on every financing record in the interface. That design decision is not a nicety; it is the difference between an advisor recommending the tool and an advisor quietly warning clients away from it.</w:t>
            </w:r>
          </w:p>
        </w:tc>
      </w:tr>
    </w:tbl>
    <w:bookmarkEnd w:id="22"/>
    <w:bookmarkEnd w:id="23"/>
    <w:bookmarkStart w:id="24" w:name="customer-journey-map"/>
    <w:p>
      <w:pPr>
        <w:pStyle w:val="Heading1"/>
      </w:pPr>
      <w:r>
        <w:rPr>
          <w:bCs/>
          <w:b/>
        </w:rPr>
        <w:t xml:space="preserve">2. Customer journey map</w:t>
      </w:r>
    </w:p>
    <w:p>
      <w:pPr>
        <w:pStyle w:val="FirstParagraph"/>
      </w:pPr>
      <w:r>
        <w:t xml:space="preserve">Amara’s journey, from the decision to open through to opening day. The shaded column is where Groundwork intervenes.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Stage</w:t>
            </w:r>
          </w:p>
        </w:tc>
        <w:tc>
          <w:tcPr/>
          <w:p>
            <w:pPr>
              <w:pStyle w:val="Compact"/>
              <w:jc w:val="left"/>
            </w:pPr>
            <w:r>
              <w:rPr>
                <w:bCs/>
                <w:b/>
              </w:rPr>
              <w:t xml:space="preserve">What she does now</w:t>
            </w:r>
          </w:p>
        </w:tc>
        <w:tc>
          <w:tcPr/>
          <w:p>
            <w:pPr>
              <w:pStyle w:val="Compact"/>
              <w:jc w:val="left"/>
            </w:pPr>
            <w:r>
              <w:rPr>
                <w:bCs/>
                <w:b/>
              </w:rPr>
              <w:t xml:space="preserve">What she feels</w:t>
            </w:r>
          </w:p>
        </w:tc>
        <w:tc>
          <w:tcPr/>
          <w:p>
            <w:pPr>
              <w:pStyle w:val="Compact"/>
              <w:jc w:val="left"/>
            </w:pPr>
            <w:r>
              <w:rPr>
                <w:bCs/>
                <w:b/>
              </w:rPr>
              <w:t xml:space="preserve">Where it breaks</w:t>
            </w:r>
          </w:p>
        </w:tc>
        <w:tc>
          <w:tcPr/>
          <w:p>
            <w:pPr>
              <w:pStyle w:val="Compact"/>
              <w:jc w:val="left"/>
            </w:pPr>
            <w:r>
              <w:rPr>
                <w:bCs/>
                <w:b/>
              </w:rPr>
              <w:t xml:space="preserve">Groundwork</w:t>
            </w:r>
          </w:p>
        </w:tc>
      </w:tr>
      <w:tr>
        <w:tc>
          <w:tcPr/>
          <w:p>
            <w:pPr>
              <w:pStyle w:val="Compact"/>
              <w:jc w:val="left"/>
            </w:pPr>
            <w:r>
              <w:rPr>
                <w:bCs/>
                <w:b/>
              </w:rPr>
              <w:t xml:space="preserve">1. Trigger</w:t>
            </w:r>
          </w:p>
        </w:tc>
        <w:tc>
          <w:tcPr/>
          <w:p>
            <w:pPr>
              <w:pStyle w:val="Compact"/>
              <w:jc w:val="left"/>
            </w:pPr>
            <w:r>
              <w:t xml:space="preserve">Decides to open. Tells family. Starts saving deliberately.</w:t>
            </w:r>
          </w:p>
        </w:tc>
        <w:tc>
          <w:tcPr/>
          <w:p>
            <w:pPr>
              <w:pStyle w:val="Compact"/>
              <w:jc w:val="left"/>
            </w:pPr>
            <w:r>
              <w:t xml:space="preserve">Excited, private about it</w:t>
            </w:r>
          </w:p>
        </w:tc>
        <w:tc>
          <w:tcPr/>
          <w:p>
            <w:pPr>
              <w:pStyle w:val="Compact"/>
              <w:jc w:val="left"/>
            </w:pPr>
            <w:r>
              <w:t xml:space="preserve">Nothing yet</w:t>
            </w:r>
          </w:p>
        </w:tc>
        <w:tc>
          <w:tcPr/>
          <w:p>
            <w:pPr>
              <w:pStyle w:val="Compact"/>
              <w:jc w:val="left"/>
            </w:pPr>
            <w:r>
              <w:t xml:space="preserve">—</w:t>
            </w:r>
          </w:p>
        </w:tc>
      </w:tr>
      <w:tr>
        <w:tc>
          <w:tcPr/>
          <w:p>
            <w:pPr>
              <w:pStyle w:val="Compact"/>
              <w:jc w:val="left"/>
            </w:pPr>
            <w:r>
              <w:rPr>
                <w:bCs/>
                <w:b/>
              </w:rPr>
              <w:t xml:space="preserve">2. Scanning</w:t>
            </w:r>
          </w:p>
        </w:tc>
        <w:tc>
          <w:tcPr/>
          <w:p>
            <w:pPr>
              <w:pStyle w:val="Compact"/>
              <w:jc w:val="left"/>
            </w:pPr>
            <w:r>
              <w:t xml:space="preserve">Walks neighbourhoods on weekends. Notes phone numbers on window signs. Searches “how to open a store in Toronto.”</w:t>
            </w:r>
          </w:p>
        </w:tc>
        <w:tc>
          <w:tcPr/>
          <w:p>
            <w:pPr>
              <w:pStyle w:val="Compact"/>
              <w:jc w:val="left"/>
            </w:pPr>
            <w:r>
              <w:t xml:space="preserve">Optimistic but scattered</w:t>
            </w:r>
          </w:p>
        </w:tc>
        <w:tc>
          <w:tcPr/>
          <w:p>
            <w:pPr>
              <w:pStyle w:val="Compact"/>
              <w:jc w:val="left"/>
            </w:pPr>
            <w:r>
              <w:t xml:space="preserve">No structure. Every area looks equally plausible.</w:t>
            </w:r>
          </w:p>
        </w:tc>
        <w:tc>
          <w:tcPr/>
          <w:p>
            <w:pPr>
              <w:pStyle w:val="Compact"/>
              <w:jc w:val="left"/>
            </w:pPr>
            <w:r>
              <w:t xml:space="preserve">Opens the map, picks her category, sees the whole city ranked in one view</w:t>
            </w:r>
          </w:p>
        </w:tc>
      </w:tr>
      <w:tr>
        <w:tc>
          <w:tcPr/>
          <w:p>
            <w:pPr>
              <w:pStyle w:val="Compact"/>
              <w:jc w:val="left"/>
            </w:pPr>
            <w:r>
              <w:rPr>
                <w:bCs/>
                <w:b/>
              </w:rPr>
              <w:t xml:space="preserve">3. Shortlisting</w:t>
            </w:r>
          </w:p>
        </w:tc>
        <w:tc>
          <w:tcPr/>
          <w:p>
            <w:pPr>
              <w:pStyle w:val="Compact"/>
              <w:jc w:val="left"/>
            </w:pPr>
            <w:r>
              <w:t xml:space="preserve">Picks two or three units based on rent and street feel.</w:t>
            </w:r>
          </w:p>
        </w:tc>
        <w:tc>
          <w:tcPr/>
          <w:p>
            <w:pPr>
              <w:pStyle w:val="Compact"/>
              <w:jc w:val="left"/>
            </w:pPr>
            <w:r>
              <w:t xml:space="preserve">Attached to a favourite already</w:t>
            </w:r>
          </w:p>
        </w:tc>
        <w:tc>
          <w:tcPr/>
          <w:p>
            <w:pPr>
              <w:pStyle w:val="Compact"/>
              <w:jc w:val="left"/>
            </w:pPr>
            <w:r>
              <w:t xml:space="preserve">Selection is driven by what was advertised, not by fit. Confirmation bias sets in early.</w:t>
            </w:r>
          </w:p>
        </w:tc>
        <w:tc>
          <w:tcPr/>
          <w:p>
            <w:pPr>
              <w:pStyle w:val="Compact"/>
              <w:jc w:val="left"/>
            </w:pPr>
            <w:r>
              <w:t xml:space="preserve">Component scores show why an area ranks where it does; her favourite may drop</w:t>
            </w:r>
          </w:p>
        </w:tc>
      </w:tr>
      <w:tr>
        <w:tc>
          <w:tcPr/>
          <w:p>
            <w:pPr>
              <w:pStyle w:val="Compact"/>
              <w:jc w:val="left"/>
            </w:pPr>
            <w:r>
              <w:rPr>
                <w:bCs/>
                <w:b/>
              </w:rPr>
              <w:t xml:space="preserve">4. Verifying</w:t>
            </w:r>
          </w:p>
        </w:tc>
        <w:tc>
          <w:tcPr/>
          <w:p>
            <w:pPr>
              <w:pStyle w:val="Compact"/>
              <w:jc w:val="left"/>
            </w:pPr>
            <w:r>
              <w:t xml:space="preserve">Visits at different times of day. Asks the landlord about foot traffic.</w:t>
            </w:r>
          </w:p>
        </w:tc>
        <w:tc>
          <w:tcPr/>
          <w:p>
            <w:pPr>
              <w:pStyle w:val="Compact"/>
              <w:jc w:val="left"/>
            </w:pPr>
            <w:r>
              <w:t xml:space="preserve">Reassured by the landlord</w:t>
            </w:r>
          </w:p>
        </w:tc>
        <w:tc>
          <w:tcPr/>
          <w:p>
            <w:pPr>
              <w:pStyle w:val="Compact"/>
              <w:jc w:val="left"/>
            </w:pPr>
            <w:r>
              <w:t xml:space="preserve">The only data source is a party with an interest in the answer.</w:t>
            </w:r>
          </w:p>
        </w:tc>
        <w:tc>
          <w:tcPr/>
          <w:p>
            <w:pPr>
              <w:pStyle w:val="Compact"/>
              <w:jc w:val="left"/>
            </w:pPr>
            <w:r>
              <w:t xml:space="preserve">Competitor count and demographic profile give an independent second opinion</w:t>
            </w:r>
          </w:p>
        </w:tc>
      </w:tr>
      <w:tr>
        <w:tc>
          <w:tcPr/>
          <w:p>
            <w:pPr>
              <w:pStyle w:val="Compact"/>
              <w:jc w:val="left"/>
            </w:pPr>
            <w:r>
              <w:rPr>
                <w:bCs/>
                <w:b/>
              </w:rPr>
              <w:t xml:space="preserve">5. Costing and financing</w:t>
            </w:r>
          </w:p>
        </w:tc>
        <w:tc>
          <w:tcPr/>
          <w:p>
            <w:pPr>
              <w:pStyle w:val="Compact"/>
              <w:jc w:val="left"/>
            </w:pPr>
            <w:r>
              <w:t xml:space="preserve">Asks her bank about a business loan. Considers a personal line of credit. Asks family.</w:t>
            </w:r>
          </w:p>
        </w:tc>
        <w:tc>
          <w:tcPr/>
          <w:p>
            <w:pPr>
              <w:pStyle w:val="Compact"/>
              <w:jc w:val="left"/>
            </w:pPr>
            <w:r>
              <w:t xml:space="preserve">Anxious, slightly ashamed</w:t>
            </w:r>
          </w:p>
        </w:tc>
        <w:tc>
          <w:tcPr/>
          <w:p>
            <w:pPr>
              <w:pStyle w:val="Compact"/>
              <w:jc w:val="left"/>
            </w:pPr>
            <w:r>
              <w:t xml:space="preserve">This is the deepest failure point. She does not know what to ask for, so she asks for the wrong thing and takes what is offered.</w:t>
            </w:r>
          </w:p>
        </w:tc>
        <w:tc>
          <w:tcPr/>
          <w:p>
            <w:pPr>
              <w:pStyle w:val="Compact"/>
              <w:jc w:val="left"/>
            </w:pPr>
            <w:r>
              <w:t xml:space="preserve">She buys the single-site plan. The cost model turns her format and chosen area into a line-item budget in ranges, the eligibility engine returns a ranked shortlist, and the capital stack is assembled against the gap the cost model calculated rather than against a figure she guessed</w:t>
            </w:r>
          </w:p>
        </w:tc>
      </w:tr>
      <w:tr>
        <w:tc>
          <w:tcPr/>
          <w:p>
            <w:pPr>
              <w:pStyle w:val="Compact"/>
              <w:jc w:val="left"/>
            </w:pPr>
            <w:r>
              <w:rPr>
                <w:bCs/>
                <w:b/>
              </w:rPr>
              <w:t xml:space="preserve">6. Committing</w:t>
            </w:r>
          </w:p>
        </w:tc>
        <w:tc>
          <w:tcPr/>
          <w:p>
            <w:pPr>
              <w:pStyle w:val="Compact"/>
              <w:jc w:val="left"/>
            </w:pPr>
            <w:r>
              <w:t xml:space="preserve">Signs the lease. Draws the credit. Orders equipment.</w:t>
            </w:r>
          </w:p>
        </w:tc>
        <w:tc>
          <w:tcPr/>
          <w:p>
            <w:pPr>
              <w:pStyle w:val="Compact"/>
              <w:jc w:val="left"/>
            </w:pPr>
            <w:r>
              <w:t xml:space="preserve">Relieved, then frightened</w:t>
            </w:r>
          </w:p>
        </w:tc>
        <w:tc>
          <w:tcPr/>
          <w:p>
            <w:pPr>
              <w:pStyle w:val="Compact"/>
              <w:jc w:val="left"/>
            </w:pPr>
            <w:r>
              <w:t xml:space="preserve">Irreversible. Any error made in stages 3 and 5 is now locked in for years.</w:t>
            </w:r>
          </w:p>
        </w:tc>
        <w:tc>
          <w:tcPr/>
          <w:p>
            <w:pPr>
              <w:pStyle w:val="Compact"/>
              <w:jc w:val="left"/>
            </w:pPr>
            <w:r>
              <w:t xml:space="preserve">Exportable summary to take to an advisor or lender before signing</w:t>
            </w:r>
          </w:p>
        </w:tc>
      </w:tr>
      <w:tr>
        <w:tc>
          <w:tcPr/>
          <w:p>
            <w:pPr>
              <w:pStyle w:val="Compact"/>
              <w:jc w:val="left"/>
            </w:pPr>
            <w:r>
              <w:rPr>
                <w:bCs/>
                <w:b/>
              </w:rPr>
              <w:t xml:space="preserve">7. Opening</w:t>
            </w:r>
          </w:p>
        </w:tc>
        <w:tc>
          <w:tcPr/>
          <w:p>
            <w:pPr>
              <w:pStyle w:val="Compact"/>
              <w:jc w:val="left"/>
            </w:pPr>
            <w:r>
              <w:t xml:space="preserve">Fits out, hires, opens.</w:t>
            </w:r>
          </w:p>
        </w:tc>
        <w:tc>
          <w:tcPr/>
          <w:p>
            <w:pPr>
              <w:pStyle w:val="Compact"/>
              <w:jc w:val="left"/>
            </w:pPr>
            <w:r>
              <w:t xml:space="preserve">Overwhelmed</w:t>
            </w:r>
          </w:p>
        </w:tc>
        <w:tc>
          <w:tcPr/>
          <w:p>
            <w:pPr>
              <w:pStyle w:val="Compact"/>
              <w:jc w:val="left"/>
            </w:pPr>
            <w:r>
              <w:t xml:space="preserve">Discovers the mismatch, if there is one, in month four when revenue undershoots.</w:t>
            </w:r>
          </w:p>
        </w:tc>
        <w:tc>
          <w:tcPr/>
          <w:p>
            <w:pPr>
              <w:pStyle w:val="Compact"/>
              <w:jc w:val="left"/>
            </w:pPr>
            <w:r>
              <w:t xml:space="preserve">Post-launch prompts for programs she becomes eligible for later, such as Starter Company Plus at month eight</w:t>
            </w:r>
          </w:p>
        </w:tc>
      </w:tr>
    </w:tbl>
    <w:p>
      <w:pPr>
        <w:pStyle w:val="BodyText"/>
      </w:pPr>
      <w:r>
        <w:t xml:space="preserve">Two observations from mapping this. First, the emotional low point is stage 5, not stage 6 — the financing conversation is where a first-time owner feels least competent, and it is the stage no existing location tool touches. Second, stages 3 and 4 are where the damage is done but stage 7 is where it is felt, which is exactly why owners do not learn from it and why the market does not self-correct.</w:t>
      </w:r>
    </w:p>
    <w:bookmarkEnd w:id="24"/>
    <w:bookmarkStart w:id="26" w:name="development-budget-100000-cad"/>
    <w:p>
      <w:pPr>
        <w:pStyle w:val="Heading1"/>
      </w:pPr>
      <w:r>
        <w:rPr>
          <w:bCs/>
          <w:b/>
        </w:rPr>
        <w:t xml:space="preserve">3. Development budget: $100,000 CAD</w:t>
      </w:r>
    </w:p>
    <w:p>
      <w:pPr>
        <w:pStyle w:val="FirstParagraph"/>
      </w:pPr>
      <w:r>
        <w:t xml:space="preserve">The prototype and the first working build are produced in a one-week sprint with Claude Code. This budget covers the twelve months after that week: hardening the MVP, building and maintaining the financing database, validating with real users, and running an institutional pilot. It is a twelve-month plan for a two-person core team supplemented by contract specialists, not a salary budget for a full-time staff.</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Line item</w:t>
            </w:r>
          </w:p>
        </w:tc>
        <w:tc>
          <w:tcPr/>
          <w:p>
            <w:pPr>
              <w:pStyle w:val="Compact"/>
              <w:jc w:val="left"/>
            </w:pPr>
            <w:r>
              <w:rPr>
                <w:bCs/>
                <w:b/>
              </w:rPr>
              <w:t xml:space="preserve">What it buys</w:t>
            </w:r>
          </w:p>
        </w:tc>
        <w:tc>
          <w:tcPr/>
          <w:p>
            <w:pPr>
              <w:pStyle w:val="Compact"/>
              <w:jc w:val="left"/>
            </w:pPr>
            <w:r>
              <w:rPr>
                <w:bCs/>
                <w:b/>
              </w:rPr>
              <w:t xml:space="preserve">Amount</w:t>
            </w:r>
          </w:p>
        </w:tc>
        <w:tc>
          <w:tcPr/>
          <w:p>
            <w:pPr>
              <w:pStyle w:val="Compact"/>
              <w:jc w:val="left"/>
            </w:pPr>
            <w:r>
              <w:rPr>
                <w:bCs/>
                <w:b/>
              </w:rPr>
              <w:t xml:space="preserve">%</w:t>
            </w:r>
          </w:p>
        </w:tc>
      </w:tr>
      <w:tr>
        <w:tc>
          <w:tcPr/>
          <w:p>
            <w:pPr>
              <w:pStyle w:val="Compact"/>
              <w:jc w:val="left"/>
            </w:pPr>
            <w:r>
              <w:rPr>
                <w:bCs/>
                <w:b/>
              </w:rPr>
              <w:t xml:space="preserve">1</w:t>
            </w:r>
          </w:p>
        </w:tc>
        <w:tc>
          <w:tcPr/>
          <w:p>
            <w:pPr>
              <w:pStyle w:val="Compact"/>
              <w:jc w:val="left"/>
            </w:pPr>
            <w:r>
              <w:t xml:space="preserve">Engineering — MVP hardening and financing engine</w:t>
            </w:r>
          </w:p>
        </w:tc>
        <w:tc>
          <w:tcPr/>
          <w:p>
            <w:pPr>
              <w:pStyle w:val="Compact"/>
              <w:jc w:val="left"/>
            </w:pPr>
            <w:r>
              <w:t xml:space="preserve">Contract senior developer, roughly 10 weeks. Server-side StatCan proxy, PostGIS spatial joins, eligibility rules engine, capital stack logic, export, accessibility fixes, test coverage.</w:t>
            </w:r>
          </w:p>
        </w:tc>
        <w:tc>
          <w:tcPr/>
          <w:p>
            <w:pPr>
              <w:pStyle w:val="Compact"/>
              <w:jc w:val="left"/>
            </w:pPr>
            <w:r>
              <w:t xml:space="preserve">$28,000</w:t>
            </w:r>
          </w:p>
        </w:tc>
        <w:tc>
          <w:tcPr/>
          <w:p>
            <w:pPr>
              <w:pStyle w:val="Compact"/>
              <w:jc w:val="left"/>
            </w:pPr>
            <w:r>
              <w:t xml:space="preserve">28%</w:t>
            </w:r>
          </w:p>
        </w:tc>
      </w:tr>
      <w:tr>
        <w:tc>
          <w:tcPr/>
          <w:p>
            <w:pPr>
              <w:pStyle w:val="Compact"/>
              <w:jc w:val="left"/>
            </w:pPr>
            <w:r>
              <w:rPr>
                <w:bCs/>
                <w:b/>
              </w:rPr>
              <w:t xml:space="preserve">2</w:t>
            </w:r>
          </w:p>
        </w:tc>
        <w:tc>
          <w:tcPr/>
          <w:p>
            <w:pPr>
              <w:pStyle w:val="Compact"/>
              <w:jc w:val="left"/>
            </w:pPr>
            <w:r>
              <w:t xml:space="preserve">Data pipeline and financing database curation</w:t>
            </w:r>
          </w:p>
        </w:tc>
        <w:tc>
          <w:tcPr/>
          <w:p>
            <w:pPr>
              <w:pStyle w:val="Compact"/>
              <w:jc w:val="left"/>
            </w:pPr>
            <w:r>
              <w:t xml:space="preserve">Census attribute loading and validation, OpenStreetMap extraction and category coverage measurement, initial curation of 40–60 financing programs with structured eligibility predicates, plus two funded quarterly re-verification passes.</w:t>
            </w:r>
          </w:p>
        </w:tc>
        <w:tc>
          <w:tcPr/>
          <w:p>
            <w:pPr>
              <w:pStyle w:val="Compact"/>
              <w:jc w:val="left"/>
            </w:pPr>
            <w:r>
              <w:t xml:space="preserve">$14,000</w:t>
            </w:r>
          </w:p>
        </w:tc>
        <w:tc>
          <w:tcPr/>
          <w:p>
            <w:pPr>
              <w:pStyle w:val="Compact"/>
              <w:jc w:val="left"/>
            </w:pPr>
            <w:r>
              <w:t xml:space="preserve">14%</w:t>
            </w:r>
          </w:p>
        </w:tc>
      </w:tr>
      <w:tr>
        <w:tc>
          <w:tcPr/>
          <w:p>
            <w:pPr>
              <w:pStyle w:val="Compact"/>
              <w:jc w:val="left"/>
            </w:pPr>
            <w:r>
              <w:rPr>
                <w:bCs/>
                <w:b/>
              </w:rPr>
              <w:t xml:space="preserve">3</w:t>
            </w:r>
          </w:p>
        </w:tc>
        <w:tc>
          <w:tcPr/>
          <w:p>
            <w:pPr>
              <w:pStyle w:val="Compact"/>
              <w:jc w:val="left"/>
            </w:pPr>
            <w:r>
              <w:t xml:space="preserve">Go-to-market and BIA pilot</w:t>
            </w:r>
          </w:p>
        </w:tc>
        <w:tc>
          <w:tcPr/>
          <w:p>
            <w:pPr>
              <w:pStyle w:val="Compact"/>
              <w:jc w:val="left"/>
            </w:pPr>
            <w:r>
              <w:t xml:space="preserve">One paid Business Improvement Area pilot, advisor onboarding materials, case study production, conference and municipal procurement groundwork, and paid acquisition tests for the $99.99 single-site plan.</w:t>
            </w:r>
          </w:p>
        </w:tc>
        <w:tc>
          <w:tcPr/>
          <w:p>
            <w:pPr>
              <w:pStyle w:val="Compact"/>
              <w:jc w:val="left"/>
            </w:pPr>
            <w:r>
              <w:t xml:space="preserve">$12,500</w:t>
            </w:r>
          </w:p>
        </w:tc>
        <w:tc>
          <w:tcPr/>
          <w:p>
            <w:pPr>
              <w:pStyle w:val="Compact"/>
              <w:jc w:val="left"/>
            </w:pPr>
            <w:r>
              <w:t xml:space="preserve">12.5%</w:t>
            </w:r>
          </w:p>
        </w:tc>
      </w:tr>
      <w:tr>
        <w:tc>
          <w:tcPr/>
          <w:p>
            <w:pPr>
              <w:pStyle w:val="Compact"/>
              <w:jc w:val="left"/>
            </w:pPr>
            <w:r>
              <w:rPr>
                <w:bCs/>
                <w:b/>
              </w:rPr>
              <w:t xml:space="preserve">4</w:t>
            </w:r>
          </w:p>
        </w:tc>
        <w:tc>
          <w:tcPr/>
          <w:p>
            <w:pPr>
              <w:pStyle w:val="Compact"/>
              <w:jc w:val="left"/>
            </w:pPr>
            <w:r>
              <w:t xml:space="preserve">User research and validation</w:t>
            </w:r>
          </w:p>
        </w:tc>
        <w:tc>
          <w:tcPr/>
          <w:p>
            <w:pPr>
              <w:pStyle w:val="Compact"/>
              <w:jc w:val="left"/>
            </w:pPr>
            <w:r>
              <w:t xml:space="preserve">30 sessions with prospective owners recruited through settlement agencies and enterprise centres, 8 with advisors. Incentives, recruitment, facilitation, synthesis. Directly answers the competitor review’s warning that the differentiation must be validated, not assumed.</w:t>
            </w:r>
          </w:p>
        </w:tc>
        <w:tc>
          <w:tcPr/>
          <w:p>
            <w:pPr>
              <w:pStyle w:val="Compact"/>
              <w:jc w:val="left"/>
            </w:pPr>
            <w:r>
              <w:t xml:space="preserve">$11,000</w:t>
            </w:r>
          </w:p>
        </w:tc>
        <w:tc>
          <w:tcPr/>
          <w:p>
            <w:pPr>
              <w:pStyle w:val="Compact"/>
              <w:jc w:val="left"/>
            </w:pPr>
            <w:r>
              <w:t xml:space="preserve">11%</w:t>
            </w:r>
          </w:p>
        </w:tc>
      </w:tr>
      <w:tr>
        <w:tc>
          <w:tcPr/>
          <w:p>
            <w:pPr>
              <w:pStyle w:val="Compact"/>
              <w:jc w:val="left"/>
            </w:pPr>
            <w:r>
              <w:rPr>
                <w:bCs/>
                <w:b/>
              </w:rPr>
              <w:t xml:space="preserve">5</w:t>
            </w:r>
          </w:p>
        </w:tc>
        <w:tc>
          <w:tcPr/>
          <w:p>
            <w:pPr>
              <w:pStyle w:val="Compact"/>
              <w:jc w:val="left"/>
            </w:pPr>
            <w:r>
              <w:t xml:space="preserve">Design and accessibility</w:t>
            </w:r>
          </w:p>
        </w:tc>
        <w:tc>
          <w:tcPr/>
          <w:p>
            <w:pPr>
              <w:pStyle w:val="Compact"/>
              <w:jc w:val="left"/>
            </w:pPr>
            <w:r>
              <w:t xml:space="preserve">Interaction design for the financing questionnaire, WCAG 2.2 AA conformance, mobile layouts, plain-language review of every explanation string.</w:t>
            </w:r>
          </w:p>
        </w:tc>
        <w:tc>
          <w:tcPr/>
          <w:p>
            <w:pPr>
              <w:pStyle w:val="Compact"/>
              <w:jc w:val="left"/>
            </w:pPr>
            <w:r>
              <w:t xml:space="preserve">$9,000</w:t>
            </w:r>
          </w:p>
        </w:tc>
        <w:tc>
          <w:tcPr/>
          <w:p>
            <w:pPr>
              <w:pStyle w:val="Compact"/>
              <w:jc w:val="left"/>
            </w:pPr>
            <w:r>
              <w:t xml:space="preserve">9%</w:t>
            </w:r>
          </w:p>
        </w:tc>
      </w:tr>
      <w:tr>
        <w:tc>
          <w:tcPr/>
          <w:p>
            <w:pPr>
              <w:pStyle w:val="Compact"/>
              <w:jc w:val="left"/>
            </w:pPr>
            <w:r>
              <w:rPr>
                <w:bCs/>
                <w:b/>
              </w:rPr>
              <w:t xml:space="preserve">6</w:t>
            </w:r>
          </w:p>
        </w:tc>
        <w:tc>
          <w:tcPr/>
          <w:p>
            <w:pPr>
              <w:pStyle w:val="Compact"/>
              <w:jc w:val="left"/>
            </w:pPr>
            <w:r>
              <w:t xml:space="preserve">Contingency</w:t>
            </w:r>
          </w:p>
        </w:tc>
        <w:tc>
          <w:tcPr/>
          <w:p>
            <w:pPr>
              <w:pStyle w:val="Compact"/>
              <w:jc w:val="left"/>
            </w:pPr>
            <w:r>
              <w:t xml:space="preserve">Held against scope discovery in the financing rules, which is the least predictable part of the build.</w:t>
            </w:r>
          </w:p>
        </w:tc>
        <w:tc>
          <w:tcPr/>
          <w:p>
            <w:pPr>
              <w:pStyle w:val="Compact"/>
              <w:jc w:val="left"/>
            </w:pPr>
            <w:r>
              <w:t xml:space="preserve">$8,000</w:t>
            </w:r>
          </w:p>
        </w:tc>
        <w:tc>
          <w:tcPr/>
          <w:p>
            <w:pPr>
              <w:pStyle w:val="Compact"/>
              <w:jc w:val="left"/>
            </w:pPr>
            <w:r>
              <w:t xml:space="preserve">8%</w:t>
            </w:r>
          </w:p>
        </w:tc>
      </w:tr>
      <w:tr>
        <w:tc>
          <w:tcPr/>
          <w:p>
            <w:pPr>
              <w:pStyle w:val="Compact"/>
              <w:jc w:val="left"/>
            </w:pPr>
            <w:r>
              <w:rPr>
                <w:bCs/>
                <w:b/>
              </w:rPr>
              <w:t xml:space="preserve">7</w:t>
            </w:r>
          </w:p>
        </w:tc>
        <w:tc>
          <w:tcPr/>
          <w:p>
            <w:pPr>
              <w:pStyle w:val="Compact"/>
              <w:jc w:val="left"/>
            </w:pPr>
            <w:r>
              <w:t xml:space="preserve">Legal, privacy and insurance</w:t>
            </w:r>
          </w:p>
        </w:tc>
        <w:tc>
          <w:tcPr/>
          <w:p>
            <w:pPr>
              <w:pStyle w:val="Compact"/>
              <w:jc w:val="left"/>
            </w:pPr>
            <w:r>
              <w:t xml:space="preserve">Terms of use and disclaimer drafting for financing guidance, privacy review, professional liability cover. Non-negotiable for a product that tells people what to borrow.</w:t>
            </w:r>
          </w:p>
        </w:tc>
        <w:tc>
          <w:tcPr/>
          <w:p>
            <w:pPr>
              <w:pStyle w:val="Compact"/>
              <w:jc w:val="left"/>
            </w:pPr>
            <w:r>
              <w:t xml:space="preserve">$7,500</w:t>
            </w:r>
          </w:p>
        </w:tc>
        <w:tc>
          <w:tcPr/>
          <w:p>
            <w:pPr>
              <w:pStyle w:val="Compact"/>
              <w:jc w:val="left"/>
            </w:pPr>
            <w:r>
              <w:t xml:space="preserve">7.5%</w:t>
            </w:r>
          </w:p>
        </w:tc>
      </w:tr>
      <w:tr>
        <w:tc>
          <w:tcPr/>
          <w:p>
            <w:pPr>
              <w:pStyle w:val="Compact"/>
              <w:jc w:val="left"/>
            </w:pPr>
            <w:r>
              <w:rPr>
                <w:bCs/>
                <w:b/>
              </w:rPr>
              <w:t xml:space="preserve">8</w:t>
            </w:r>
          </w:p>
        </w:tc>
        <w:tc>
          <w:tcPr/>
          <w:p>
            <w:pPr>
              <w:pStyle w:val="Compact"/>
              <w:jc w:val="left"/>
            </w:pPr>
            <w:r>
              <w:t xml:space="preserve">Cloud infrastructure and tooling</w:t>
            </w:r>
          </w:p>
        </w:tc>
        <w:tc>
          <w:tcPr/>
          <w:p>
            <w:pPr>
              <w:pStyle w:val="Compact"/>
              <w:jc w:val="left"/>
            </w:pPr>
            <w:r>
              <w:t xml:space="preserve">Twelve months of AWS (Lambda, RDS with PostGIS, S3, CloudFront), monitoring, error tracking, domain and certificates, developer tooling.</w:t>
            </w:r>
          </w:p>
        </w:tc>
        <w:tc>
          <w:tcPr/>
          <w:p>
            <w:pPr>
              <w:pStyle w:val="Compact"/>
              <w:jc w:val="left"/>
            </w:pPr>
            <w:r>
              <w:t xml:space="preserve">$6,000</w:t>
            </w:r>
          </w:p>
        </w:tc>
        <w:tc>
          <w:tcPr/>
          <w:p>
            <w:pPr>
              <w:pStyle w:val="Compact"/>
              <w:jc w:val="left"/>
            </w:pPr>
            <w:r>
              <w:t xml:space="preserve">6%</w:t>
            </w:r>
          </w:p>
        </w:tc>
      </w:tr>
      <w:tr>
        <w:tc>
          <w:tcPr/>
          <w:p>
            <w:pPr>
              <w:pStyle w:val="Compact"/>
              <w:jc w:val="left"/>
            </w:pPr>
            <w:r>
              <w:rPr>
                <w:bCs/>
                <w:b/>
              </w:rPr>
              <w:t xml:space="preserve">9</w:t>
            </w:r>
          </w:p>
        </w:tc>
        <w:tc>
          <w:tcPr/>
          <w:p>
            <w:pPr>
              <w:pStyle w:val="Compact"/>
              <w:jc w:val="left"/>
            </w:pPr>
            <w:r>
              <w:t xml:space="preserve">Translation and plain language</w:t>
            </w:r>
          </w:p>
        </w:tc>
        <w:tc>
          <w:tcPr/>
          <w:p>
            <w:pPr>
              <w:pStyle w:val="Compact"/>
              <w:jc w:val="left"/>
            </w:pPr>
            <w:r>
              <w:t xml:space="preserve">Interface and explanation strings in the three most requested languages after English among Toronto newcomer entrepreneurs.</w:t>
            </w:r>
          </w:p>
        </w:tc>
        <w:tc>
          <w:tcPr/>
          <w:p>
            <w:pPr>
              <w:pStyle w:val="Compact"/>
              <w:jc w:val="left"/>
            </w:pPr>
            <w:r>
              <w:t xml:space="preserve">$4,000</w:t>
            </w:r>
          </w:p>
        </w:tc>
        <w:tc>
          <w:tcPr/>
          <w:p>
            <w:pPr>
              <w:pStyle w:val="Compact"/>
              <w:jc w:val="left"/>
            </w:pPr>
            <w:r>
              <w:t xml:space="preserve">4%</w:t>
            </w:r>
          </w:p>
        </w:tc>
      </w:tr>
      <w:tr>
        <w:tc>
          <w:tcPr/>
          <w:p>
            <w:pPr>
              <w:pStyle w:val="Compact"/>
            </w:pPr>
          </w:p>
        </w:tc>
        <w:tc>
          <w:tcPr/>
          <w:p>
            <w:pPr>
              <w:pStyle w:val="Compact"/>
              <w:jc w:val="left"/>
            </w:pPr>
            <w:r>
              <w:t xml:space="preserve">Total</w:t>
            </w:r>
          </w:p>
        </w:tc>
        <w:tc>
          <w:tcPr/>
          <w:p>
            <w:pPr>
              <w:pStyle w:val="Compact"/>
            </w:pPr>
          </w:p>
        </w:tc>
        <w:tc>
          <w:tcPr/>
          <w:p>
            <w:pPr>
              <w:pStyle w:val="Compact"/>
              <w:jc w:val="left"/>
            </w:pPr>
            <w:r>
              <w:t xml:space="preserve">$100,000</w:t>
            </w:r>
          </w:p>
        </w:tc>
        <w:tc>
          <w:tcPr/>
          <w:p>
            <w:pPr>
              <w:pStyle w:val="Compact"/>
              <w:jc w:val="left"/>
            </w:pPr>
            <w:r>
              <w:t xml:space="preserve">100%</w:t>
            </w:r>
          </w:p>
        </w:tc>
      </w:tr>
    </w:tbl>
    <w:bookmarkStart w:id="25" w:name="three-notes-on-this-allocation"/>
    <w:p>
      <w:pPr>
        <w:pStyle w:val="Heading3"/>
      </w:pPr>
      <w:r>
        <w:rPr>
          <w:bCs/>
          <w:b/>
        </w:rPr>
        <w:t xml:space="preserve">Three notes on this allocation</w:t>
      </w:r>
    </w:p>
    <w:p>
      <w:pPr>
        <w:numPr>
          <w:ilvl w:val="0"/>
          <w:numId w:val="1001"/>
        </w:numPr>
      </w:pPr>
      <w:r>
        <w:rPr>
          <w:bCs/>
          <w:b/>
        </w:rPr>
        <w:t xml:space="preserve">Data curation is funded as ongoing work, not a one-time task. </w:t>
      </w:r>
      <w:r>
        <w:t xml:space="preserve">The financing database is the moat. A moat that is not maintained is a ditch. Two funded re-verification passes are budgeted because program terms demonstrably changed twice in the first half of 2026 alone.</w:t>
      </w:r>
    </w:p>
    <w:p>
      <w:pPr>
        <w:numPr>
          <w:ilvl w:val="0"/>
          <w:numId w:val="1001"/>
        </w:numPr>
      </w:pPr>
      <w:r>
        <w:rPr>
          <w:bCs/>
          <w:b/>
        </w:rPr>
        <w:t xml:space="preserve">Research is 11%, deliberately. </w:t>
      </w:r>
      <w:r>
        <w:t xml:space="preserve">Our competitor review concluded that the differentiation has to be validated with target users and tested against the competitors’ actual paid packages rather than assumed. Two things need testing above all: whether owners will trust financing guidance from software, and whether $99.99 is the right number. Budgeting for that is the honest response to our own finding.</w:t>
      </w:r>
    </w:p>
    <w:p>
      <w:pPr>
        <w:numPr>
          <w:ilvl w:val="0"/>
          <w:numId w:val="1001"/>
        </w:numPr>
      </w:pPr>
      <w:r>
        <w:rPr>
          <w:bCs/>
          <w:b/>
        </w:rPr>
        <w:t xml:space="preserve">Legal is not optional. </w:t>
      </w:r>
      <w:r>
        <w:t xml:space="preserve">The product makes statements about eligibility for financial programs. Getting the disclaimer language and liability position right costs less than getting it wrong once.</w:t>
      </w:r>
    </w:p>
    <w:bookmarkEnd w:id="25"/>
    <w:bookmarkEnd w:id="26"/>
    <w:bookmarkStart w:id="29" w:name="feature-matrix-against-competition"/>
    <w:p>
      <w:pPr>
        <w:pStyle w:val="Heading1"/>
      </w:pPr>
      <w:r>
        <w:rPr>
          <w:bCs/>
          <w:b/>
        </w:rPr>
        <w:t xml:space="preserve">4. Feature matrix against competition</w:t>
      </w:r>
    </w:p>
    <w:p>
      <w:pPr>
        <w:pStyle w:val="FirstParagraph"/>
      </w:pPr>
      <w:r>
        <w:t xml:space="preserve">Legend: Yes = clearly documented. Partial = available in some form but not equivalent. No = not found as a documented standard capability. Prototyped = demonstrated in the interactive prototype, on prototype scoring data rather than the production pipeline. Rows are ordered so the two blocks that matter are visible together: where competitors are ahead, and where they are absent.</w:t>
      </w:r>
    </w:p>
    <w:bookmarkStart w:id="27" w:name="X31723858feb7af67c0b79b325d5b0375e6b9f93"/>
    <w:p>
      <w:pPr>
        <w:pStyle w:val="Heading3"/>
      </w:pPr>
      <w:r>
        <w:rPr>
          <w:bCs/>
          <w:b/>
        </w:rPr>
        <w:t xml:space="preserve">Block A — where established competitors match or beat us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Capability</w:t>
            </w:r>
          </w:p>
        </w:tc>
        <w:tc>
          <w:tcPr/>
          <w:p>
            <w:pPr>
              <w:pStyle w:val="Compact"/>
              <w:jc w:val="left"/>
            </w:pPr>
            <w:r>
              <w:rPr>
                <w:bCs/>
                <w:b/>
              </w:rPr>
              <w:t xml:space="preserve">Groundwork</w:t>
            </w:r>
          </w:p>
        </w:tc>
        <w:tc>
          <w:tcPr/>
          <w:p>
            <w:pPr>
              <w:pStyle w:val="Compact"/>
              <w:jc w:val="left"/>
            </w:pPr>
            <w:r>
              <w:rPr>
                <w:bCs/>
                <w:b/>
              </w:rPr>
              <w:t xml:space="preserve">Esri ArcGIS BA</w:t>
            </w:r>
          </w:p>
        </w:tc>
        <w:tc>
          <w:tcPr/>
          <w:p>
            <w:pPr>
              <w:pStyle w:val="Compact"/>
              <w:jc w:val="left"/>
            </w:pPr>
            <w:r>
              <w:rPr>
                <w:bCs/>
                <w:b/>
              </w:rPr>
              <w:t xml:space="preserve">Environics</w:t>
            </w:r>
          </w:p>
        </w:tc>
        <w:tc>
          <w:tcPr/>
          <w:p>
            <w:pPr>
              <w:pStyle w:val="Compact"/>
              <w:jc w:val="left"/>
            </w:pPr>
            <w:r>
              <w:rPr>
                <w:bCs/>
                <w:b/>
              </w:rPr>
              <w:t xml:space="preserve">Sitewise</w:t>
            </w:r>
          </w:p>
        </w:tc>
        <w:tc>
          <w:tcPr/>
          <w:p>
            <w:pPr>
              <w:pStyle w:val="Compact"/>
              <w:jc w:val="left"/>
            </w:pPr>
            <w:r>
              <w:rPr>
                <w:bCs/>
                <w:b/>
              </w:rPr>
              <w:t xml:space="preserve">SiteZeus</w:t>
            </w:r>
          </w:p>
        </w:tc>
      </w:tr>
      <w:tr>
        <w:tc>
          <w:tcPr/>
          <w:p>
            <w:pPr>
              <w:pStyle w:val="Compact"/>
              <w:jc w:val="left"/>
            </w:pPr>
            <w:r>
              <w:rPr>
                <w:bCs/>
                <w:b/>
              </w:rPr>
              <w:t xml:space="preserve">Population, age, income, household demographics</w:t>
            </w:r>
          </w:p>
        </w:tc>
        <w:tc>
          <w:tcPr/>
          <w:p>
            <w:pPr>
              <w:pStyle w:val="Compact"/>
              <w:jc w:val="left"/>
            </w:pPr>
            <w:r>
              <w:t xml:space="preserve">Prototyped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Competitor and business location data</w:t>
            </w:r>
          </w:p>
        </w:tc>
        <w:tc>
          <w:tcPr/>
          <w:p>
            <w:pPr>
              <w:pStyle w:val="Compact"/>
              <w:jc w:val="left"/>
            </w:pPr>
            <w:r>
              <w:t xml:space="preserve">Prototyped (open data)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Heatmap and thematic mapping</w:t>
            </w:r>
          </w:p>
        </w:tc>
        <w:tc>
          <w:tcPr/>
          <w:p>
            <w:pPr>
              <w:pStyle w:val="Compact"/>
              <w:jc w:val="left"/>
            </w:pPr>
            <w:r>
              <w:t xml:space="preserve">Prototyped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Site scoring and location ranking</w:t>
            </w:r>
          </w:p>
        </w:tc>
        <w:tc>
          <w:tcPr/>
          <w:p>
            <w:pPr>
              <w:pStyle w:val="Compact"/>
              <w:jc w:val="left"/>
            </w:pPr>
            <w:r>
              <w:t xml:space="preserve">Prototyped</w:t>
            </w:r>
          </w:p>
        </w:tc>
        <w:tc>
          <w:tcPr/>
          <w:p>
            <w:pPr>
              <w:pStyle w:val="Compact"/>
              <w:jc w:val="left"/>
            </w:pPr>
            <w:r>
              <w:t xml:space="preserve">Yes (Suitability Analysis)</w:t>
            </w:r>
          </w:p>
        </w:tc>
        <w:tc>
          <w:tcPr/>
          <w:p>
            <w:pPr>
              <w:pStyle w:val="Compact"/>
              <w:jc w:val="left"/>
            </w:pPr>
            <w:r>
              <w:t xml:space="preserve">Yes / Partial</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Gap and whitespace detection</w:t>
            </w:r>
          </w:p>
        </w:tc>
        <w:tc>
          <w:tcPr/>
          <w:p>
            <w:pPr>
              <w:pStyle w:val="Compact"/>
              <w:jc w:val="left"/>
            </w:pPr>
            <w:r>
              <w:t xml:space="preserve">Prototyped</w:t>
            </w:r>
          </w:p>
        </w:tc>
        <w:tc>
          <w:tcPr/>
          <w:p>
            <w:pPr>
              <w:pStyle w:val="Compact"/>
              <w:jc w:val="left"/>
            </w:pPr>
            <w:r>
              <w:t xml:space="preserve">Yes (Void Analysis)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Trade area and drive-time analysis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Consumer spending and lifestyle segmentation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Mobility and foot-traffic data</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Sales forecasting and performance prediction</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This block is presented first on purpose. Conceding it makes the second block credible.</w:t>
      </w:r>
    </w:p>
    <w:bookmarkEnd w:id="27"/>
    <w:bookmarkStart w:id="28" w:name="block-b-where-nobody-currently-competes"/>
    <w:p>
      <w:pPr>
        <w:pStyle w:val="Heading3"/>
      </w:pPr>
      <w:r>
        <w:rPr>
          <w:bCs/>
          <w:b/>
        </w:rPr>
        <w:t xml:space="preserve">Block B — where nobody currently competes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Capability</w:t>
            </w:r>
          </w:p>
        </w:tc>
        <w:tc>
          <w:tcPr/>
          <w:p>
            <w:pPr>
              <w:pStyle w:val="Compact"/>
              <w:jc w:val="left"/>
            </w:pPr>
            <w:r>
              <w:rPr>
                <w:bCs/>
                <w:b/>
              </w:rPr>
              <w:t xml:space="preserve">Groundwork</w:t>
            </w:r>
          </w:p>
        </w:tc>
        <w:tc>
          <w:tcPr/>
          <w:p>
            <w:pPr>
              <w:pStyle w:val="Compact"/>
              <w:jc w:val="left"/>
            </w:pPr>
            <w:r>
              <w:rPr>
                <w:bCs/>
                <w:b/>
              </w:rPr>
              <w:t xml:space="preserve">Esri ArcGIS BA</w:t>
            </w:r>
          </w:p>
        </w:tc>
        <w:tc>
          <w:tcPr/>
          <w:p>
            <w:pPr>
              <w:pStyle w:val="Compact"/>
              <w:jc w:val="left"/>
            </w:pPr>
            <w:r>
              <w:rPr>
                <w:bCs/>
                <w:b/>
              </w:rPr>
              <w:t xml:space="preserve">Environics</w:t>
            </w:r>
          </w:p>
        </w:tc>
        <w:tc>
          <w:tcPr/>
          <w:p>
            <w:pPr>
              <w:pStyle w:val="Compact"/>
              <w:jc w:val="left"/>
            </w:pPr>
            <w:r>
              <w:rPr>
                <w:bCs/>
                <w:b/>
              </w:rPr>
              <w:t xml:space="preserve">Sitewise</w:t>
            </w:r>
          </w:p>
        </w:tc>
        <w:tc>
          <w:tcPr/>
          <w:p>
            <w:pPr>
              <w:pStyle w:val="Compact"/>
              <w:jc w:val="left"/>
            </w:pPr>
            <w:r>
              <w:rPr>
                <w:bCs/>
                <w:b/>
              </w:rPr>
              <w:t xml:space="preserve">SiteZeus</w:t>
            </w:r>
          </w:p>
        </w:tc>
      </w:tr>
      <w:tr>
        <w:tc>
          <w:tcPr/>
          <w:p>
            <w:pPr>
              <w:pStyle w:val="Compact"/>
              <w:jc w:val="left"/>
            </w:pPr>
            <w:r>
              <w:rPr>
                <w:bCs/>
                <w:b/>
              </w:rPr>
              <w:t xml:space="preserve">Canadian government financing eligibility matching</w:t>
            </w:r>
          </w:p>
        </w:tc>
        <w:tc>
          <w:tcPr/>
          <w:p>
            <w:pPr>
              <w:pStyle w:val="Compact"/>
              <w:jc w:val="left"/>
            </w:pPr>
            <w:r>
              <w:t xml:space="preserve">Prototyped core feature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Cross-level program view (federal, provincial, municipal)</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Capital stack assembled against a stated capital need</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Sequenced application timeline with intake windows</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Explicit ineligibility reasons</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Source URL and last-verified date on every claim</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Automatic plain-language explanation of a score</w:t>
            </w:r>
          </w:p>
        </w:tc>
        <w:tc>
          <w:tcPr/>
          <w:p>
            <w:pPr>
              <w:pStyle w:val="Compact"/>
              <w:jc w:val="left"/>
            </w:pPr>
            <w:r>
              <w:t xml:space="preserve">Prototyped</w:t>
            </w:r>
          </w:p>
        </w:tc>
        <w:tc>
          <w:tcPr/>
          <w:p>
            <w:pPr>
              <w:pStyle w:val="Compact"/>
              <w:jc w:val="left"/>
            </w:pPr>
            <w:r>
              <w:t xml:space="preserve">Partial</w:t>
            </w:r>
          </w:p>
        </w:tc>
        <w:tc>
          <w:tcPr/>
          <w:p>
            <w:pPr>
              <w:pStyle w:val="Compact"/>
              <w:jc w:val="left"/>
            </w:pPr>
            <w:r>
              <w:t xml:space="preserve">Not confirmed</w:t>
            </w:r>
          </w:p>
        </w:tc>
        <w:tc>
          <w:tcPr/>
          <w:p>
            <w:pPr>
              <w:pStyle w:val="Compact"/>
              <w:jc w:val="left"/>
            </w:pPr>
            <w:r>
              <w:t xml:space="preserve">Not confirmed</w:t>
            </w:r>
          </w:p>
        </w:tc>
        <w:tc>
          <w:tcPr/>
          <w:p>
            <w:pPr>
              <w:pStyle w:val="Compact"/>
              <w:jc w:val="left"/>
            </w:pPr>
            <w:r>
              <w:t xml:space="preserve">Partial</w:t>
            </w:r>
          </w:p>
        </w:tc>
      </w:tr>
      <w:tr>
        <w:tc>
          <w:tcPr/>
          <w:p>
            <w:pPr>
              <w:pStyle w:val="Compact"/>
              <w:jc w:val="left"/>
            </w:pPr>
            <w:r>
              <w:rPr>
                <w:bCs/>
                <w:b/>
              </w:rPr>
              <w:t xml:space="preserve">Citywide instant shortlist for any category</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(US only)</w:t>
            </w:r>
          </w:p>
        </w:tc>
        <w:tc>
          <w:tcPr/>
          <w:p>
            <w:pPr>
              <w:pStyle w:val="Compact"/>
              <w:jc w:val="left"/>
            </w:pPr>
            <w:r>
              <w:t xml:space="preserve">No</w:t>
            </w:r>
          </w:p>
        </w:tc>
      </w:tr>
      <w:tr>
        <w:tc>
          <w:tcPr/>
          <w:p>
            <w:pPr>
              <w:pStyle w:val="Compact"/>
              <w:jc w:val="left"/>
            </w:pPr>
            <w:r>
              <w:rPr>
                <w:bCs/>
                <w:b/>
              </w:rPr>
              <w:t xml:space="preserve">Published price, purchasable without a sales call</w:t>
            </w:r>
          </w:p>
        </w:tc>
        <w:tc>
          <w:tcPr/>
          <w:p>
            <w:pPr>
              <w:pStyle w:val="Compact"/>
              <w:jc w:val="left"/>
            </w:pPr>
            <w:r>
              <w:t xml:space="preserve">Prototyped</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Priced within reach of a single-location owner</w:t>
            </w:r>
          </w:p>
        </w:tc>
        <w:tc>
          <w:tcPr/>
          <w:p>
            <w:pPr>
              <w:pStyle w:val="Compact"/>
              <w:jc w:val="left"/>
            </w:pPr>
            <w:r>
              <w:t xml:space="preserve">Prototyped ($99.99 plan)</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Read the two blocks together and the strategy is legible. We lose on analytical depth to every established vendor and we should say so. We win on the single question those vendors were never built to answer, because their customers are chains that already have banking relationships and do not qualify for a $5,000 municipal micro-grant.</w:t>
            </w:r>
          </w:p>
        </w:tc>
      </w:tr>
    </w:tbl>
    <w:bookmarkEnd w:id="28"/>
    <w:bookmarkEnd w:id="29"/>
    <w:bookmarkStart w:id="33" w:name="pitch-questions"/>
    <w:p>
      <w:pPr>
        <w:pStyle w:val="Heading1"/>
      </w:pPr>
      <w:r>
        <w:rPr>
          <w:bCs/>
          <w:b/>
        </w:rPr>
        <w:t xml:space="preserve">5. Pitch questions</w:t>
      </w:r>
    </w:p>
    <w:bookmarkStart w:id="30" w:name="overview-what-is-the-innovation"/>
    <w:p>
      <w:pPr>
        <w:pStyle w:val="Heading2"/>
      </w:pPr>
      <w:r>
        <w:rPr>
          <w:bCs/>
          <w:b/>
        </w:rPr>
        <w:t xml:space="preserve">Overview — what is the innovation?</w:t>
      </w:r>
    </w:p>
    <w:p>
      <w:pPr>
        <w:pStyle w:val="FirstParagraph"/>
      </w:pPr>
      <w:r>
        <w:t xml:space="preserve">Groundwork is a web application that answers the three questions that decide whether an independent business survives its first years: where should I open, what will it cost me to open there, and how do I pay for it. It scores every Toronto neighbourhood on demand versus competition for a chosen business type using Statistics Canada census data, builds a line-item startup cost budget for the site the owner picks, matches them against a curated database of federal, provincial and municipal financing programs, and assembles the result into the business plan document a lender asks for.</w:t>
      </w:r>
    </w:p>
    <w:p>
      <w:pPr>
        <w:pStyle w:val="BodyText"/>
      </w:pPr>
      <w:r>
        <w:t xml:space="preserve">The innovation is not either half. Location intelligence is a mature category. Government financing information is public. The innovation is joining them for a customer segment that both industries ignore, and pricing the result so that segment can actually buy it: $99.99 for a complete costed and financed plan, against competitors that will not quote a price without a sales call.</w:t>
      </w:r>
    </w:p>
    <w:bookmarkEnd w:id="30"/>
    <w:bookmarkStart w:id="31" w:name="process-how-did-we-get-here"/>
    <w:p>
      <w:pPr>
        <w:pStyle w:val="Heading2"/>
      </w:pPr>
      <w:r>
        <w:rPr>
          <w:bCs/>
          <w:b/>
        </w:rPr>
        <w:t xml:space="preserve">Process — how did we get here?</w:t>
      </w:r>
    </w:p>
    <w:p>
      <w:pPr>
        <w:numPr>
          <w:ilvl w:val="0"/>
          <w:numId w:val="1002"/>
        </w:numPr>
      </w:pPr>
      <w:r>
        <w:t xml:space="preserve">We started with a location heatmap concept and built a working prototype that renders real Toronto boundaries in the browser, to prove the geography was reachable before designing anything on top of it. The prototype now ships that boundary data with the page rather than fetching it at load, so a demo has no third-party dependency and the map carries no API key and no watermark.</w:t>
      </w:r>
    </w:p>
    <w:p>
      <w:pPr>
        <w:numPr>
          <w:ilvl w:val="0"/>
          <w:numId w:val="1002"/>
        </w:numPr>
      </w:pPr>
      <w:r>
        <w:t xml:space="preserve">We ran a competitor review across Esri, Environics Analytics, Sitewise, SiteZeus, Placer.ai and Google Maps. It found that most of what the prototype did already exists inside professional platforms — Esri’s Advanced tier ships suitability scoring and void analysis — and that being simpler and cheaper was a real but copyable advantage.</w:t>
      </w:r>
    </w:p>
    <w:p>
      <w:pPr>
        <w:numPr>
          <w:ilvl w:val="0"/>
          <w:numId w:val="1002"/>
        </w:numPr>
      </w:pPr>
      <w:r>
        <w:t xml:space="preserve">Rather than argue with that finding, we looked for a gap the incumbents had no reason to close. We found it by asking what happens after the map gives an answer. The owner still cannot open the store.</w:t>
      </w:r>
    </w:p>
    <w:p>
      <w:pPr>
        <w:numPr>
          <w:ilvl w:val="0"/>
          <w:numId w:val="1002"/>
        </w:numPr>
      </w:pPr>
      <w:r>
        <w:t xml:space="preserve">We researched the Canadian small business financing landscape and found the supporting evidence: only 7% of SMEs request government financing, while small businesses that do request debt financing are approved 97% of the time. The constraint is information, not capital.</w:t>
      </w:r>
    </w:p>
    <w:p>
      <w:pPr>
        <w:numPr>
          <w:ilvl w:val="0"/>
          <w:numId w:val="1002"/>
        </w:numPr>
      </w:pPr>
      <w:r>
        <w:t xml:space="preserve">We audited fourteen statistics that circulate in this space and withdrew five that did not hold, including a widely repeated Toronto retail rent figure that cannot be reproduced from the real estate board it is attributed to.</w:t>
      </w:r>
    </w:p>
    <w:p>
      <w:pPr>
        <w:numPr>
          <w:ilvl w:val="0"/>
          <w:numId w:val="1002"/>
        </w:numPr>
      </w:pPr>
      <w:r>
        <w:t xml:space="preserve">We priced the product against what the decision already costs an owner rather than against enterprise location intelligence, and built the institutional tiers that make the revenue recur.</w:t>
      </w:r>
    </w:p>
    <w:p>
      <w:pPr>
        <w:numPr>
          <w:ilvl w:val="0"/>
          <w:numId w:val="1002"/>
        </w:numPr>
      </w:pPr>
      <w:r>
        <w:t xml:space="preserve">We chose the colour system from cartographic and accessibility research rather than convention, because a map that misleads a colourblind reader is a product defect, not a styling preference.</w:t>
      </w:r>
    </w:p>
    <w:bookmarkEnd w:id="31"/>
    <w:bookmarkStart w:id="32" w:name="next-steps"/>
    <w:p>
      <w:pPr>
        <w:pStyle w:val="Heading2"/>
      </w:pPr>
      <w:r>
        <w:rPr>
          <w:bCs/>
          <w:b/>
        </w:rPr>
        <w:t xml:space="preserve">Next steps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Horizon</w:t>
            </w:r>
          </w:p>
        </w:tc>
        <w:tc>
          <w:tcPr/>
          <w:p>
            <w:pPr>
              <w:pStyle w:val="Compact"/>
              <w:jc w:val="left"/>
            </w:pPr>
            <w:r>
              <w:rPr>
                <w:bCs/>
                <w:b/>
              </w:rPr>
              <w:t xml:space="preserve">What happens</w:t>
            </w:r>
          </w:p>
        </w:tc>
      </w:tr>
      <w:tr>
        <w:tc>
          <w:tcPr/>
          <w:p>
            <w:pPr>
              <w:pStyle w:val="Compact"/>
              <w:jc w:val="left"/>
            </w:pPr>
            <w:r>
              <w:rPr>
                <w:bCs/>
                <w:b/>
              </w:rPr>
              <w:t xml:space="preserve">Build week</w:t>
            </w:r>
          </w:p>
        </w:tc>
        <w:tc>
          <w:tcPr/>
          <w:p>
            <w:pPr>
              <w:pStyle w:val="Compact"/>
              <w:jc w:val="left"/>
            </w:pPr>
            <w:r>
              <w:t xml:space="preserve">Prove the pipeline end to end on one Toronto region on day one. Ship the profile, the scored map, the startup cost model, the eligibility engine over 15–20 programs, the capital stack view and the assembled plan.</w:t>
            </w:r>
          </w:p>
        </w:tc>
      </w:tr>
      <w:tr>
        <w:tc>
          <w:tcPr/>
          <w:p>
            <w:pPr>
              <w:pStyle w:val="Compact"/>
              <w:jc w:val="left"/>
            </w:pPr>
            <w:r>
              <w:rPr>
                <w:bCs/>
                <w:b/>
              </w:rPr>
              <w:t xml:space="preserve">Weeks 2–6</w:t>
            </w:r>
          </w:p>
        </w:tc>
        <w:tc>
          <w:tcPr/>
          <w:p>
            <w:pPr>
              <w:pStyle w:val="Compact"/>
              <w:jc w:val="left"/>
            </w:pPr>
            <w:r>
              <w:t xml:space="preserve">Measure OpenStreetMap category coverage against a hand-counted street sample and publish the result in-product. Expand the financing database toward 40–60 programs. Accessibility and plain-language passes.</w:t>
            </w:r>
          </w:p>
        </w:tc>
      </w:tr>
      <w:tr>
        <w:tc>
          <w:tcPr/>
          <w:p>
            <w:pPr>
              <w:pStyle w:val="Compact"/>
              <w:jc w:val="left"/>
            </w:pPr>
            <w:r>
              <w:rPr>
                <w:bCs/>
                <w:b/>
              </w:rPr>
              <w:t xml:space="preserve">Months 2–4</w:t>
            </w:r>
          </w:p>
        </w:tc>
        <w:tc>
          <w:tcPr/>
          <w:p>
            <w:pPr>
              <w:pStyle w:val="Compact"/>
              <w:jc w:val="left"/>
            </w:pPr>
            <w:r>
              <w:t xml:space="preserve">Run the 30 owner and 8 advisor research sessions. Test two assumptions the strategy rests on: that the financing half is what people come back for, and that $99.99 is a price an owner pays without hesitating. At the earlier $39 this was a mild question; at $99.99 it is the central commercial risk in the plan. The second thing to test is the upgrade: whether crediting the single purchase against the first subscription month converts enough single-site buyers to justify giving up $99.99 of margin on each one.</w:t>
            </w:r>
          </w:p>
        </w:tc>
      </w:tr>
      <w:tr>
        <w:tc>
          <w:tcPr/>
          <w:p>
            <w:pPr>
              <w:pStyle w:val="Compact"/>
              <w:jc w:val="left"/>
            </w:pPr>
            <w:r>
              <w:rPr>
                <w:bCs/>
                <w:b/>
              </w:rPr>
              <w:t xml:space="preserve">Months 4–8</w:t>
            </w:r>
          </w:p>
        </w:tc>
        <w:tc>
          <w:tcPr/>
          <w:p>
            <w:pPr>
              <w:pStyle w:val="Compact"/>
              <w:jc w:val="left"/>
            </w:pPr>
            <w:r>
              <w:t xml:space="preserve">One paid BIA pilot in a catchment with visible ground-floor vacancy. Instrument it for the outcome that matters to the buyer: units filled, and businesses still trading at twelve months.</w:t>
            </w:r>
          </w:p>
        </w:tc>
      </w:tr>
      <w:tr>
        <w:tc>
          <w:tcPr/>
          <w:p>
            <w:pPr>
              <w:pStyle w:val="Compact"/>
              <w:jc w:val="left"/>
            </w:pPr>
            <w:r>
              <w:rPr>
                <w:bCs/>
                <w:b/>
              </w:rPr>
              <w:t xml:space="preserve">Months 8–12</w:t>
            </w:r>
          </w:p>
        </w:tc>
        <w:tc>
          <w:tcPr/>
          <w:p>
            <w:pPr>
              <w:pStyle w:val="Compact"/>
              <w:jc w:val="left"/>
            </w:pPr>
            <w:r>
              <w:t xml:space="preserve">Advisor tier launch to Small Business Enterprise Centres. Second-city data load to prove the scalability claim rather than assert it.</w:t>
            </w:r>
          </w:p>
        </w:tc>
      </w:tr>
      <w:tr>
        <w:tc>
          <w:tcPr/>
          <w:p>
            <w:pPr>
              <w:pStyle w:val="Compact"/>
              <w:jc w:val="left"/>
            </w:pPr>
            <w:r>
              <w:rPr>
                <w:bCs/>
                <w:b/>
              </w:rPr>
              <w:t xml:space="preserve">Open questions</w:t>
            </w:r>
          </w:p>
        </w:tc>
        <w:tc>
          <w:tcPr/>
          <w:p>
            <w:pPr>
              <w:pStyle w:val="Compact"/>
              <w:jc w:val="left"/>
            </w:pPr>
            <w:r>
              <w:t xml:space="preserve">Will owners trust financing guidance from software rather than a person? Does the map or the financing engine drive the purchase? Is $99.99 too high for a pre-revenue owner, and does the completed plan document carry enough perceived value to justify it? Would a lender pay for better-prepared applicants, and would taking their money compromise the independence that makes advisors recommend us?</w:t>
            </w:r>
          </w:p>
        </w:tc>
      </w:tr>
    </w:tbl>
    <w:bookmarkEnd w:id="32"/>
    <w:bookmarkEnd w:id="33"/>
    <w:bookmarkStart w:id="39" w:name="against-the-evaluation-criteria"/>
    <w:p>
      <w:pPr>
        <w:pStyle w:val="Heading1"/>
      </w:pPr>
      <w:r>
        <w:rPr>
          <w:bCs/>
          <w:b/>
        </w:rPr>
        <w:t xml:space="preserve">6. Against the evaluation criteria</w:t>
      </w:r>
    </w:p>
    <w:bookmarkStart w:id="34" w:name="alignment"/>
    <w:p>
      <w:pPr>
        <w:pStyle w:val="Heading3"/>
      </w:pPr>
      <w:r>
        <w:rPr>
          <w:bCs/>
          <w:b/>
        </w:rPr>
        <w:t xml:space="preserve">Alignment</w:t>
      </w:r>
    </w:p>
    <w:p>
      <w:pPr>
        <w:pStyle w:val="FirstParagraph"/>
      </w:pPr>
      <w:r>
        <w:t xml:space="preserve">The brief asks for a commercially viable product sold business to business that supports businesses adapting to a changed environment, with technology and communication infrastructure as an explicit prompt. Groundwork sells to businesses at both ends: to the independent operator directly, and to the BIAs, enterprise centres, lenders and brokerages that advise them. It addresses a specific post-pandemic reality: elevated fixed costs and tight retail supply in Toronto, which raise the penalty for a badly chosen location.</w:t>
      </w:r>
    </w:p>
    <w:bookmarkEnd w:id="34"/>
    <w:bookmarkStart w:id="35" w:name="potential-for-impact"/>
    <w:p>
      <w:pPr>
        <w:pStyle w:val="Heading3"/>
      </w:pPr>
      <w:r>
        <w:rPr>
          <w:bCs/>
          <w:b/>
        </w:rPr>
        <w:t xml:space="preserve">Potential for impact</w:t>
      </w:r>
    </w:p>
    <w:p>
      <w:pPr>
        <w:pStyle w:val="FirstParagraph"/>
      </w:pPr>
      <w:r>
        <w:t xml:space="preserve">The measurable outcome is not app downloads. It is whether businesses advised through Groundwork open in better-matched locations with appropriate financing, and whether more of them are still trading at twelve and twenty-four months. Roughly one in three Canadian micro-businesses does not reach year five. Moving that by even a small margin in one city is a meaningful result, and the BIA pilot is designed to measure it rather than infer it.</w:t>
      </w:r>
    </w:p>
    <w:bookmarkEnd w:id="35"/>
    <w:bookmarkStart w:id="36" w:name="feasibility"/>
    <w:p>
      <w:pPr>
        <w:pStyle w:val="Heading3"/>
      </w:pPr>
      <w:r>
        <w:rPr>
          <w:bCs/>
          <w:b/>
        </w:rPr>
        <w:t xml:space="preserve">Feasibility</w:t>
      </w:r>
    </w:p>
    <w:p>
      <w:pPr>
        <w:pStyle w:val="FirstParagraph"/>
      </w:pPr>
      <w:r>
        <w:t xml:space="preserve">The location half is already demonstrated: the interactive prototype scores and renders all 140 Toronto neighbourhoods from real boundary data, with no map library, no tile server and no API key. The financing half is a curated database plus a deterministic rules engine, which is less technically demanding than the map. The binding constraint is data curation effort and accuracy, not engineering difficulty, and it is budgeted accordingly. The two genuine barriers, both stated openly, are open mapping data coverage variance and the maintenance burden of keeping program rules current.</w:t>
      </w:r>
    </w:p>
    <w:bookmarkEnd w:id="36"/>
    <w:bookmarkStart w:id="37" w:name="innovative-approach"/>
    <w:p>
      <w:pPr>
        <w:pStyle w:val="Heading3"/>
      </w:pPr>
      <w:r>
        <w:rPr>
          <w:bCs/>
          <w:b/>
        </w:rPr>
        <w:t xml:space="preserve">Innovative approach</w:t>
      </w:r>
    </w:p>
    <w:p>
      <w:pPr>
        <w:pStyle w:val="FirstParagraph"/>
      </w:pPr>
      <w:r>
        <w:t xml:space="preserve">Not a new algorithm. A new join. No location intelligence platform documents any Canadian small-business financing capability, and no financing portal filters by an owner’s age, business age, sector, stage and location simultaneously and returns a sequenced plan. Two further departures from a category built on demo-gated black boxes: the transparency commitments — visible score components, adjustable weights, a source URL and last-verified date on every financing claim, explicit reasons for ineligibility — and a price on the page.</w:t>
      </w:r>
    </w:p>
    <w:bookmarkEnd w:id="37"/>
    <w:bookmarkStart w:id="38" w:name="scalability"/>
    <w:p>
      <w:pPr>
        <w:pStyle w:val="Heading3"/>
      </w:pPr>
      <w:r>
        <w:rPr>
          <w:bCs/>
          <w:b/>
        </w:rPr>
        <w:t xml:space="preserve">Scalability</w:t>
      </w:r>
    </w:p>
    <w:p>
      <w:pPr>
        <w:pStyle w:val="FirstParagraph"/>
      </w:pPr>
      <w:r>
        <w:t xml:space="preserve">Statistics Canada publishes dissemination areas nationally on identical schemas. The federal financing layer is the same everywhere and the Ontario layer is the same across the province. Extending from Toronto to Mississauga, Hamilton or Ottawa is a data-load plus a municipal program addendum, not a rebuild. The institutional buyer base scales the same way: Ontario has 47 Small Business Enterprise Centres and Toronto alone has more than 80 Business Improvement Areas.</w:t>
      </w:r>
    </w:p>
    <w:bookmarkEnd w:id="38"/>
    <w:bookmarkEnd w:id="39"/>
    <w:bookmarkStart w:id="40" w:name="the-honest-weaknesses"/>
    <w:p>
      <w:pPr>
        <w:pStyle w:val="Heading1"/>
      </w:pPr>
      <w:r>
        <w:rPr>
          <w:bCs/>
          <w:b/>
        </w:rPr>
        <w:t xml:space="preserve">7. The honest weaknesses</w:t>
      </w:r>
    </w:p>
    <w:p>
      <w:pPr>
        <w:pStyle w:val="FirstParagraph"/>
      </w:pPr>
      <w:r>
        <w:t xml:space="preserve">Every pitch has these. Naming them first is cheaper than being caught by them.</w:t>
      </w:r>
    </w:p>
    <w:p>
      <w:pPr>
        <w:numPr>
          <w:ilvl w:val="0"/>
          <w:numId w:val="1003"/>
        </w:numPr>
      </w:pPr>
      <w:r>
        <w:rPr>
          <w:bCs/>
          <w:b/>
        </w:rPr>
        <w:t xml:space="preserve">The location half is genuinely commoditised. </w:t>
      </w:r>
      <w:r>
        <w:t xml:space="preserve">Esri already ships suitability scoring and void analysis. If we are judged on the map alone, we lose.</w:t>
      </w:r>
    </w:p>
    <w:p>
      <w:pPr>
        <w:numPr>
          <w:ilvl w:val="0"/>
          <w:numId w:val="1003"/>
        </w:numPr>
      </w:pPr>
      <w:r>
        <w:rPr>
          <w:bCs/>
          <w:b/>
        </w:rPr>
        <w:t xml:space="preserve">The differentiation is unvalidated. </w:t>
      </w:r>
      <w:r>
        <w:t xml:space="preserve">We believe the financing layer is what makes this defensible. We have evidence that the information gap exists. We do not yet have evidence that owners will trust a tool to close it. That is what the research budget is for.</w:t>
      </w:r>
    </w:p>
    <w:p>
      <w:pPr>
        <w:numPr>
          <w:ilvl w:val="0"/>
          <w:numId w:val="1003"/>
        </w:numPr>
      </w:pPr>
      <w:r>
        <w:rPr>
          <w:bCs/>
          <w:b/>
        </w:rPr>
        <w:t xml:space="preserve">The maintenance burden is real and permanent. </w:t>
      </w:r>
      <w:r>
        <w:t xml:space="preserve">Stale financing information is worse than none. This is an ongoing operational cost, not a one-time build.</w:t>
      </w:r>
    </w:p>
    <w:p>
      <w:pPr>
        <w:numPr>
          <w:ilvl w:val="0"/>
          <w:numId w:val="1003"/>
        </w:numPr>
      </w:pPr>
      <w:r>
        <w:rPr>
          <w:bCs/>
          <w:b/>
        </w:rPr>
        <w:t xml:space="preserve">Census data is from 2021. </w:t>
      </w:r>
      <w:r>
        <w:t xml:space="preserve">Toronto has changed. Every competitor has the same limitation, but it is still a limitation.</w:t>
      </w:r>
    </w:p>
    <w:p>
      <w:pPr>
        <w:numPr>
          <w:ilvl w:val="0"/>
          <w:numId w:val="1003"/>
        </w:numPr>
      </w:pPr>
      <w:r>
        <w:rPr>
          <w:bCs/>
          <w:b/>
        </w:rPr>
        <w:t xml:space="preserve">The pricing is a hypothesis. </w:t>
      </w:r>
      <w:r>
        <w:t xml:space="preserve">$99.99 is set by reasoning about what a comparable advisory engagement costs, not by evidence that anyone will pay it, and the comparison itself is asserted rather than sourced. It may be too high for someone who has not yet earned a dollar. This is the first thing the research budget tests, and the price rose from an earlier $39 because the deliverable became a complete plan rather than a report — which makes the hypothesis larger, not smaller.</w:t>
      </w:r>
    </w:p>
    <w:p>
      <w:pPr>
        <w:numPr>
          <w:ilvl w:val="0"/>
          <w:numId w:val="1003"/>
        </w:numPr>
      </w:pPr>
      <w:r>
        <w:rPr>
          <w:bCs/>
          <w:b/>
        </w:rPr>
        <w:t xml:space="preserve">Owner revenue churns by design, and the institutional tiers are not in the initial scope. </w:t>
      </w:r>
      <w:r>
        <w:t xml:space="preserve">Someone opening one location buys once. Recurring maintenance of the financing database and cost benchmarks does not fund itself from one-off purchases, and the advisor and territory tiers that would solve this are now explicitly future work. The launch model proves owners will pay; it does not prove the business is durable.</w:t>
      </w:r>
    </w:p>
    <w:p>
      <w:pPr>
        <w:numPr>
          <w:ilvl w:val="0"/>
          <w:numId w:val="1003"/>
        </w:numPr>
      </w:pPr>
      <w:r>
        <w:rPr>
          <w:bCs/>
          <w:b/>
        </w:rPr>
        <w:t xml:space="preserve">Charging narrows reach. </w:t>
      </w:r>
      <w:r>
        <w:t xml:space="preserve">The owners with the least information often have the least money. Sponsored access is the answer, but it depends on institutions choosing to buy blocks, which is unproven.</w:t>
      </w:r>
    </w:p>
    <w:p>
      <w:pPr>
        <w:pStyle w:val="FirstParagraph"/>
      </w:pPr>
      <w:r>
        <w:t xml:space="preserve">Groundwork — Pitch and Communications Pack ·</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2026-09-09T14:40:40Z</dcterms:created>
  <dcterms:modified xsi:type="dcterms:W3CDTF">2026-09-09T14:40:40Z</dcterms:modified>
</cp:coreProperties>
</file>

<file path=docProps/custom.xml><?xml version="1.0" encoding="utf-8"?>
<Properties xmlns="http://schemas.openxmlformats.org/officeDocument/2006/custom-properties" xmlns:vt="http://schemas.openxmlformats.org/officeDocument/2006/docPropsVTypes"/>
</file>