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Toward Trustworthy Multimodal AI for Chronic Disease Screening: A Regulation-Compliant Framework for Low-Resource Deployment</w:t>
      </w:r>
    </w:p>
    <w:p>
      <w:pPr>
        <w:spacing w:after="60"/>
        <w:jc w:val="center"/>
      </w:pPr>
      <w:r>
        <w:rPr>
          <w:rFonts w:ascii="Times New Roman" w:cs="Times New Roman" w:eastAsia="Times New Roman" w:hAnsi="Times New Roman"/>
          <w:sz w:val="22"/>
          <w:szCs w:val="22"/>
        </w:rPr>
        <w:t xml:space="preserve">Bijon Sarkar</w:t>
      </w:r>
    </w:p>
    <w:p>
      <w:pPr>
        <w:spacing w:after="40"/>
        <w:jc w:val="center"/>
      </w:pPr>
      <w:r>
        <w:rPr>
          <w:rFonts w:ascii="Times New Roman" w:cs="Times New Roman" w:eastAsia="Times New Roman" w:hAnsi="Times New Roman"/>
          <w:i/>
          <w:iCs/>
          <w:sz w:val="20"/>
          <w:szCs w:val="20"/>
        </w:rPr>
        <w:t xml:space="preserve">Department of Computer Science, Brainware University, Kolkata, West Bengal, India</w:t>
      </w:r>
    </w:p>
    <w:p>
      <w:pPr>
        <w:spacing w:after="160" w:line="276"/>
        <w:jc w:val="both"/>
      </w:pPr>
      <w:r>
        <w:rPr>
          <w:rFonts w:ascii="Times New Roman" w:cs="Times New Roman" w:eastAsia="Times New Roman" w:hAnsi="Times New Roman"/>
          <w:b w:val="false"/>
          <w:bCs w:val="false"/>
          <w:i w:val="false"/>
          <w:iCs w:val="false"/>
          <w:sz w:val="22"/>
          <w:szCs w:val="22"/>
        </w:rPr>
        <w:t xml:space="preserve"/>
      </w:r>
    </w:p>
    <w:p>
      <w:pPr>
        <w:spacing w:after="12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Multimodal artificial intelligence (AI) systems that combine medical imaging, electronic health record (EHR) data, and wearable-sensor streams show strong promise for early screening of chronic diseases such as type 2 diabetes, particularly in low-resource settings where specialist access is limited. However, the design of explainable AI (XAI) components for such systems has largely developed in isolation from the regulatory frameworks that govern their clinical deployment. This creates a gap between model-level interpretability and deployment-level regulatory defensibility. This paper proposes a five-layer framework — data governance, model and explainability, human oversight, documentation and traceability, and post-market monitoring — that maps common XAI design choices onto the obligations of two increasingly consequential regulatory regimes: the European Union Artificial Intelligence Act (EU AI Act) and India's Central Drugs Standard Control Organisation (CDSCO) Medical Device Software guidance. We illustrate the framework through a conceptual case study of multimodal type 2 diabetes screening — retinal imaging, EHR risk factors, and wearable glucose and activity trends — in a low-resource primary-care setting, and ground it in a concrete proposed system design: candidate public datasets, an open-source explainability and modeling toolchain, a five-stage system architecture, and an expected structured output format. The framework and accompanying design are offered as a practical bridge between AI system design and regulatory readiness, and as groundwork for a subsequent empirical study validating the approach on real deployment data.</w:t>
      </w:r>
    </w:p>
    <w:p>
      <w:pPr>
        <w:spacing w:after="24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Explainable AI, healthcare AI governance, chronic disease screening, medical device regulation, EU AI Act, CDSCO, multimodal AI, low-resource healthcare, system architecture</w:t>
      </w:r>
    </w:p>
    <w:p>
      <w:pPr>
        <w:pStyle w:val="Heading1"/>
        <w:spacing w:after="160" w:before="300"/>
      </w:pPr>
      <w:r>
        <w:rPr>
          <w:rFonts w:ascii="Times New Roman" w:cs="Times New Roman" w:eastAsia="Times New Roman" w:hAnsi="Times New Roman"/>
          <w:b/>
          <w:bCs/>
          <w:sz w:val="24"/>
          <w:szCs w:val="24"/>
        </w:rPr>
        <w:t xml:space="preserve">I. 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Chronic diseases place an escalating burden on health systems worldwide. Diabetes alone affects hundreds of millions of people globally, with the World Health Organization estimating hundreds of millions of adult cases and a large share remaining undiagnosed until complications appear [24]. In settings where specialist endocrinologists, ophthalmologists, and diagnostic infrastructure are scarce, AI-assisted screening has been proposed as a scalable complement to conventional care, particularly through wearable biosensors, lightweight imaging pipelines, and mobile diagnostics that extend screening capacity to remote and underserved populations [27].</w:t>
      </w:r>
    </w:p>
    <w:p>
      <w:pPr>
        <w:spacing w:after="160" w:line="276"/>
        <w:jc w:val="both"/>
      </w:pPr>
      <w:r>
        <w:rPr>
          <w:rFonts w:ascii="Times New Roman" w:cs="Times New Roman" w:eastAsia="Times New Roman" w:hAnsi="Times New Roman"/>
          <w:b w:val="false"/>
          <w:bCs w:val="false"/>
          <w:i w:val="false"/>
          <w:iCs w:val="false"/>
          <w:sz w:val="22"/>
          <w:szCs w:val="22"/>
        </w:rPr>
        <w:t xml:space="preserve">A growing body of research has explored explainable machine learning for diabetes risk prediction, most commonly using structured clinical and demographic features from datasets such as the Pima Indian Diabetes dataset, paired with post-hoc explanation techniques such as SHapley Additive exPlanations (SHAP) and Local Interpretable Model-Agnostic Explanations (LIME) [1]–[4]. More recent work has extended this line of inquiry toward imaging-based prediction, including retinal imaging for multi-organ dysfunction associated with type 2 diabetes [5], and toward multimodal fusion architectures that combine EHR and wearable time-series data [25]. In parallel, a separate and largely disconnected literature has examined the governance and regulation of AI in healthcare, addressing questions of fairness, transparency, accountability, and human oversight at a policy level [7]–[9], and tracking the rapid evolution of binding regulatory instruments such as the EU AI Act [10], [12]–[17] and, in India, the CDSCO's 2025–2026 Medical Device Software (MDSW) guidance [18]–[22].</w:t>
      </w:r>
    </w:p>
    <w:p>
      <w:pPr>
        <w:spacing w:after="160" w:line="276"/>
        <w:jc w:val="both"/>
      </w:pPr>
      <w:r>
        <w:rPr>
          <w:rFonts w:ascii="Times New Roman" w:cs="Times New Roman" w:eastAsia="Times New Roman" w:hAnsi="Times New Roman"/>
          <w:b w:val="false"/>
          <w:bCs w:val="false"/>
          <w:i w:val="false"/>
          <w:iCs w:val="false"/>
          <w:sz w:val="22"/>
          <w:szCs w:val="22"/>
        </w:rPr>
        <w:t xml:space="preserve">These two literatures rarely intersect. Technical papers on explainable diabetes prediction typically report accuracy and interpretability metrics without reference to the regulatory pathway a deployed system would need to satisfy. Conversely, regulatory and policy analyses describe obligations — risk classification, technical documentation, human oversight, post-market monitoring — without translating them into concrete design choices for a multimodal screening pipeline. This disconnect is particularly consequential for low-resource deployments, where the same system may need to satisfy multiple regulatory regimes (for instance, an India-developed tool seeking eventual international validation or partnership) while operating under real constraints of connectivity, data quality, and clinician availability.</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makes three contributions. First, it proposes a five-layer framework that explicitly maps common XAI design components onto the corresponding obligations of the EU AI Act and India's CDSCO MDSW guidance. Second, it demonstrates how multimodal explainability — spanning imaging, structured EHR data, and wearable time-series — can be organized within this framework rather than treated as a purely technical afterthought. Third, it illustrates the framework through a conceptual case study of type 2 diabetes screening in a low-resource primary-care setting, showing how each layer would shape concrete design and deployment decisions. The framework is intended as a starting point for empirical validation in future work, rather than as a final, tested system.</w:t>
      </w:r>
    </w:p>
    <w:p>
      <w:pPr>
        <w:pStyle w:val="Heading1"/>
        <w:spacing w:after="160" w:before="300"/>
      </w:pPr>
      <w:r>
        <w:rPr>
          <w:rFonts w:ascii="Times New Roman" w:cs="Times New Roman" w:eastAsia="Times New Roman" w:hAnsi="Times New Roman"/>
          <w:b/>
          <w:bCs/>
          <w:sz w:val="24"/>
          <w:szCs w:val="24"/>
        </w:rPr>
        <w:t xml:space="preserve">II. Related Work</w:t>
      </w:r>
    </w:p>
    <w:p>
      <w:pPr>
        <w:pStyle w:val="Heading2"/>
        <w:spacing w:after="160" w:before="300"/>
      </w:pPr>
      <w:r>
        <w:rPr>
          <w:rFonts w:ascii="Times New Roman" w:cs="Times New Roman" w:eastAsia="Times New Roman" w:hAnsi="Times New Roman"/>
          <w:b/>
          <w:bCs/>
          <w:sz w:val="22"/>
          <w:szCs w:val="22"/>
        </w:rPr>
        <w:t xml:space="preserve">A. Explainable AI for Diabetes and Chronic Disease Prediction</w:t>
      </w:r>
    </w:p>
    <w:p>
      <w:pPr>
        <w:spacing w:after="160" w:line="276"/>
        <w:jc w:val="both"/>
      </w:pPr>
      <w:r>
        <w:rPr>
          <w:rFonts w:ascii="Times New Roman" w:cs="Times New Roman" w:eastAsia="Times New Roman" w:hAnsi="Times New Roman"/>
          <w:b w:val="false"/>
          <w:bCs w:val="false"/>
          <w:i w:val="false"/>
          <w:iCs w:val="false"/>
          <w:sz w:val="22"/>
          <w:szCs w:val="22"/>
        </w:rPr>
        <w:t xml:space="preserve">A substantial body of work applies classical and ensemble machine learning models — logistic regression, random forest, XGBoost, support vector classifiers — to structured clinical datasets for type 2 diabetes prediction, commonly reporting accuracies in the 82–98% range depending on dataset and population [1]–[4]. Several of these studies incorporate SHAP or LIME to provide global and local explanations of model predictions [2], [3]. A 33-year bibliometric review of this literature confirms that structured-data prediction with post-hoc explainability has become a mature, heavily populated research direction [4]. More recent studies have begun to move beyond tabular data, exploring gene-expression-based prediction [1] and retinal-imaging-based prediction of diabetes-linked multi-organ dysfunction [5], reflecting a shift toward richer, less-saturated data modalities.</w:t>
      </w:r>
    </w:p>
    <w:p>
      <w:pPr>
        <w:pStyle w:val="Heading2"/>
        <w:spacing w:after="160" w:before="300"/>
      </w:pPr>
      <w:r>
        <w:rPr>
          <w:rFonts w:ascii="Times New Roman" w:cs="Times New Roman" w:eastAsia="Times New Roman" w:hAnsi="Times New Roman"/>
          <w:b/>
          <w:bCs/>
          <w:sz w:val="22"/>
          <w:szCs w:val="22"/>
        </w:rPr>
        <w:t xml:space="preserve">B. Multimodal AI for Chronic Disease Screening</w:t>
      </w:r>
    </w:p>
    <w:p>
      <w:pPr>
        <w:spacing w:after="160" w:line="276"/>
        <w:jc w:val="both"/>
      </w:pPr>
      <w:r>
        <w:rPr>
          <w:rFonts w:ascii="Times New Roman" w:cs="Times New Roman" w:eastAsia="Times New Roman" w:hAnsi="Times New Roman"/>
          <w:b w:val="false"/>
          <w:bCs w:val="false"/>
          <w:i w:val="false"/>
          <w:iCs w:val="false"/>
          <w:sz w:val="22"/>
          <w:szCs w:val="22"/>
        </w:rPr>
        <w:t xml:space="preserve">Multimodal AI, integrating imaging, EHR, and wearable biosignal data, is increasingly viewed as a route to more comprehensive and earlier disease detection, with applications spanning cardiology, oncology, and neurology in addition to diabetes [23]. Wearable bioelectronics equipped with AI-based analytics are reported as enabling continuous, low-cost monitoring of physiological and biochemical parameters relevant to chronic disease management [24]. A framework combining XGBoost on structured EHR features with LSTM-based modeling of wearable time-series, fused for chronic disease risk prediction and paired with SHAP-based explanation, has recently been proposed and reports a meaningful accuracy improvement over single-modality baselines [25]. Field deployments in resource-limited clinical settings, such as wearable-based cardiovascular screening in outpatient HIV clinics, further demonstrate the practical feasibility of low-cost, AI-assisted multimodal screening outside high-resource hospital environments [26]. None of this multimodal work, however, addresses how its explainability components would need to be structured to satisfy medical AI regulatory obligations.</w:t>
      </w:r>
    </w:p>
    <w:p>
      <w:pPr>
        <w:pStyle w:val="Heading2"/>
        <w:spacing w:after="160" w:before="300"/>
      </w:pPr>
      <w:r>
        <w:rPr>
          <w:rFonts w:ascii="Times New Roman" w:cs="Times New Roman" w:eastAsia="Times New Roman" w:hAnsi="Times New Roman"/>
          <w:b/>
          <w:bCs/>
          <w:sz w:val="22"/>
          <w:szCs w:val="22"/>
        </w:rPr>
        <w:t xml:space="preserve">C. Foundations of Explainable AI</w:t>
      </w:r>
    </w:p>
    <w:p>
      <w:pPr>
        <w:spacing w:after="160" w:line="276"/>
        <w:jc w:val="both"/>
      </w:pPr>
      <w:r>
        <w:rPr>
          <w:rFonts w:ascii="Times New Roman" w:cs="Times New Roman" w:eastAsia="Times New Roman" w:hAnsi="Times New Roman"/>
          <w:b w:val="false"/>
          <w:bCs w:val="false"/>
          <w:i w:val="false"/>
          <w:iCs w:val="false"/>
          <w:sz w:val="22"/>
          <w:szCs w:val="22"/>
        </w:rPr>
        <w:t xml:space="preserve">The broader XAI literature provides the conceptual vocabulary this paper draws on, including the now-standard taxonomy distinguishing transparent (intrinsically interpretable) models from post-hoc explanation techniques, and the associated discussion of trust, accountability, and responsible AI design [6]. This taxonomy underlies the framework's later distinction between modality-specific explanation techniques (e.g., saliency-based methods for imaging versus feature-attribution methods for tabular data).</w:t>
      </w:r>
    </w:p>
    <w:p>
      <w:pPr>
        <w:pStyle w:val="Heading2"/>
        <w:spacing w:after="160" w:before="300"/>
      </w:pPr>
      <w:r>
        <w:rPr>
          <w:rFonts w:ascii="Times New Roman" w:cs="Times New Roman" w:eastAsia="Times New Roman" w:hAnsi="Times New Roman"/>
          <w:b/>
          <w:bCs/>
          <w:sz w:val="22"/>
          <w:szCs w:val="22"/>
        </w:rPr>
        <w:t xml:space="preserve">D. Healthcare AI Governance</w:t>
      </w:r>
    </w:p>
    <w:p>
      <w:pPr>
        <w:spacing w:after="160" w:line="276"/>
        <w:jc w:val="both"/>
      </w:pPr>
      <w:r>
        <w:rPr>
          <w:rFonts w:ascii="Times New Roman" w:cs="Times New Roman" w:eastAsia="Times New Roman" w:hAnsi="Times New Roman"/>
          <w:b w:val="false"/>
          <w:bCs w:val="false"/>
          <w:i w:val="false"/>
          <w:iCs w:val="false"/>
          <w:sz w:val="22"/>
          <w:szCs w:val="22"/>
        </w:rPr>
        <w:t xml:space="preserve">Governance-focused scholarship has examined how fairness, transparency, safety, privacy, accountability, and human oversight can be reconciled across the AI lifecycle in healthcare settings, synthesizing peer-reviewed and regulator-issued sources into practice-facing recommendations [9]. Cross-jurisdictional analyses further show that healthcare AI regulation is fragmenting across regions, with the EU, United States, and various national regulators adopting distinct risk-classification philosophies [8]. Bias-mitigation research grounded in the EU AI Act has likewise noted that the Act's risk-management, documentation, and human-oversight requirements for high-risk systems create concrete obligations for lifecycle bias evaluation, not merely aspirational ethical guidance [11].</w:t>
      </w:r>
    </w:p>
    <w:p>
      <w:pPr>
        <w:pStyle w:val="Heading2"/>
        <w:spacing w:after="160" w:before="300"/>
      </w:pPr>
      <w:r>
        <w:rPr>
          <w:rFonts w:ascii="Times New Roman" w:cs="Times New Roman" w:eastAsia="Times New Roman" w:hAnsi="Times New Roman"/>
          <w:b/>
          <w:bCs/>
          <w:sz w:val="22"/>
          <w:szCs w:val="22"/>
        </w:rPr>
        <w:t xml:space="preserve">E. The EU AI Act and Medical AI</w:t>
      </w:r>
    </w:p>
    <w:p>
      <w:pPr>
        <w:spacing w:after="160" w:line="276"/>
        <w:jc w:val="both"/>
      </w:pPr>
      <w:r>
        <w:rPr>
          <w:rFonts w:ascii="Times New Roman" w:cs="Times New Roman" w:eastAsia="Times New Roman" w:hAnsi="Times New Roman"/>
          <w:b w:val="false"/>
          <w:bCs w:val="false"/>
          <w:i w:val="false"/>
          <w:iCs w:val="false"/>
          <w:sz w:val="22"/>
          <w:szCs w:val="22"/>
        </w:rPr>
        <w:t xml:space="preserve">Under the EU AI Act, AI systems intended as safety components of medical devices, or that are themselves medical devices under the Medical Device Regulation (MDR) or In Vitro Diagnostic Regulation (IVDR), fall within Annex III's high-risk category [10], [14]. High-risk classification under the AI Act is explicitly tied to a device's existing MDR/IVDR risk class, meaning devices requiring Notified Body review under MDR will generally also require AI Act conformity assessment [13]. The European Commission has issued draft guidelines clarifying this classification process, emphasizing that a system's intended purpose is central to determining high-risk status [12]. Compliance obligations for high-risk medical AI — covering data governance, technical documentation, transparency, human oversight, and post-market monitoring — are being phased in through 2026–2028 depending on device class and conformity-assessment pathway [16], [17].</w:t>
      </w:r>
    </w:p>
    <w:p>
      <w:pPr>
        <w:pStyle w:val="Heading2"/>
        <w:spacing w:after="160" w:before="300"/>
      </w:pPr>
      <w:r>
        <w:rPr>
          <w:rFonts w:ascii="Times New Roman" w:cs="Times New Roman" w:eastAsia="Times New Roman" w:hAnsi="Times New Roman"/>
          <w:b/>
          <w:bCs/>
          <w:sz w:val="22"/>
          <w:szCs w:val="22"/>
        </w:rPr>
        <w:t xml:space="preserve">F. India's CDSCO Medical Device Software Guidance</w:t>
      </w:r>
    </w:p>
    <w:p>
      <w:pPr>
        <w:spacing w:after="160" w:line="276"/>
        <w:jc w:val="both"/>
      </w:pPr>
      <w:r>
        <w:rPr>
          <w:rFonts w:ascii="Times New Roman" w:cs="Times New Roman" w:eastAsia="Times New Roman" w:hAnsi="Times New Roman"/>
          <w:b w:val="false"/>
          <w:bCs w:val="false"/>
          <w:i w:val="false"/>
          <w:iCs w:val="false"/>
          <w:sz w:val="22"/>
          <w:szCs w:val="22"/>
        </w:rPr>
        <w:t xml:space="preserve">India's regulatory landscape for AI-enabled health software has matured rapidly. The Central Drugs Standard Control Organisation issued draft guidance on Medical Device Software (MDSW) in October 2025, later finalized in mid-2026, distinguishing Software in a Medical Device (SiMD) from Software as a Medical Device (SaMD) and introducing a four-tier risk classification (Class A–D) based on clinical purpose and severity of the condition addressed [18]–[21]. The guidance further introduces an Algorithm Change Protocol specific to AI/ML-based SaMD, allowing iterative model updates without requiring re-licensing for each change, alongside expectations for ISO 13485-aligned quality management systems [22].</w:t>
      </w:r>
    </w:p>
    <w:p>
      <w:pPr>
        <w:pStyle w:val="Heading2"/>
        <w:spacing w:after="160" w:before="300"/>
      </w:pPr>
      <w:r>
        <w:rPr>
          <w:rFonts w:ascii="Times New Roman" w:cs="Times New Roman" w:eastAsia="Times New Roman" w:hAnsi="Times New Roman"/>
          <w:b/>
          <w:bCs/>
          <w:sz w:val="22"/>
          <w:szCs w:val="22"/>
        </w:rPr>
        <w:t xml:space="preserve">G. Research Gap</w:t>
      </w:r>
    </w:p>
    <w:p>
      <w:pPr>
        <w:spacing w:after="160" w:line="276"/>
        <w:jc w:val="both"/>
      </w:pPr>
      <w:r>
        <w:rPr>
          <w:rFonts w:ascii="Times New Roman" w:cs="Times New Roman" w:eastAsia="Times New Roman" w:hAnsi="Times New Roman"/>
          <w:b w:val="false"/>
          <w:bCs w:val="false"/>
          <w:i w:val="false"/>
          <w:iCs w:val="false"/>
          <w:sz w:val="22"/>
          <w:szCs w:val="22"/>
        </w:rPr>
        <w:t xml:space="preserve">Across this literature, the technical work on explainable, multimodal diabetes and chronic-disease screening (Sections II-A, II-B) and the regulatory and governance work on medical AI (Sections II-D through II-F) proceed largely independently. The closest existing work, a multimodal EHR-plus-wearable explainability framework [25], focuses on predictive performance and SHAP-based interpretation but does not engage with regulatory classification, documentation, or post-market obligations at all. This paper addresses that gap directly.</w:t>
      </w:r>
    </w:p>
    <w:p>
      <w:pPr>
        <w:pStyle w:val="Heading1"/>
        <w:spacing w:after="160" w:before="300"/>
      </w:pPr>
      <w:r>
        <w:rPr>
          <w:rFonts w:ascii="Times New Roman" w:cs="Times New Roman" w:eastAsia="Times New Roman" w:hAnsi="Times New Roman"/>
          <w:b/>
          <w:bCs/>
          <w:sz w:val="24"/>
          <w:szCs w:val="24"/>
        </w:rPr>
        <w:t xml:space="preserve">III. Proposed Framework</w:t>
      </w:r>
    </w:p>
    <w:p>
      <w:pPr>
        <w:spacing w:after="160" w:line="276"/>
        <w:jc w:val="both"/>
      </w:pPr>
      <w:r>
        <w:rPr>
          <w:rFonts w:ascii="Times New Roman" w:cs="Times New Roman" w:eastAsia="Times New Roman" w:hAnsi="Times New Roman"/>
          <w:b w:val="false"/>
          <w:bCs w:val="false"/>
          <w:i w:val="false"/>
          <w:iCs w:val="false"/>
          <w:sz w:val="22"/>
          <w:szCs w:val="22"/>
        </w:rPr>
        <w:t xml:space="preserve">We propose a five-layer framework, summarized in Table I, that connects technical explainability design choices for multimodal chronic-disease screening systems to their corresponding obligations under the EU AI Act and India's CDSCO MDSW guidance. The framework is organized around the observation that both regulatory regimes, despite differing in structure, converge on a similar set of underlying concerns: where the data came from and whether it is representative; whether the system's reasoning can be inspected; whether a qualified human remains meaningfully in the decision loop; whether the system's design and validation are documented in an auditable form; and whether performance is monitored once deployed.</w:t>
      </w:r>
    </w:p>
    <w:p>
      <w:pPr>
        <w:pStyle w:val="Heading2"/>
        <w:spacing w:after="160" w:before="300"/>
      </w:pPr>
      <w:r>
        <w:rPr>
          <w:rFonts w:ascii="Times New Roman" w:cs="Times New Roman" w:eastAsia="Times New Roman" w:hAnsi="Times New Roman"/>
          <w:b/>
          <w:bCs/>
          <w:sz w:val="22"/>
          <w:szCs w:val="22"/>
        </w:rPr>
        <w:t xml:space="preserve">A. Data Governance Layer</w:t>
      </w:r>
    </w:p>
    <w:p>
      <w:pPr>
        <w:spacing w:after="160" w:line="276"/>
        <w:jc w:val="both"/>
      </w:pPr>
      <w:r>
        <w:rPr>
          <w:rFonts w:ascii="Times New Roman" w:cs="Times New Roman" w:eastAsia="Times New Roman" w:hAnsi="Times New Roman"/>
          <w:b w:val="false"/>
          <w:bCs w:val="false"/>
          <w:i w:val="false"/>
          <w:iCs w:val="false"/>
          <w:sz w:val="22"/>
          <w:szCs w:val="22"/>
        </w:rPr>
        <w:t xml:space="preserve">This layer addresses provenance logging, data-quality checks, and bias screening across demographic and geographic subgroups for each input modality — retinal images, structured EHR fields, and wearable time-series. For low-resource deployments, this layer must also account for missing or irregular data (e.g., intermittent wearable connectivity in rural areas) without silently degrading model reliability.</w:t>
      </w:r>
    </w:p>
    <w:p>
      <w:pPr>
        <w:pStyle w:val="Heading2"/>
        <w:spacing w:after="160" w:before="300"/>
      </w:pPr>
      <w:r>
        <w:rPr>
          <w:rFonts w:ascii="Times New Roman" w:cs="Times New Roman" w:eastAsia="Times New Roman" w:hAnsi="Times New Roman"/>
          <w:b/>
          <w:bCs/>
          <w:sz w:val="22"/>
          <w:szCs w:val="22"/>
        </w:rPr>
        <w:t xml:space="preserve">B. Model and Explainability Layer</w:t>
      </w:r>
    </w:p>
    <w:p>
      <w:pPr>
        <w:spacing w:after="160" w:line="276"/>
        <w:jc w:val="both"/>
      </w:pPr>
      <w:r>
        <w:rPr>
          <w:rFonts w:ascii="Times New Roman" w:cs="Times New Roman" w:eastAsia="Times New Roman" w:hAnsi="Times New Roman"/>
          <w:b w:val="false"/>
          <w:bCs w:val="false"/>
          <w:i w:val="false"/>
          <w:iCs w:val="false"/>
          <w:sz w:val="22"/>
          <w:szCs w:val="22"/>
        </w:rPr>
        <w:t xml:space="preserve">Because each modality has a natural explanation method — saliency or attention-based visualization for imaging, SHAP or LIME-style attribution for structured EHR features, and attention weighting or change-point highlighting for wearable time-series — the framework treats explainability as inherently modality-specific rather than applying a single technique uniformly. A fusion step then aggregates these modality-specific explanations into a single clinician-facing summary (for example, “risk driven primarily by retinal microvascular signs, supported by elevated fasting-glucose trend”) rather than exposing raw per-modality outputs.</w:t>
      </w:r>
    </w:p>
    <w:p>
      <w:pPr>
        <w:pStyle w:val="Heading2"/>
        <w:spacing w:after="160" w:before="300"/>
      </w:pPr>
      <w:r>
        <w:rPr>
          <w:rFonts w:ascii="Times New Roman" w:cs="Times New Roman" w:eastAsia="Times New Roman" w:hAnsi="Times New Roman"/>
          <w:b/>
          <w:bCs/>
          <w:sz w:val="22"/>
          <w:szCs w:val="22"/>
        </w:rPr>
        <w:t xml:space="preserve">C. Human Oversight Layer</w:t>
      </w:r>
    </w:p>
    <w:p>
      <w:pPr>
        <w:spacing w:after="160" w:line="276"/>
        <w:jc w:val="both"/>
      </w:pPr>
      <w:r>
        <w:rPr>
          <w:rFonts w:ascii="Times New Roman" w:cs="Times New Roman" w:eastAsia="Times New Roman" w:hAnsi="Times New Roman"/>
          <w:b w:val="false"/>
          <w:bCs w:val="false"/>
          <w:i w:val="false"/>
          <w:iCs w:val="false"/>
          <w:sz w:val="22"/>
          <w:szCs w:val="22"/>
        </w:rPr>
        <w:t xml:space="preserve">Both regulatory regimes treat human oversight as a first-class requirement for higher-risk diagnostic AI rather than an optional safeguard. The framework accordingly positions the system as a triage and referral aid — producing a calibrated risk score and explanation that a clinician reviews and acts on — rather than as an autonomous diagnostic authority. Escalation pathways for low-confidence or borderline cases are treated as a required design element, not an afterthought.</w:t>
      </w:r>
    </w:p>
    <w:p>
      <w:pPr>
        <w:pStyle w:val="Heading2"/>
        <w:spacing w:after="160" w:before="300"/>
      </w:pPr>
      <w:r>
        <w:rPr>
          <w:rFonts w:ascii="Times New Roman" w:cs="Times New Roman" w:eastAsia="Times New Roman" w:hAnsi="Times New Roman"/>
          <w:b/>
          <w:bCs/>
          <w:sz w:val="22"/>
          <w:szCs w:val="22"/>
        </w:rPr>
        <w:t xml:space="preserve">D. Documentation and Traceability Layer</w:t>
      </w:r>
    </w:p>
    <w:p>
      <w:pPr>
        <w:spacing w:after="160" w:line="276"/>
        <w:jc w:val="both"/>
      </w:pPr>
      <w:r>
        <w:rPr>
          <w:rFonts w:ascii="Times New Roman" w:cs="Times New Roman" w:eastAsia="Times New Roman" w:hAnsi="Times New Roman"/>
          <w:b w:val="false"/>
          <w:bCs w:val="false"/>
          <w:i w:val="false"/>
          <w:iCs w:val="false"/>
          <w:sz w:val="22"/>
          <w:szCs w:val="22"/>
        </w:rPr>
        <w:t xml:space="preserve">This layer specifies a structured technical file recording training-data provenance, the explanation method used per modality, subgroup-stratified validation metrics, and known limitations. This directly supports EU AI Act Annex IV technical-documentation obligations and CDSCO's technical-documentation and ISO 13485 quality-management expectations for SaMD.</w:t>
      </w:r>
    </w:p>
    <w:p>
      <w:pPr>
        <w:pStyle w:val="Heading2"/>
        <w:spacing w:after="160" w:before="300"/>
      </w:pPr>
      <w:r>
        <w:rPr>
          <w:rFonts w:ascii="Times New Roman" w:cs="Times New Roman" w:eastAsia="Times New Roman" w:hAnsi="Times New Roman"/>
          <w:b/>
          <w:bCs/>
          <w:sz w:val="22"/>
          <w:szCs w:val="22"/>
        </w:rPr>
        <w:t xml:space="preserve">E. Post-Market Monitoring Layer</w:t>
      </w:r>
    </w:p>
    <w:p>
      <w:pPr>
        <w:spacing w:after="160" w:line="276"/>
        <w:jc w:val="both"/>
      </w:pPr>
      <w:r>
        <w:rPr>
          <w:rFonts w:ascii="Times New Roman" w:cs="Times New Roman" w:eastAsia="Times New Roman" w:hAnsi="Times New Roman"/>
          <w:b w:val="false"/>
          <w:bCs w:val="false"/>
          <w:i w:val="false"/>
          <w:iCs w:val="false"/>
          <w:sz w:val="22"/>
          <w:szCs w:val="22"/>
        </w:rPr>
        <w:t xml:space="preserve">The final layer addresses what happens after deployment: monitoring for performance drift across sites and subpopulations, and a defined protocol for validating and releasing model updates. CDSCO's Algorithm Change Protocol for AI/ML-based SaMD and the EU AI Act's post-market monitoring obligations for high-risk systems both anticipate that models will be updated iteratively; the framework treats update governance as a standing process rather than a one-time certification event.</w:t>
      </w:r>
    </w:p>
    <w:p>
      <w:pPr>
        <w:spacing w:after="120" w:before="120"/>
        <w:jc w:val="center"/>
      </w:pPr>
      <w:r>
        <w:rPr>
          <w:rFonts w:ascii="Times New Roman" w:cs="Times New Roman" w:eastAsia="Times New Roman" w:hAnsi="Times New Roman"/>
          <w:b/>
          <w:bCs/>
          <w:sz w:val="20"/>
          <w:szCs w:val="20"/>
        </w:rPr>
        <w:t xml:space="preserve">TABLE I</w:t>
      </w:r>
    </w:p>
    <w:p>
      <w:pPr>
        <w:spacing w:after="200"/>
        <w:jc w:val="center"/>
      </w:pPr>
      <w:r>
        <w:rPr>
          <w:rFonts w:ascii="Times New Roman" w:cs="Times New Roman" w:eastAsia="Times New Roman" w:hAnsi="Times New Roman"/>
          <w:b/>
          <w:bCs/>
          <w:sz w:val="18"/>
          <w:szCs w:val="18"/>
        </w:rPr>
        <w:t xml:space="preserve">Framework Layers Mapped to Regulatory Obligations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18"/>
                <w:szCs w:val="18"/>
              </w:rPr>
              <w:t xml:space="preserve">Framework Layer</w:t>
            </w:r>
          </w:p>
        </w:tc>
        <w:tc>
          <w:tcPr>
            <w:tcW w:type="dxa" w:w="3400"/>
            <w:shd w:fill="D9D9D9" w:val="clear"/>
            <w:tcMar>
              <w:top w:type="dxa" w:w="80"/>
              <w:left w:type="dxa" w:w="100"/>
              <w:bottom w:type="dxa" w:w="80"/>
              <w:right w:type="dxa" w:w="100"/>
            </w:tcMar>
          </w:tcPr>
          <w:p>
            <w:r>
              <w:rPr>
                <w:rFonts w:ascii="Times New Roman" w:cs="Times New Roman" w:eastAsia="Times New Roman" w:hAnsi="Times New Roman"/>
                <w:b/>
                <w:bCs/>
                <w:sz w:val="18"/>
                <w:szCs w:val="18"/>
              </w:rPr>
              <w:t xml:space="preserve">Technical / XAI Component</w:t>
            </w:r>
          </w:p>
        </w:tc>
        <w:tc>
          <w:tcPr>
            <w:tcW w:type="dxa" w:w="3400"/>
            <w:shd w:fill="D9D9D9" w:val="clear"/>
            <w:tcMar>
              <w:top w:type="dxa" w:w="80"/>
              <w:left w:type="dxa" w:w="100"/>
              <w:bottom w:type="dxa" w:w="80"/>
              <w:right w:type="dxa" w:w="100"/>
            </w:tcMar>
          </w:tcPr>
          <w:p>
            <w:r>
              <w:rPr>
                <w:rFonts w:ascii="Times New Roman" w:cs="Times New Roman" w:eastAsia="Times New Roman" w:hAnsi="Times New Roman"/>
                <w:b/>
                <w:bCs/>
                <w:sz w:val="18"/>
                <w:szCs w:val="18"/>
              </w:rPr>
              <w:t xml:space="preserve">Corresponding Regulatory Obligation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Data Governance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Modality-specific data quality checks; provenance logging for imaging, EHR, and wearable streams; bias screening across demographic subgroups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EU AI Act Art. 10 (data and data governance); CDSCO MDSW guidance data-quality expectations for SaMD technical files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Model &amp; Explainability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Modality-specific explanations — Grad-CAM-style saliency for retinal imaging, SHAP/LIME for structured EHR features, attention weighting for wearable time-series — aggregated into a unified clinician-facing explanation</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EU AI Act Art. 13 (transparency and provision of information to deployers); CDSCO risk-based Class A–D classification tied to clinical impact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Human Oversight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Confidence-calibrated risk scores routed to a clinician review step rather than autonomous diagnosis; override and escalation pathways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EU AI Act Art. 14 (human oversight); CDSCO classification of AI-assisted diagnostic tools requiring qualified-practitioner review for Class C/D software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Documentation &amp; Traceability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Structured technical file recording training data provenance, explanation method, validation metrics per subgroup, and known limitations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EU AI Act Annex IV (technical documentation); CDSCO MDSW technical documentation and QMS alignment with ISO 13485</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Post-Market Monitoring</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Drift and performance monitoring across deployment sites; versioned model updates with re-validation triggers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EU AI Act post-market monitoring obligations for high-risk systems; CDSCO Algorithm Change Protocol for AI/ML-based SaMD</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
      </w:r>
    </w:p>
    <w:p>
      <w:pPr>
        <w:pStyle w:val="Heading1"/>
        <w:spacing w:after="160" w:before="300"/>
      </w:pPr>
      <w:r>
        <w:rPr>
          <w:rFonts w:ascii="Times New Roman" w:cs="Times New Roman" w:eastAsia="Times New Roman" w:hAnsi="Times New Roman"/>
          <w:b/>
          <w:bCs/>
          <w:sz w:val="24"/>
          <w:szCs w:val="24"/>
        </w:rPr>
        <w:t xml:space="preserve">IV. Case Study: Multimodal Type 2 Diabetes Screening in a Low-Resource Setting</w:t>
      </w:r>
    </w:p>
    <w:p>
      <w:pPr>
        <w:spacing w:after="160" w:line="276"/>
        <w:jc w:val="both"/>
      </w:pPr>
      <w:r>
        <w:rPr>
          <w:rFonts w:ascii="Times New Roman" w:cs="Times New Roman" w:eastAsia="Times New Roman" w:hAnsi="Times New Roman"/>
          <w:b w:val="false"/>
          <w:bCs w:val="false"/>
          <w:i w:val="false"/>
          <w:iCs w:val="false"/>
          <w:sz w:val="22"/>
          <w:szCs w:val="22"/>
        </w:rPr>
        <w:t xml:space="preserve">To illustrate the framework, consider a conceptual deployment scenario: a primary-care screening tool for type 2 diabetes and its early complications, intended for use in semi-urban and rural clinics in India with limited specialist access — the kind of setting targeted by chronic-disease management concepts such as ArogyaAI. The system combines three inputs: (i) a smartphone-captured or low-cost retinal image, (ii) structured EHR fields (age, BMI, family history, blood pressure, prior lab values), and (iii) short-term wearable data (heart rate variability and activity trends) where available.</w:t>
      </w:r>
    </w:p>
    <w:p>
      <w:pPr>
        <w:spacing w:after="160" w:line="276"/>
        <w:jc w:val="both"/>
      </w:pPr>
      <w:r>
        <w:rPr>
          <w:rFonts w:ascii="Times New Roman" w:cs="Times New Roman" w:eastAsia="Times New Roman" w:hAnsi="Times New Roman"/>
          <w:b w:val="false"/>
          <w:bCs w:val="false"/>
          <w:i w:val="false"/>
          <w:iCs w:val="false"/>
          <w:sz w:val="22"/>
          <w:szCs w:val="22"/>
        </w:rPr>
        <w:t xml:space="preserve">Applying the data governance layer, the system would log image quality and EHR completeness at capture time and flag cases where wearable data is absent rather than imputing silently, given that intermittent connectivity is common in rural deployments. Applying the model and explainability layer, a lightweight convolutional model would generate a saliency-based explanation for retinal findings, a SHAP-style attribution would explain the contribution of EHR risk factors, and — where wearable data is available — an attention-based summary would highlight relevant activity or heart-rate patterns; these would be fused into a single explanation shown to the reviewing clinician rather than three separate technical outputs. Applying the human oversight layer, the system would generate a referral recommendation rather than a diagnosis, routing borderline or low-confidence cases for in-person specialist review, consistent with the qualified-practitioner review expectations associated with CDSCO Class C/D software and with EU AI Act human-oversight requirements for high-risk systems. Applying the documentation layer, a technical file would record the demographic composition of training data, per-subgroup validation performance, and explicit limitations (for example, reduced retinal image quality under certain lighting conditions common in low-resource capture settings). Applying the post-market monitoring layer, the deployment would track referral-accuracy trends across clinics over time and require re-validation before any model update is rolled out, consistent with an Algorithm Change Protocol approach.</w:t>
      </w:r>
    </w:p>
    <w:p>
      <w:pPr>
        <w:spacing w:after="160" w:line="276"/>
        <w:jc w:val="both"/>
      </w:pPr>
      <w:r>
        <w:rPr>
          <w:rFonts w:ascii="Times New Roman" w:cs="Times New Roman" w:eastAsia="Times New Roman" w:hAnsi="Times New Roman"/>
          <w:b w:val="false"/>
          <w:bCs w:val="false"/>
          <w:i w:val="false"/>
          <w:iCs w:val="false"/>
          <w:sz w:val="22"/>
          <w:szCs w:val="22"/>
        </w:rPr>
        <w:t xml:space="preserve">This walkthrough is deliberately conceptual: no new model has been trained or clinically validated as part of this paper. Its purpose is to demonstrate that the five-layer framework produces concrete, non-trivial design decisions when applied to a realistic multimodal screening scenario, rather than remaining an abstract checklist.</w:t>
      </w:r>
    </w:p>
    <w:p>
      <w:pPr>
        <w:pStyle w:val="Heading1"/>
        <w:spacing w:after="160" w:before="300"/>
      </w:pPr>
      <w:r>
        <w:rPr>
          <w:rFonts w:ascii="Times New Roman" w:cs="Times New Roman" w:eastAsia="Times New Roman" w:hAnsi="Times New Roman"/>
          <w:b/>
          <w:bCs/>
          <w:sz w:val="24"/>
          <w:szCs w:val="24"/>
        </w:rPr>
        <w:t xml:space="preserve">VI. Proposed System Design, Datasets, and Toolchain</w:t>
      </w:r>
    </w:p>
    <w:p>
      <w:pPr>
        <w:spacing w:after="160" w:line="276"/>
        <w:jc w:val="both"/>
      </w:pPr>
      <w:r>
        <w:rPr>
          <w:rFonts w:ascii="Times New Roman" w:cs="Times New Roman" w:eastAsia="Times New Roman" w:hAnsi="Times New Roman"/>
          <w:b w:val="false"/>
          <w:bCs w:val="false"/>
          <w:i w:val="false"/>
          <w:iCs w:val="false"/>
          <w:sz w:val="22"/>
          <w:szCs w:val="22"/>
        </w:rPr>
        <w:t xml:space="preserve">This section grounds the framework in a concrete, buildable system design: candidate public datasets, an open-source software stack, a proposed system architecture, and the expected output format. Consistent with Section IV, this section describes a proposed implementation plan rather than a system that has been built and empirically evaluated; no experiments have been run for this paper, and any performance figures cited below are reported ranges from comparable published work, included as design targets rather than as this paper's own results.</w:t>
      </w:r>
    </w:p>
    <w:p>
      <w:pPr>
        <w:pStyle w:val="Heading2"/>
        <w:spacing w:after="160" w:before="300"/>
      </w:pPr>
      <w:r>
        <w:rPr>
          <w:rFonts w:ascii="Times New Roman" w:cs="Times New Roman" w:eastAsia="Times New Roman" w:hAnsi="Times New Roman"/>
          <w:b/>
          <w:bCs/>
          <w:sz w:val="22"/>
          <w:szCs w:val="22"/>
        </w:rPr>
        <w:t xml:space="preserve">A. Candidate Datasets</w:t>
      </w:r>
    </w:p>
    <w:p>
      <w:pPr>
        <w:spacing w:after="160" w:line="276"/>
        <w:jc w:val="both"/>
      </w:pPr>
      <w:r>
        <w:rPr>
          <w:rFonts w:ascii="Times New Roman" w:cs="Times New Roman" w:eastAsia="Times New Roman" w:hAnsi="Times New Roman"/>
          <w:b w:val="false"/>
          <w:bCs w:val="false"/>
          <w:i w:val="false"/>
          <w:iCs w:val="false"/>
          <w:sz w:val="22"/>
          <w:szCs w:val="22"/>
        </w:rPr>
        <w:t xml:space="preserve">Three modality-specific public datasets are proposed as a starting point for empirical follow-on work, chosen because each is freely available for research use and has an established benchmark literature:</w:t>
      </w:r>
    </w:p>
    <w:p>
      <w:pPr>
        <w:spacing w:after="160" w:line="276"/>
        <w:jc w:val="both"/>
      </w:pPr>
      <w:r>
        <w:rPr>
          <w:rFonts w:ascii="Times New Roman" w:cs="Times New Roman" w:eastAsia="Times New Roman" w:hAnsi="Times New Roman"/>
          <w:b w:val="false"/>
          <w:bCs w:val="false"/>
          <w:i w:val="false"/>
          <w:iCs w:val="false"/>
          <w:sz w:val="22"/>
          <w:szCs w:val="22"/>
        </w:rPr>
        <w:t xml:space="preserve">Retinal imaging: the APTOS 2019 Blindness Detection dataset, comprising retinal fundus images graded for diabetic retinopathy severity [28], and the EyePACS diabetic retinopathy dataset [29] and Messidor-2 database [30] as additional or cross-validation sources for retinal-imaging models.</w:t>
      </w:r>
    </w:p>
    <w:p>
      <w:pPr>
        <w:spacing w:after="160" w:line="276"/>
        <w:jc w:val="both"/>
      </w:pPr>
      <w:r>
        <w:rPr>
          <w:rFonts w:ascii="Times New Roman" w:cs="Times New Roman" w:eastAsia="Times New Roman" w:hAnsi="Times New Roman"/>
          <w:b w:val="false"/>
          <w:bCs w:val="false"/>
          <w:i w:val="false"/>
          <w:iCs w:val="false"/>
          <w:sz w:val="22"/>
          <w:szCs w:val="22"/>
        </w:rPr>
        <w:t xml:space="preserve">Structured EHR risk factors: the Pima Indians Diabetes Database [31] for rapid prototyping of the tabular risk-factor model, with the substantially larger MIMIC-IV critical-care EHR dataset [32] as a route to richer, longitudinal structured-data experiments.</w:t>
      </w:r>
    </w:p>
    <w:p>
      <w:pPr>
        <w:spacing w:after="160" w:line="276"/>
        <w:jc w:val="both"/>
      </w:pPr>
      <w:r>
        <w:rPr>
          <w:rFonts w:ascii="Times New Roman" w:cs="Times New Roman" w:eastAsia="Times New Roman" w:hAnsi="Times New Roman"/>
          <w:b w:val="false"/>
          <w:bCs w:val="false"/>
          <w:i w:val="false"/>
          <w:iCs w:val="false"/>
          <w:sz w:val="22"/>
          <w:szCs w:val="22"/>
        </w:rPr>
        <w:t xml:space="preserve">Wearable and continuous-monitoring data: the OhioT1DM dataset, which pairs continuous glucose monitoring with fitness-band physiological data (heart rate, galvanic skin response, step counts, sleep) for people with type 1 diabetes [33]. While OhioT1DM was developed for type 1 diabetes glucose-level forecasting rather than type 2 diabetes screening, its structure — synchronized glucose and wearable signals — makes it a reasonable proxy for prototyping the wearable-modality component of the framework prior to securing a type-2, low-resource-population dataset.</w:t>
      </w:r>
    </w:p>
    <w:p>
      <w:pPr>
        <w:spacing w:after="160" w:line="276"/>
        <w:jc w:val="both"/>
      </w:pPr>
      <w:r>
        <w:rPr>
          <w:rFonts w:ascii="Times New Roman" w:cs="Times New Roman" w:eastAsia="Times New Roman" w:hAnsi="Times New Roman"/>
          <w:b w:val="false"/>
          <w:bCs w:val="false"/>
          <w:i w:val="false"/>
          <w:iCs w:val="false"/>
          <w:sz w:val="22"/>
          <w:szCs w:val="22"/>
        </w:rPr>
        <w:t xml:space="preserve">None of these datasets originate from low-resource Indian clinical settings, which is a limitation the paper does not paper over: Section VII returns to the resulting data-representativeness question directly.</w:t>
      </w:r>
    </w:p>
    <w:p>
      <w:pPr>
        <w:pStyle w:val="Heading2"/>
        <w:spacing w:after="160" w:before="300"/>
      </w:pPr>
      <w:r>
        <w:rPr>
          <w:rFonts w:ascii="Times New Roman" w:cs="Times New Roman" w:eastAsia="Times New Roman" w:hAnsi="Times New Roman"/>
          <w:b/>
          <w:bCs/>
          <w:sz w:val="22"/>
          <w:szCs w:val="22"/>
        </w:rPr>
        <w:t xml:space="preserve">B. Software and Tooling</w:t>
      </w:r>
    </w:p>
    <w:p>
      <w:pPr>
        <w:spacing w:after="160" w:line="276"/>
        <w:jc w:val="both"/>
      </w:pPr>
      <w:r>
        <w:rPr>
          <w:rFonts w:ascii="Times New Roman" w:cs="Times New Roman" w:eastAsia="Times New Roman" w:hAnsi="Times New Roman"/>
          <w:b w:val="false"/>
          <w:bCs w:val="false"/>
          <w:i w:val="false"/>
          <w:iCs w:val="false"/>
          <w:sz w:val="22"/>
          <w:szCs w:val="22"/>
        </w:rPr>
        <w:t xml:space="preserve">The proposed implementation stack draws entirely on established open-source tooling rather than bespoke infrastructure, to keep the reference implementation reproducible and auditable — an objective aligned with the documentation and traceability layer of the framework itself. For the imaging model, MONAI, an open-source PyTorch-based framework purpose-built for medical imaging deep learning, is proposed for the CNN component and its training pipeline [38]. For structured EHR modeling, a gradient-boosted tree model (e.g., XGBoost) is proposed for its established performance on tabular clinical data, consistent with prior diabetes-prediction literature [1]–[4]. For the wearable time-series component, a standard LSTM or temporal convolutional network implemented in PyTorch is proposed, consistent with existing multimodal chronic-disease work [25].</w:t>
      </w:r>
    </w:p>
    <w:p>
      <w:pPr>
        <w:spacing w:after="160" w:line="276"/>
        <w:jc w:val="both"/>
      </w:pPr>
      <w:r>
        <w:rPr>
          <w:rFonts w:ascii="Times New Roman" w:cs="Times New Roman" w:eastAsia="Times New Roman" w:hAnsi="Times New Roman"/>
          <w:b w:val="false"/>
          <w:bCs w:val="false"/>
          <w:i w:val="false"/>
          <w:iCs w:val="false"/>
          <w:sz w:val="22"/>
          <w:szCs w:val="22"/>
        </w:rPr>
        <w:t xml:space="preserve">For explainability, three complementary open-source libraries are proposed rather than a single technique, in keeping with the modality-specific explainability design in Section III-B: Grad-CAM-style gradient-based saliency mapping for the imaging model [36]; SHAP for global and local attribution of structured EHR features [34], cross-checked against LIME [35] where model-agnostic explanation is preferred; and the Captum library, which provides a unified PyTorch interface for several of these interpretability methods and would allow the imaging, tabular, and time-series explainers to be implemented within a single, consistent toolchain [37]. For deployment in low-resource, low-connectivity clinics, ONNX Runtime is proposed as an export and inference format to allow the fused model to run on lower-cost edge hardware rather than requiring continuous cloud connectivity. For the post-market monitoring layer, MLflow or an equivalent open-source experiment- and model-tracking tool is proposed to version model releases and log the retraining events anticipated by CDSCO's Algorithm Change Protocol [22].</w:t>
      </w:r>
    </w:p>
    <w:p>
      <w:pPr>
        <w:pStyle w:val="Heading2"/>
        <w:spacing w:after="160" w:before="300"/>
      </w:pPr>
      <w:r>
        <w:rPr>
          <w:rFonts w:ascii="Times New Roman" w:cs="Times New Roman" w:eastAsia="Times New Roman" w:hAnsi="Times New Roman"/>
          <w:b/>
          <w:bCs/>
          <w:sz w:val="22"/>
          <w:szCs w:val="22"/>
        </w:rPr>
        <w:t xml:space="preserve">C. System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Fig. 1 illustrates the proposed system architecture, organized directly around the five framework layers introduced in Section III. Retinal images, structured EHR fields, and wearable sensor streams enter through modality-specific input channels and pass through a shared data governance layer before reaching three modality-specific models (CNN, gradient-boosted tree, LSTM). Each model's output is paired with a modality-specific explanation (Grad-CAM, SHAP/LIME, attention weights), and these are combined in a fusion and explanation-aggregation layer that produces a single risk score together with a clinician-facing explanation summary. This output is surfaced through a human oversight layer — a clinician review dashboard that converts the score and explanation into a referral decision — rather than being acted on autonomously. Documentation and post-market monitoring operate alongside this pipeline, logging each inference for audit purposes and feeding drift signals back into the data governance layer to trigger re-validation, shown as the feedback path on the right of Fig. 1.</w:t>
      </w:r>
    </w:p>
    <w:p>
      <w:pPr>
        <w:spacing w:after="60" w:before="120"/>
        <w:jc w:val="center"/>
      </w:pPr>
      <w:r>
        <w:drawing>
          <wp:inline distT="0" distB="0" distL="0" distR="0">
            <wp:extent cx="3619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238625"/>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 Proposed system architecture mapping data flow to the five framework layers.</w:t>
      </w:r>
    </w:p>
    <w:p>
      <w:pPr>
        <w:pStyle w:val="Heading2"/>
        <w:spacing w:after="160" w:before="300"/>
      </w:pPr>
      <w:r>
        <w:rPr>
          <w:rFonts w:ascii="Times New Roman" w:cs="Times New Roman" w:eastAsia="Times New Roman" w:hAnsi="Times New Roman"/>
          <w:b/>
          <w:bCs/>
          <w:sz w:val="22"/>
          <w:szCs w:val="22"/>
        </w:rPr>
        <w:t xml:space="preserve">D. Expected Output and Reporting Format</w:t>
      </w:r>
    </w:p>
    <w:p>
      <w:pPr>
        <w:spacing w:after="160" w:line="276"/>
        <w:jc w:val="both"/>
      </w:pPr>
      <w:r>
        <w:rPr>
          <w:rFonts w:ascii="Times New Roman" w:cs="Times New Roman" w:eastAsia="Times New Roman" w:hAnsi="Times New Roman"/>
          <w:b w:val="false"/>
          <w:bCs w:val="false"/>
          <w:i w:val="false"/>
          <w:iCs w:val="false"/>
          <w:sz w:val="22"/>
          <w:szCs w:val="22"/>
        </w:rPr>
        <w:t xml:space="preserve">The system is designed to emit a single structured record per screening encounter, intended to serve simultaneously as clinical output and as the audit-log entry required by the documentation layer. A representative output schema is shown below:</w:t>
      </w:r>
    </w:p>
    <w:p>
      <w:pPr>
        <w:shd w:fill="F2F2F2" w:val="clear"/>
        <w:spacing w:after="80"/>
      </w:pPr>
      <w:r>
        <w:rPr>
          <w:rFonts w:ascii="Courier New" w:cs="Courier New" w:eastAsia="Courier New" w:hAnsi="Courier New"/>
          <w:sz w:val="18"/>
          <w:szCs w:val="18"/>
        </w:rPr>
        <w:t xml:space="preserve">{ "encounter_id": "&lt;uuid&gt;", "risk_score": 0-100, "risk_category": "low | moderate | high", "modality_contributions": { "retinal_imaging": 0.0-1.0, "ehr_risk_factors": 0.0-1.0, "wearable_trends": 0.0-1.0 }, "explanation_summary": "&lt;clinician-facing text&gt;", "recommended_action": "routine follow-up | specialist referral | urgent referral", "model_version": "&lt;version id&gt;", "audit_log_id": "&lt;uuid&gt;" }</w:t>
      </w:r>
    </w:p>
    <w:p>
      <w:pPr>
        <w:spacing w:after="160" w:line="276"/>
        <w:jc w:val="both"/>
      </w:pPr>
      <w:r>
        <w:rPr>
          <w:rFonts w:ascii="Times New Roman" w:cs="Times New Roman" w:eastAsia="Times New Roman" w:hAnsi="Times New Roman"/>
          <w:b w:val="false"/>
          <w:bCs w:val="false"/>
          <w:i w:val="false"/>
          <w:iCs w:val="false"/>
          <w:sz w:val="22"/>
          <w:szCs w:val="22"/>
        </w:rPr>
        <w:t xml:space="preserve">The risk category and recommended action are deliberately coarse-grained (three tiers each) to keep the clinician-facing decision simple and to bound the system's role to triage rather than diagnosis, consistent with the human oversight layer. The modality_contributions field exposes the fused explanation's provenance directly, allowing a reviewing clinician (or, during an audit, a regulator) to see at a glance which input modality drove a given score.</w:t>
      </w:r>
    </w:p>
    <w:p>
      <w:pPr>
        <w:pStyle w:val="Heading2"/>
        <w:spacing w:after="160" w:before="300"/>
      </w:pPr>
      <w:r>
        <w:rPr>
          <w:rFonts w:ascii="Times New Roman" w:cs="Times New Roman" w:eastAsia="Times New Roman" w:hAnsi="Times New Roman"/>
          <w:b/>
          <w:bCs/>
          <w:sz w:val="22"/>
          <w:szCs w:val="22"/>
        </w:rPr>
        <w:t xml:space="preserve">E. Evaluation Plan</w:t>
      </w:r>
    </w:p>
    <w:p>
      <w:pPr>
        <w:spacing w:after="160" w:line="276"/>
        <w:jc w:val="both"/>
      </w:pPr>
      <w:r>
        <w:rPr>
          <w:rFonts w:ascii="Times New Roman" w:cs="Times New Roman" w:eastAsia="Times New Roman" w:hAnsi="Times New Roman"/>
          <w:b w:val="false"/>
          <w:bCs w:val="false"/>
          <w:i w:val="false"/>
          <w:iCs w:val="false"/>
          <w:sz w:val="22"/>
          <w:szCs w:val="22"/>
        </w:rPr>
        <w:t xml:space="preserve">Follow-on empirical work is expected to report standard classification metrics — accuracy, sensitivity, specificity, and area under the receiver operating characteristic curve (ROC-AUC) — stratified by demographic subgroup rather than only in aggregate, consistent with the fairness auditing motivation in Section II-D. As a design target rather than a claimed result, comparable published multimodal EHR-plus-wearable fusion work reports hybrid-model accuracy in the high-80s to low-90s percent range and ROC-AUC in approximately the 0.91–0.94 range, against single-modality baselines several points lower [25]; these figures are cited here only to indicate a plausible performance band for planning purposes, not as results of the present paper. Equally important, and less commonly reported in comparable studies, would be explanation-quality and clinician-trust metrics — for instance, clinician agreement with the system's fused explanation and measured time-to-decision — which the discussion below identifies as an open evaluation gap.</w:t>
      </w:r>
    </w:p>
    <w:p>
      <w:pPr>
        <w:pStyle w:val="Heading1"/>
        <w:spacing w:after="160" w:before="300"/>
      </w:pPr>
      <w:r>
        <w:rPr>
          <w:rFonts w:ascii="Times New Roman" w:cs="Times New Roman" w:eastAsia="Times New Roman" w:hAnsi="Times New Roman"/>
          <w:b/>
          <w:bCs/>
          <w:sz w:val="24"/>
          <w:szCs w:val="24"/>
        </w:rPr>
        <w:t xml:space="preserve">VII. Discussion</w:t>
      </w:r>
    </w:p>
    <w:p>
      <w:pPr>
        <w:spacing w:after="160" w:line="276"/>
        <w:jc w:val="both"/>
      </w:pPr>
      <w:r>
        <w:rPr>
          <w:rFonts w:ascii="Times New Roman" w:cs="Times New Roman" w:eastAsia="Times New Roman" w:hAnsi="Times New Roman"/>
          <w:b w:val="false"/>
          <w:bCs w:val="false"/>
          <w:i w:val="false"/>
          <w:iCs w:val="false"/>
          <w:sz w:val="22"/>
          <w:szCs w:val="22"/>
        </w:rPr>
        <w:t xml:space="preserve">The framework proposed here is intended to function as a boundary object between AI system designers and regulatory or compliance stakeholders — a shared reference that lets a technical team reason about explainability choices in terms a regulator or hospital compliance officer would recognize, and vice versa. This may be particularly valuable for teams in India building toward eventual international validation or partnership, where a system may need to satisfy CDSCO requirements domestically while anticipating EU AI Act or comparable obligations for cross-border deployment or research collaboration.</w:t>
      </w:r>
    </w:p>
    <w:p>
      <w:pPr>
        <w:spacing w:after="160" w:line="276"/>
        <w:jc w:val="both"/>
      </w:pPr>
      <w:r>
        <w:rPr>
          <w:rFonts w:ascii="Times New Roman" w:cs="Times New Roman" w:eastAsia="Times New Roman" w:hAnsi="Times New Roman"/>
          <w:b w:val="false"/>
          <w:bCs w:val="false"/>
          <w:i w:val="false"/>
          <w:iCs w:val="false"/>
          <w:sz w:val="22"/>
          <w:szCs w:val="22"/>
        </w:rPr>
        <w:t xml:space="preserve">Several limitations and open questions follow directly from this framing. First, dual-regulation alignment is not guaranteed to remain stable: both the EU AI Act's implementation guidance and CDSCO's MDSW guidance are still evolving, and specific mappings in Table I may require revision as final rules and technical standards are published. Second, the post-market monitoring layer assumes a level of connectivity and data infrastructure that may not be uniformly available across low-resource deployment sites, which is itself a design constraint the framework surfaces rather than resolves. Third, the framework has not yet been empirically validated against a real multimodal dataset or a real regulatory submission; this is intentional, as the present contribution is conceptual, and empirical validation is proposed as the immediate next stage of this research program. Finally, clinician trust and usability of the fused, multimodal explanation output — rather than its technical correctness alone — is an open human-factors question that would need dedicated evaluation with practicing clinicians in the target deployment settings.</w:t>
      </w:r>
    </w:p>
    <w:p>
      <w:pPr>
        <w:pStyle w:val="Heading1"/>
        <w:spacing w:after="160" w:before="300"/>
      </w:pPr>
      <w:r>
        <w:rPr>
          <w:rFonts w:ascii="Times New Roman" w:cs="Times New Roman" w:eastAsia="Times New Roman" w:hAnsi="Times New Roman"/>
          <w:b/>
          <w:bCs/>
          <w:sz w:val="24"/>
          <w:szCs w:val="24"/>
        </w:rPr>
        <w:t xml:space="preserve">VIII. 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has proposed a five-layer framework connecting explainable AI design choices for multimodal chronic-disease screening to the regulatory obligations of the EU AI Act and India's CDSCO Medical Device Software guidance, and illustrated it through a conceptual type 2 diabetes screening case study spanning retinal imaging, EHR data, and wearable signals. The framework's contribution is to make explicit a set of design decisions — modality-specific explanation strategies, human-oversight routing, structured documentation, and update governance — that are often treated as separable technical and regulatory concerns but that this paper argues should be co-designed from the outset. Future work will empirically validate the framework using a real multimodal dataset, evaluate clinician trust in the fused explanation output, and assess the framework's applicability to other chronic conditions beyond diabetes.</w:t>
      </w:r>
    </w:p>
    <w:p>
      <w:pPr>
        <w:pStyle w:val="Heading1"/>
        <w:spacing w:after="160" w:before="300"/>
      </w:pPr>
      <w:r>
        <w:rPr>
          <w:rFonts w:ascii="Times New Roman" w:cs="Times New Roman" w:eastAsia="Times New Roman" w:hAnsi="Times New Roman"/>
          <w:b/>
          <w:bCs/>
          <w:sz w:val="24"/>
          <w:szCs w:val="24"/>
        </w:rPr>
        <w:t xml:space="preserve">References</w:t>
      </w:r>
    </w:p>
    <w:p>
      <w:pPr>
        <w:spacing w:after="120" w:line="264"/>
        <w:ind w:left="360" w:hanging="360"/>
      </w:pPr>
      <w:r>
        <w:rPr>
          <w:rFonts w:ascii="Times New Roman" w:cs="Times New Roman" w:eastAsia="Times New Roman" w:hAnsi="Times New Roman"/>
          <w:sz w:val="20"/>
          <w:szCs w:val="20"/>
        </w:rPr>
        <w:t xml:space="preserve">[1] A. L. Roy, M. K. Siam, N. N. I. Prova, S. Jahan, and A. Al Maruf, “Leveraging Gene Expression Data and Explainable Machine Learning for Enhanced Early Detection of Type 2 Diabetes,” arXiv:2411.14471, 2024.</w:t>
      </w:r>
    </w:p>
    <w:p>
      <w:pPr>
        <w:spacing w:after="120" w:line="264"/>
        <w:ind w:left="360" w:hanging="360"/>
      </w:pPr>
      <w:r>
        <w:rPr>
          <w:rFonts w:ascii="Times New Roman" w:cs="Times New Roman" w:eastAsia="Times New Roman" w:hAnsi="Times New Roman"/>
          <w:sz w:val="20"/>
          <w:szCs w:val="20"/>
        </w:rPr>
        <w:t xml:space="preserve">[2] J. B. Majyambere, A. Lindgren, J. Twizere, and E. Ntakirutimana, “Early Type 2 Diabetes Risk Prediction Using Explainable Machine Learning in a Two-Stage Approach,” Frontiers in Digital Health, vol. 8, 2026.</w:t>
      </w:r>
    </w:p>
    <w:p>
      <w:pPr>
        <w:spacing w:after="120" w:line="264"/>
        <w:ind w:left="360" w:hanging="360"/>
      </w:pPr>
      <w:r>
        <w:rPr>
          <w:rFonts w:ascii="Times New Roman" w:cs="Times New Roman" w:eastAsia="Times New Roman" w:hAnsi="Times New Roman"/>
          <w:sz w:val="20"/>
          <w:szCs w:val="20"/>
        </w:rPr>
        <w:t xml:space="preserve">[3] “DiaHealth: Early Prediction of Type-2 Diabetes with Associated Risk Factors Using Machine Learning and Explainable AI,” ResearchGate preprint, 2025.</w:t>
      </w:r>
    </w:p>
    <w:p>
      <w:pPr>
        <w:spacing w:after="120" w:line="264"/>
        <w:ind w:left="360" w:hanging="360"/>
      </w:pPr>
      <w:r>
        <w:rPr>
          <w:rFonts w:ascii="Times New Roman" w:cs="Times New Roman" w:eastAsia="Times New Roman" w:hAnsi="Times New Roman"/>
          <w:sz w:val="20"/>
          <w:szCs w:val="20"/>
        </w:rPr>
        <w:t xml:space="preserve">[4] “Machine Learning and Artificial Intelligence in Type 2 Diabetes Prediction: A Comprehensive 33-Year Bibliometric and Literature Analysis,” PMC, 2024.</w:t>
      </w:r>
    </w:p>
    <w:p>
      <w:pPr>
        <w:spacing w:after="120" w:line="264"/>
        <w:ind w:left="360" w:hanging="360"/>
      </w:pPr>
      <w:r>
        <w:rPr>
          <w:rFonts w:ascii="Times New Roman" w:cs="Times New Roman" w:eastAsia="Times New Roman" w:hAnsi="Times New Roman"/>
          <w:sz w:val="20"/>
          <w:szCs w:val="20"/>
        </w:rPr>
        <w:t xml:space="preserve">[5] “Explainable Retinal Imaging for Prediction of Multi-Organ Dysfunction in Type 2 Diabetes,” arXiv:2605.24912, 2026.</w:t>
      </w:r>
    </w:p>
    <w:p>
      <w:pPr>
        <w:spacing w:after="120" w:line="264"/>
        <w:ind w:left="360" w:hanging="360"/>
      </w:pPr>
      <w:r>
        <w:rPr>
          <w:rFonts w:ascii="Times New Roman" w:cs="Times New Roman" w:eastAsia="Times New Roman" w:hAnsi="Times New Roman"/>
          <w:sz w:val="20"/>
          <w:szCs w:val="20"/>
        </w:rPr>
        <w:t xml:space="preserve">[6] A. Barredo Arrieta et al., “Explainable Artificial Intelligence (XAI): Concepts, Taxonomies, Opportunities and Challenges toward Responsible AI,” Information Fusion, vol. 58, pp. 82–115, 2020.</w:t>
      </w:r>
    </w:p>
    <w:p>
      <w:pPr>
        <w:spacing w:after="120" w:line="264"/>
        <w:ind w:left="360" w:hanging="360"/>
      </w:pPr>
      <w:r>
        <w:rPr>
          <w:rFonts w:ascii="Times New Roman" w:cs="Times New Roman" w:eastAsia="Times New Roman" w:hAnsi="Times New Roman"/>
          <w:sz w:val="20"/>
          <w:szCs w:val="20"/>
        </w:rPr>
        <w:t xml:space="preserve">[7] “Responsible AI Governance: A Response to UN Interim Report on Governing AI for Humanity,” arXiv:2412.12108, 2024.</w:t>
      </w:r>
    </w:p>
    <w:p>
      <w:pPr>
        <w:spacing w:after="120" w:line="264"/>
        <w:ind w:left="360" w:hanging="360"/>
      </w:pPr>
      <w:r>
        <w:rPr>
          <w:rFonts w:ascii="Times New Roman" w:cs="Times New Roman" w:eastAsia="Times New Roman" w:hAnsi="Times New Roman"/>
          <w:sz w:val="20"/>
          <w:szCs w:val="20"/>
        </w:rPr>
        <w:t xml:space="preserve">[8] “Global AI Governance in Healthcare: A Cross-Jurisdictional Regulatory Analysis,” arXiv:2406.08695, 2024.</w:t>
      </w:r>
    </w:p>
    <w:p>
      <w:pPr>
        <w:spacing w:after="120" w:line="264"/>
        <w:ind w:left="360" w:hanging="360"/>
      </w:pPr>
      <w:r>
        <w:rPr>
          <w:rFonts w:ascii="Times New Roman" w:cs="Times New Roman" w:eastAsia="Times New Roman" w:hAnsi="Times New Roman"/>
          <w:sz w:val="20"/>
          <w:szCs w:val="20"/>
        </w:rPr>
        <w:t xml:space="preserve">[9] “Governing Healthcare AI in the Real World: How Fairness, Transparency, and Human Oversight Can Coexist — A Narrative Review,” Sci, vol. 8, no. 2, 2026, doi:10.3390/sci8020036.</w:t>
      </w:r>
    </w:p>
    <w:p>
      <w:pPr>
        <w:spacing w:after="120" w:line="264"/>
        <w:ind w:left="360" w:hanging="360"/>
      </w:pPr>
      <w:r>
        <w:rPr>
          <w:rFonts w:ascii="Times New Roman" w:cs="Times New Roman" w:eastAsia="Times New Roman" w:hAnsi="Times New Roman"/>
          <w:sz w:val="20"/>
          <w:szCs w:val="20"/>
        </w:rPr>
        <w:t xml:space="preserve">[10] Tandem Health, “EU AI Act Explained: What Healthcare Organisations Need to Know,” 2026.</w:t>
      </w:r>
    </w:p>
    <w:p>
      <w:pPr>
        <w:spacing w:after="120" w:line="264"/>
        <w:ind w:left="360" w:hanging="360"/>
      </w:pPr>
      <w:r>
        <w:rPr>
          <w:rFonts w:ascii="Times New Roman" w:cs="Times New Roman" w:eastAsia="Times New Roman" w:hAnsi="Times New Roman"/>
          <w:sz w:val="20"/>
          <w:szCs w:val="20"/>
        </w:rPr>
        <w:t xml:space="preserve">[11] “First, Do No Harm (With LLMs): Mitigating Racial Bias via Agentic Workflows,” arXiv:2604.18038, 2026.</w:t>
      </w:r>
    </w:p>
    <w:p>
      <w:pPr>
        <w:spacing w:after="120" w:line="264"/>
        <w:ind w:left="360" w:hanging="360"/>
      </w:pPr>
      <w:r>
        <w:rPr>
          <w:rFonts w:ascii="Times New Roman" w:cs="Times New Roman" w:eastAsia="Times New Roman" w:hAnsi="Times New Roman"/>
          <w:sz w:val="20"/>
          <w:szCs w:val="20"/>
        </w:rPr>
        <w:t xml:space="preserve">[12] Regulatory Affairs Professionals Society (RAPS), “EU Commission Drafts Guidelines on Classifying High-Risk Systems Under the AI Act,” 2026.</w:t>
      </w:r>
    </w:p>
    <w:p>
      <w:pPr>
        <w:spacing w:after="120" w:line="264"/>
        <w:ind w:left="360" w:hanging="360"/>
      </w:pPr>
      <w:r>
        <w:rPr>
          <w:rFonts w:ascii="Times New Roman" w:cs="Times New Roman" w:eastAsia="Times New Roman" w:hAnsi="Times New Roman"/>
          <w:sz w:val="20"/>
          <w:szCs w:val="20"/>
        </w:rPr>
        <w:t xml:space="preserve">[13] IntuitionLabs, “EU AI Act High-Risk Compliance: Pharma &amp; Medical Devices,” 2026.</w:t>
      </w:r>
    </w:p>
    <w:p>
      <w:pPr>
        <w:spacing w:after="120" w:line="264"/>
        <w:ind w:left="360" w:hanging="360"/>
      </w:pPr>
      <w:r>
        <w:rPr>
          <w:rFonts w:ascii="Times New Roman" w:cs="Times New Roman" w:eastAsia="Times New Roman" w:hAnsi="Times New Roman"/>
          <w:sz w:val="20"/>
          <w:szCs w:val="20"/>
        </w:rPr>
        <w:t xml:space="preserve">[14] EU Artificial Intelligence Act, “Annex III: High-Risk AI Systems Referred to in Article 6(2),” Regulation (EU) 2024/1689.</w:t>
      </w:r>
    </w:p>
    <w:p>
      <w:pPr>
        <w:spacing w:after="120" w:line="264"/>
        <w:ind w:left="360" w:hanging="360"/>
      </w:pPr>
      <w:r>
        <w:rPr>
          <w:rFonts w:ascii="Times New Roman" w:cs="Times New Roman" w:eastAsia="Times New Roman" w:hAnsi="Times New Roman"/>
          <w:sz w:val="20"/>
          <w:szCs w:val="20"/>
        </w:rPr>
        <w:t xml:space="preserve">[15] “Making AI Compliance Evidence Machine-Readable,” arXiv:2604.13767, 2026.</w:t>
      </w:r>
    </w:p>
    <w:p>
      <w:pPr>
        <w:spacing w:after="120" w:line="264"/>
        <w:ind w:left="360" w:hanging="360"/>
      </w:pPr>
      <w:r>
        <w:rPr>
          <w:rFonts w:ascii="Times New Roman" w:cs="Times New Roman" w:eastAsia="Times New Roman" w:hAnsi="Times New Roman"/>
          <w:sz w:val="20"/>
          <w:szCs w:val="20"/>
        </w:rPr>
        <w:t xml:space="preserve">[16] DISHER, “The EU AI Act: What Medical Device Manufacturers Need to Know (Even in the U.S.),” 2026.</w:t>
      </w:r>
    </w:p>
    <w:p>
      <w:pPr>
        <w:spacing w:after="120" w:line="264"/>
        <w:ind w:left="360" w:hanging="360"/>
      </w:pPr>
      <w:r>
        <w:rPr>
          <w:rFonts w:ascii="Times New Roman" w:cs="Times New Roman" w:eastAsia="Times New Roman" w:hAnsi="Times New Roman"/>
          <w:sz w:val="20"/>
          <w:szCs w:val="20"/>
        </w:rPr>
        <w:t xml:space="preserve">[17] MDXCRO, “EU AI Act for Medical Devices &amp; SaMD: 2026 Compliance Guide,” 2026.</w:t>
      </w:r>
    </w:p>
    <w:p>
      <w:pPr>
        <w:spacing w:after="120" w:line="264"/>
        <w:ind w:left="360" w:hanging="360"/>
      </w:pPr>
      <w:r>
        <w:rPr>
          <w:rFonts w:ascii="Times New Roman" w:cs="Times New Roman" w:eastAsia="Times New Roman" w:hAnsi="Times New Roman"/>
          <w:sz w:val="20"/>
          <w:szCs w:val="20"/>
        </w:rPr>
        <w:t xml:space="preserve">[18] India Briefing, “Navigating India's Medical Device Software Framework: A Guide,” 2025.</w:t>
      </w:r>
    </w:p>
    <w:p>
      <w:pPr>
        <w:spacing w:after="120" w:line="264"/>
        <w:ind w:left="360" w:hanging="360"/>
      </w:pPr>
      <w:r>
        <w:rPr>
          <w:rFonts w:ascii="Times New Roman" w:cs="Times New Roman" w:eastAsia="Times New Roman" w:hAnsi="Times New Roman"/>
          <w:sz w:val="20"/>
          <w:szCs w:val="20"/>
        </w:rPr>
        <w:t xml:space="preserve">[19] Qualio, “CDSCO Medical Device Registration in India: What's Changed in 2026,” 2026.</w:t>
      </w:r>
    </w:p>
    <w:p>
      <w:pPr>
        <w:spacing w:after="120" w:line="264"/>
        <w:ind w:left="360" w:hanging="360"/>
      </w:pPr>
      <w:r>
        <w:rPr>
          <w:rFonts w:ascii="Times New Roman" w:cs="Times New Roman" w:eastAsia="Times New Roman" w:hAnsi="Times New Roman"/>
          <w:sz w:val="20"/>
          <w:szCs w:val="20"/>
        </w:rPr>
        <w:t xml:space="preserve">[20] Emergo by UL, “India CDSCO Finalizes Guidance on Medical Device Software,” 2026.</w:t>
      </w:r>
    </w:p>
    <w:p>
      <w:pPr>
        <w:spacing w:after="120" w:line="264"/>
        <w:ind w:left="360" w:hanging="360"/>
      </w:pPr>
      <w:r>
        <w:rPr>
          <w:rFonts w:ascii="Times New Roman" w:cs="Times New Roman" w:eastAsia="Times New Roman" w:hAnsi="Times New Roman"/>
          <w:sz w:val="20"/>
          <w:szCs w:val="20"/>
        </w:rPr>
        <w:t xml:space="preserve">[21] National Law Review, “From Code to Compliance: Decoding India's Medical Device Software Guidance,” 2026.</w:t>
      </w:r>
    </w:p>
    <w:p>
      <w:pPr>
        <w:spacing w:after="120" w:line="264"/>
        <w:ind w:left="360" w:hanging="360"/>
      </w:pPr>
      <w:r>
        <w:rPr>
          <w:rFonts w:ascii="Times New Roman" w:cs="Times New Roman" w:eastAsia="Times New Roman" w:hAnsi="Times New Roman"/>
          <w:sz w:val="20"/>
          <w:szCs w:val="20"/>
        </w:rPr>
        <w:t xml:space="preserve">[22] Freyr Solutions, “SaMD Regulation in India: CDSCO Classification (Class A–D), Registration Requirements &amp; Emerging Market Strategy,” 2026.</w:t>
      </w:r>
    </w:p>
    <w:p>
      <w:pPr>
        <w:spacing w:after="120" w:line="264"/>
        <w:ind w:left="360" w:hanging="360"/>
      </w:pPr>
      <w:r>
        <w:rPr>
          <w:rFonts w:ascii="Times New Roman" w:cs="Times New Roman" w:eastAsia="Times New Roman" w:hAnsi="Times New Roman"/>
          <w:sz w:val="20"/>
          <w:szCs w:val="20"/>
        </w:rPr>
        <w:t xml:space="preserve">[23] “Towards Deployment-Centric Multimodal AI Beyond Vision and Language,” arXiv:2504.03603, 2025.</w:t>
      </w:r>
    </w:p>
    <w:p>
      <w:pPr>
        <w:spacing w:after="120" w:line="264"/>
        <w:ind w:left="360" w:hanging="360"/>
      </w:pPr>
      <w:r>
        <w:rPr>
          <w:rFonts w:ascii="Times New Roman" w:cs="Times New Roman" w:eastAsia="Times New Roman" w:hAnsi="Times New Roman"/>
          <w:sz w:val="20"/>
          <w:szCs w:val="20"/>
        </w:rPr>
        <w:t xml:space="preserve">[24] “AI-Driven Wearable Bioelectronics in Digital Healthcare,” PMC, 2025.</w:t>
      </w:r>
    </w:p>
    <w:p>
      <w:pPr>
        <w:spacing w:after="120" w:line="264"/>
        <w:ind w:left="360" w:hanging="360"/>
      </w:pPr>
      <w:r>
        <w:rPr>
          <w:rFonts w:ascii="Times New Roman" w:cs="Times New Roman" w:eastAsia="Times New Roman" w:hAnsi="Times New Roman"/>
          <w:sz w:val="20"/>
          <w:szCs w:val="20"/>
        </w:rPr>
        <w:t xml:space="preserve">[25] R. Agrawal, “A Multimodal Explainable AI Framework for Early Prediction of Chronic Diseases Using EHR and Wearable Data,” IEEE DataPort, doi:10.21227/mrzw-3128.</w:t>
      </w:r>
    </w:p>
    <w:p>
      <w:pPr>
        <w:spacing w:after="120" w:line="264"/>
        <w:ind w:left="360" w:hanging="360"/>
      </w:pPr>
      <w:r>
        <w:rPr>
          <w:rFonts w:ascii="Times New Roman" w:cs="Times New Roman" w:eastAsia="Times New Roman" w:hAnsi="Times New Roman"/>
          <w:sz w:val="20"/>
          <w:szCs w:val="20"/>
        </w:rPr>
        <w:t xml:space="preserve">[26] University of Oxford, Engineering for Digital Health (AI4DH), “Low- and Middle-Income Countries with Wearables” project overview.</w:t>
      </w:r>
    </w:p>
    <w:p>
      <w:pPr>
        <w:spacing w:after="120" w:line="264"/>
        <w:ind w:left="360" w:hanging="360"/>
      </w:pPr>
      <w:r>
        <w:rPr>
          <w:rFonts w:ascii="Times New Roman" w:cs="Times New Roman" w:eastAsia="Times New Roman" w:hAnsi="Times New Roman"/>
          <w:sz w:val="20"/>
          <w:szCs w:val="20"/>
        </w:rPr>
        <w:t xml:space="preserve">[27] “Multi-Entity Resource, Security, and Service Management in Edge Computing Deployments,” U.S. Patent Application Publication, describing AI-assisted screening of non-communicable diseases at remote and edge locations.</w:t>
      </w:r>
    </w:p>
    <w:p>
      <w:pPr>
        <w:spacing w:after="120" w:line="264"/>
        <w:ind w:left="360" w:hanging="360"/>
      </w:pPr>
      <w:r>
        <w:rPr>
          <w:rFonts w:ascii="Times New Roman" w:cs="Times New Roman" w:eastAsia="Times New Roman" w:hAnsi="Times New Roman"/>
          <w:sz w:val="20"/>
          <w:szCs w:val="20"/>
        </w:rPr>
        <w:t xml:space="preserve">[28] Asia Pacific Tele-Ophthalmology Society, “APTOS 2019 Blindness Detection,” Kaggle competition dataset, 2019.</w:t>
      </w:r>
    </w:p>
    <w:p>
      <w:pPr>
        <w:spacing w:after="120" w:line="264"/>
        <w:ind w:left="360" w:hanging="360"/>
      </w:pPr>
      <w:r>
        <w:rPr>
          <w:rFonts w:ascii="Times New Roman" w:cs="Times New Roman" w:eastAsia="Times New Roman" w:hAnsi="Times New Roman"/>
          <w:sz w:val="20"/>
          <w:szCs w:val="20"/>
        </w:rPr>
        <w:t xml:space="preserve">[29] California Healthcare Foundation / EyePACS, “Diabetic Retinopathy Detection,” Kaggle dataset, 2015.</w:t>
      </w:r>
    </w:p>
    <w:p>
      <w:pPr>
        <w:spacing w:after="120" w:line="264"/>
        <w:ind w:left="360" w:hanging="360"/>
      </w:pPr>
      <w:r>
        <w:rPr>
          <w:rFonts w:ascii="Times New Roman" w:cs="Times New Roman" w:eastAsia="Times New Roman" w:hAnsi="Times New Roman"/>
          <w:sz w:val="20"/>
          <w:szCs w:val="20"/>
        </w:rPr>
        <w:t xml:space="preserve">[30] E. Decenière et al., “Feedback on a Publicly Distributed Image Database: The Messidor Database,” Image Analysis &amp; Stereology, vol. 33, no. 3, pp. 231–234, 2014.</w:t>
      </w:r>
    </w:p>
    <w:p>
      <w:pPr>
        <w:spacing w:after="120" w:line="264"/>
        <w:ind w:left="360" w:hanging="360"/>
      </w:pPr>
      <w:r>
        <w:rPr>
          <w:rFonts w:ascii="Times New Roman" w:cs="Times New Roman" w:eastAsia="Times New Roman" w:hAnsi="Times New Roman"/>
          <w:sz w:val="20"/>
          <w:szCs w:val="20"/>
        </w:rPr>
        <w:t xml:space="preserve">[31] “Pima Indians Diabetes Database,” National Institute of Diabetes and Digestive and Kidney Diseases, distributed via the UCI Machine Learning Repository.</w:t>
      </w:r>
    </w:p>
    <w:p>
      <w:pPr>
        <w:spacing w:after="120" w:line="264"/>
        <w:ind w:left="360" w:hanging="360"/>
      </w:pPr>
      <w:r>
        <w:rPr>
          <w:rFonts w:ascii="Times New Roman" w:cs="Times New Roman" w:eastAsia="Times New Roman" w:hAnsi="Times New Roman"/>
          <w:sz w:val="20"/>
          <w:szCs w:val="20"/>
        </w:rPr>
        <w:t xml:space="preserve">[32] A. E. W. Johnson et al., “MIMIC-IV, a Freely Accessible Electronic Health Record Dataset,” Scientific Data, vol. 10, article 1, 2023.</w:t>
      </w:r>
    </w:p>
    <w:p>
      <w:pPr>
        <w:spacing w:after="120" w:line="264"/>
        <w:ind w:left="360" w:hanging="360"/>
      </w:pPr>
      <w:r>
        <w:rPr>
          <w:rFonts w:ascii="Times New Roman" w:cs="Times New Roman" w:eastAsia="Times New Roman" w:hAnsi="Times New Roman"/>
          <w:sz w:val="20"/>
          <w:szCs w:val="20"/>
        </w:rPr>
        <w:t xml:space="preserve">[33] C. Marling and R. Bunescu, “The OhioT1DM Dataset for Blood Glucose Level Prediction: Update 2020,” Proc. 5th Int. Workshop on Knowledge Discovery in Healthcare Data (KDH), CEUR Workshop Proceedings, vol. 2675, pp. 71–74, 2020.</w:t>
      </w:r>
    </w:p>
    <w:p>
      <w:pPr>
        <w:spacing w:after="120" w:line="264"/>
        <w:ind w:left="360" w:hanging="360"/>
      </w:pPr>
      <w:r>
        <w:rPr>
          <w:rFonts w:ascii="Times New Roman" w:cs="Times New Roman" w:eastAsia="Times New Roman" w:hAnsi="Times New Roman"/>
          <w:sz w:val="20"/>
          <w:szCs w:val="20"/>
        </w:rPr>
        <w:t xml:space="preserve">[34] S. M. Lundberg and S.-I. Lee, “A Unified Approach to Interpreting Model Predictions,” Advances in Neural Information Processing Systems (NeurIPS), 2017.</w:t>
      </w:r>
    </w:p>
    <w:p>
      <w:pPr>
        <w:spacing w:after="120" w:line="264"/>
        <w:ind w:left="360" w:hanging="360"/>
      </w:pPr>
      <w:r>
        <w:rPr>
          <w:rFonts w:ascii="Times New Roman" w:cs="Times New Roman" w:eastAsia="Times New Roman" w:hAnsi="Times New Roman"/>
          <w:sz w:val="20"/>
          <w:szCs w:val="20"/>
        </w:rPr>
        <w:t xml:space="preserve">[35] M. T. Ribeiro, S. Singh, and C. Guestrin, “‘Why Should I Trust You?’: Explaining the Predictions of Any Classifier,” Proc. ACM SIGKDD Int. Conf. on Knowledge Discovery and Data Mining, 2016.</w:t>
      </w:r>
    </w:p>
    <w:p>
      <w:pPr>
        <w:spacing w:after="120" w:line="264"/>
        <w:ind w:left="360" w:hanging="360"/>
      </w:pPr>
      <w:r>
        <w:rPr>
          <w:rFonts w:ascii="Times New Roman" w:cs="Times New Roman" w:eastAsia="Times New Roman" w:hAnsi="Times New Roman"/>
          <w:sz w:val="20"/>
          <w:szCs w:val="20"/>
        </w:rPr>
        <w:t xml:space="preserve">[36] R. R. Selvaraju, M. Cogswell, A. Das, R. Vedantam, D. Parikh, and D. Batra, “Grad-CAM: Visual Explanations from Deep Networks via Gradient-Based Localization,” Proc. IEEE Int. Conf. on Computer Vision (ICCV), 2017.</w:t>
      </w:r>
    </w:p>
    <w:p>
      <w:pPr>
        <w:spacing w:after="120" w:line="264"/>
        <w:ind w:left="360" w:hanging="360"/>
      </w:pPr>
      <w:r>
        <w:rPr>
          <w:rFonts w:ascii="Times New Roman" w:cs="Times New Roman" w:eastAsia="Times New Roman" w:hAnsi="Times New Roman"/>
          <w:sz w:val="20"/>
          <w:szCs w:val="20"/>
        </w:rPr>
        <w:t xml:space="preserve">[37] N. Kokhlikyan et al., “Captum: A Unified and Generic Model Interpretability Library for PyTorch,” arXiv:2009.07896, 2020.</w:t>
      </w:r>
    </w:p>
    <w:p>
      <w:pPr>
        <w:spacing w:after="120" w:line="264"/>
        <w:ind w:left="360" w:hanging="360"/>
      </w:pPr>
      <w:r>
        <w:rPr>
          <w:rFonts w:ascii="Times New Roman" w:cs="Times New Roman" w:eastAsia="Times New Roman" w:hAnsi="Times New Roman"/>
          <w:sz w:val="20"/>
          <w:szCs w:val="20"/>
        </w:rPr>
        <w:t xml:space="preserve">[38] M. J. Cardoso et al., “MONAI: An Open-Source Framework for Deep Learning in Healthcare,” arXiv:2211.02701,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Draft manuscript — not yet peer reviewed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d9beb745bf84f46c92e429cd85651b92b9f1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2026-09-06T07:07:01.376Z</dcterms:created>
  <dcterms:modified xsi:type="dcterms:W3CDTF">2026-09-06T07:07:01.388Z</dcterms:modified>
</cp:coreProperties>
</file>

<file path=docProps/custom.xml><?xml version="1.0" encoding="utf-8"?>
<Properties xmlns="http://schemas.openxmlformats.org/officeDocument/2006/custom-properties" xmlns:vt="http://schemas.openxmlformats.org/officeDocument/2006/docPropsVTypes"/>
</file>