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25" w:rsidRPr="00042A25" w:rsidRDefault="00042A25" w:rsidP="00ED5922">
      <w:pPr>
        <w:pStyle w:val="Title"/>
      </w:pPr>
      <w:r w:rsidRPr="00042A25">
        <w:t>Energy Performance Indicators (EnPIs) for Common Energy Systems</w:t>
      </w:r>
      <w:r w:rsidR="00ED5922">
        <w:t xml:space="preserve"> (example)</w:t>
      </w:r>
    </w:p>
    <w:p w:rsidR="00042A25" w:rsidRDefault="00042A25" w:rsidP="00042A25"/>
    <w:p w:rsidR="00042A25" w:rsidRDefault="00042A25" w:rsidP="00042A25"/>
    <w:p w:rsidR="00042A25" w:rsidRDefault="00042A25" w:rsidP="00042A25">
      <w:r>
        <w:t xml:space="preserve">The table below lists some typical EnPIs for common energy systems in manufacturing.  Tracking the EnPIs over time will reveal trends in energy performance.  Similar EnPIs can be developed for other energy uses such as facilities, equipment and processes. </w:t>
      </w:r>
    </w:p>
    <w:p w:rsidR="00042A25" w:rsidRDefault="00042A25" w:rsidP="00042A25"/>
    <w:tbl>
      <w:tblPr>
        <w:tblW w:w="9530" w:type="dxa"/>
        <w:tblCellMar>
          <w:left w:w="0" w:type="dxa"/>
          <w:right w:w="0" w:type="dxa"/>
        </w:tblCellMar>
        <w:tblLook w:val="04A0" w:firstRow="1" w:lastRow="0" w:firstColumn="1" w:lastColumn="0" w:noHBand="0" w:noVBand="1"/>
      </w:tblPr>
      <w:tblGrid>
        <w:gridCol w:w="1403"/>
        <w:gridCol w:w="1917"/>
        <w:gridCol w:w="6210"/>
      </w:tblGrid>
      <w:tr w:rsidR="00042A25" w:rsidTr="00ED5922">
        <w:tc>
          <w:tcPr>
            <w:tcW w:w="14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jc w:val="center"/>
              <w:rPr>
                <w:rFonts w:ascii="Calibri" w:hAnsi="Calibri" w:cs="Calibri"/>
                <w:b/>
                <w:bCs/>
              </w:rPr>
            </w:pPr>
            <w:r>
              <w:rPr>
                <w:b/>
                <w:bCs/>
              </w:rPr>
              <w:t>Energy system</w:t>
            </w:r>
          </w:p>
        </w:tc>
        <w:tc>
          <w:tcPr>
            <w:tcW w:w="191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042A25" w:rsidRDefault="00042A25">
            <w:pPr>
              <w:jc w:val="center"/>
              <w:rPr>
                <w:rFonts w:ascii="Calibri" w:hAnsi="Calibri" w:cs="Calibri"/>
                <w:b/>
                <w:bCs/>
              </w:rPr>
            </w:pPr>
            <w:r>
              <w:rPr>
                <w:b/>
                <w:bCs/>
              </w:rPr>
              <w:t xml:space="preserve">Typical </w:t>
            </w:r>
            <w:proofErr w:type="spellStart"/>
            <w:r>
              <w:rPr>
                <w:b/>
                <w:bCs/>
              </w:rPr>
              <w:t>EnPI</w:t>
            </w:r>
            <w:proofErr w:type="spellEnd"/>
          </w:p>
        </w:tc>
        <w:tc>
          <w:tcPr>
            <w:tcW w:w="62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042A25" w:rsidRDefault="00042A25">
            <w:pPr>
              <w:jc w:val="center"/>
              <w:rPr>
                <w:rFonts w:ascii="Calibri" w:hAnsi="Calibri" w:cs="Calibri"/>
                <w:b/>
                <w:bCs/>
              </w:rPr>
            </w:pPr>
            <w:r>
              <w:rPr>
                <w:b/>
                <w:bCs/>
              </w:rPr>
              <w:t>Notes</w:t>
            </w:r>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Compressed Air</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4"/>
              </w:numPr>
              <w:spacing w:after="0" w:line="240" w:lineRule="auto"/>
            </w:pPr>
            <w:r>
              <w:t>kW/100 cfm</w:t>
            </w:r>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The quantity of compressed air produced can be measured or can be indirectly estimated based on a compressor performance curve from the measured input power to the compressor.</w:t>
            </w:r>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Steam System</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5"/>
              </w:numPr>
              <w:spacing w:after="0" w:line="240" w:lineRule="auto"/>
            </w:pPr>
            <w:r>
              <w:t xml:space="preserve">Btu/1000 </w:t>
            </w:r>
            <w:proofErr w:type="spellStart"/>
            <w:r>
              <w:t>lbs</w:t>
            </w:r>
            <w:proofErr w:type="spellEnd"/>
            <w:r>
              <w:t xml:space="preserve"> of steam produced</w:t>
            </w:r>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See DOE Energy Tip: “Benchmark the Fuel Cost of Energy Generation”</w:t>
            </w:r>
          </w:p>
          <w:p w:rsidR="00042A25" w:rsidRDefault="001A08ED">
            <w:pPr>
              <w:rPr>
                <w:rFonts w:ascii="Calibri" w:hAnsi="Calibri" w:cs="Calibri"/>
              </w:rPr>
            </w:pPr>
            <w:hyperlink r:id="rId7" w:history="1">
              <w:r w:rsidR="00042A25">
                <w:rPr>
                  <w:rStyle w:val="Hyperlink"/>
                </w:rPr>
                <w:t>http://www.energystar.gov/ia/business/industry/bnch_cost.pdf</w:t>
              </w:r>
            </w:hyperlink>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Process Heating System</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6"/>
              </w:numPr>
              <w:spacing w:after="0" w:line="240" w:lineRule="auto"/>
            </w:pPr>
            <w:r>
              <w:t>Btu/unit of output</w:t>
            </w:r>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Output is typically measured as the quantity of material flow through the process heating system (e.g. For a metal heat treating furnace, the units of measured could be pounds of metal.  For a carpet dryer, the units of measure could be square yards of carpet.)</w:t>
            </w:r>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Fan System</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7"/>
              </w:numPr>
              <w:ind w:left="382"/>
            </w:pPr>
            <w:r>
              <w:t xml:space="preserve">kWh/100 </w:t>
            </w:r>
            <w:proofErr w:type="spellStart"/>
            <w:r>
              <w:t>cf</w:t>
            </w:r>
            <w:proofErr w:type="spellEnd"/>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The quantity of air moved can be measured or estimated based on the fan curve and the measured input power to the fan motor.</w:t>
            </w:r>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Pump System</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7"/>
              </w:numPr>
              <w:ind w:left="382"/>
            </w:pPr>
            <w:r>
              <w:t>kWh/(gallons)</w:t>
            </w:r>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The quantity of fluid moved can be measured or estimated based on the pump curve and the measured input power to the pump system.</w:t>
            </w:r>
          </w:p>
        </w:tc>
      </w:tr>
      <w:tr w:rsidR="00042A25" w:rsidTr="00ED5922">
        <w:tc>
          <w:tcPr>
            <w:tcW w:w="14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Motor</w:t>
            </w:r>
          </w:p>
        </w:tc>
        <w:tc>
          <w:tcPr>
            <w:tcW w:w="1917"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rsidP="00042A25">
            <w:pPr>
              <w:pStyle w:val="ListParagraph"/>
              <w:numPr>
                <w:ilvl w:val="0"/>
                <w:numId w:val="7"/>
              </w:numPr>
              <w:ind w:left="382"/>
            </w:pPr>
            <w:r>
              <w:t>kWh/unit of output</w:t>
            </w:r>
          </w:p>
        </w:tc>
        <w:tc>
          <w:tcPr>
            <w:tcW w:w="6210" w:type="dxa"/>
            <w:tcBorders>
              <w:top w:val="nil"/>
              <w:left w:val="nil"/>
              <w:bottom w:val="single" w:sz="8" w:space="0" w:color="000000"/>
              <w:right w:val="single" w:sz="8" w:space="0" w:color="000000"/>
            </w:tcBorders>
            <w:tcMar>
              <w:top w:w="0" w:type="dxa"/>
              <w:left w:w="108" w:type="dxa"/>
              <w:bottom w:w="0" w:type="dxa"/>
              <w:right w:w="108" w:type="dxa"/>
            </w:tcMar>
            <w:hideMark/>
          </w:tcPr>
          <w:p w:rsidR="00042A25" w:rsidRDefault="00042A25">
            <w:pPr>
              <w:rPr>
                <w:rFonts w:ascii="Calibri" w:hAnsi="Calibri" w:cs="Calibri"/>
              </w:rPr>
            </w:pPr>
            <w:r>
              <w:t xml:space="preserve">Motors are typically the drivers for other equipment e.g. pumps, conveyors, fans, etc. and the </w:t>
            </w:r>
            <w:proofErr w:type="spellStart"/>
            <w:r>
              <w:t>EnPI</w:t>
            </w:r>
            <w:proofErr w:type="spellEnd"/>
            <w:r>
              <w:t xml:space="preserve"> will relate to the electricity drawn and the o</w:t>
            </w:r>
            <w:bookmarkStart w:id="0" w:name="_GoBack"/>
            <w:bookmarkEnd w:id="0"/>
            <w:r>
              <w:t>utput of the equipment.</w:t>
            </w:r>
          </w:p>
        </w:tc>
      </w:tr>
    </w:tbl>
    <w:p w:rsidR="00042A25" w:rsidRDefault="00042A25" w:rsidP="00042A25">
      <w:pPr>
        <w:rPr>
          <w:rFonts w:asciiTheme="minorHAnsi" w:hAnsiTheme="minorHAnsi" w:cstheme="minorBidi"/>
          <w:sz w:val="22"/>
          <w:szCs w:val="22"/>
        </w:rPr>
      </w:pPr>
    </w:p>
    <w:p w:rsidR="002F5883" w:rsidRPr="00042A25" w:rsidRDefault="002F5883" w:rsidP="00042A25"/>
    <w:sectPr w:rsidR="002F5883" w:rsidRPr="00042A25" w:rsidSect="00CA3B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8ED" w:rsidRDefault="001A08ED" w:rsidP="002F5883">
      <w:r>
        <w:separator/>
      </w:r>
    </w:p>
  </w:endnote>
  <w:endnote w:type="continuationSeparator" w:id="0">
    <w:p w:rsidR="001A08ED" w:rsidRDefault="001A08ED"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22" w:rsidRDefault="00ED5922" w:rsidP="00790BCF">
    <w:pPr>
      <w:tabs>
        <w:tab w:val="right" w:pos="10260"/>
      </w:tabs>
      <w:rPr>
        <w:rFonts w:cs="Calibri"/>
        <w:sz w:val="20"/>
        <w:szCs w:val="20"/>
      </w:rPr>
    </w:pPr>
    <w:r w:rsidRPr="00ED5922">
      <w:rPr>
        <w:rFonts w:cs="Calibri"/>
        <w:sz w:val="20"/>
        <w:szCs w:val="20"/>
      </w:rPr>
      <w:t>Energy Performance Indicators (EnPIs) for Common Energy Systems (example)</w:t>
    </w:r>
  </w:p>
  <w:p w:rsidR="00790BCF" w:rsidRDefault="008012A3" w:rsidP="00ED5922">
    <w:pPr>
      <w:tabs>
        <w:tab w:val="right" w:pos="10260"/>
      </w:tabs>
      <w:rPr>
        <w:rFonts w:cs="Calibri"/>
        <w:sz w:val="20"/>
        <w:szCs w:val="20"/>
      </w:rPr>
    </w:pPr>
    <w:r>
      <w:rPr>
        <w:rFonts w:cs="Calibri"/>
        <w:sz w:val="20"/>
        <w:szCs w:val="20"/>
      </w:rPr>
      <w:t xml:space="preserve">50001 </w:t>
    </w:r>
    <w:r w:rsidR="00ED5922">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ED5922">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ED5922">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ED5922">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8ED" w:rsidRDefault="001A08ED" w:rsidP="002F5883">
      <w:r>
        <w:separator/>
      </w:r>
    </w:p>
  </w:footnote>
  <w:footnote w:type="continuationSeparator" w:id="0">
    <w:p w:rsidR="001A08ED" w:rsidRDefault="001A08ED"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291"/>
    <w:multiLevelType w:val="hybridMultilevel"/>
    <w:tmpl w:val="98429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A476342"/>
    <w:multiLevelType w:val="hybridMultilevel"/>
    <w:tmpl w:val="A978E130"/>
    <w:lvl w:ilvl="0" w:tplc="0409000F">
      <w:start w:val="5"/>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113588"/>
    <w:multiLevelType w:val="hybridMultilevel"/>
    <w:tmpl w:val="D0F6E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44308F2"/>
    <w:multiLevelType w:val="hybridMultilevel"/>
    <w:tmpl w:val="D1B48570"/>
    <w:lvl w:ilvl="0" w:tplc="F56AA07E">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DD21309"/>
    <w:multiLevelType w:val="hybridMultilevel"/>
    <w:tmpl w:val="0C58FF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3F27FCA"/>
    <w:multiLevelType w:val="hybridMultilevel"/>
    <w:tmpl w:val="96803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124FA6"/>
    <w:multiLevelType w:val="hybridMultilevel"/>
    <w:tmpl w:val="FB06DE8A"/>
    <w:lvl w:ilvl="0" w:tplc="0409000F">
      <w:start w:val="6"/>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42A25"/>
    <w:rsid w:val="001A08ED"/>
    <w:rsid w:val="001A6A42"/>
    <w:rsid w:val="002F5883"/>
    <w:rsid w:val="003052A4"/>
    <w:rsid w:val="003327FD"/>
    <w:rsid w:val="00377C50"/>
    <w:rsid w:val="003B111D"/>
    <w:rsid w:val="003C73DF"/>
    <w:rsid w:val="00506727"/>
    <w:rsid w:val="00525763"/>
    <w:rsid w:val="00563F22"/>
    <w:rsid w:val="0059235C"/>
    <w:rsid w:val="005929FC"/>
    <w:rsid w:val="005A73EC"/>
    <w:rsid w:val="0066283E"/>
    <w:rsid w:val="00756ABD"/>
    <w:rsid w:val="00790BCF"/>
    <w:rsid w:val="008012A3"/>
    <w:rsid w:val="008A4E28"/>
    <w:rsid w:val="00910EBD"/>
    <w:rsid w:val="00944F1D"/>
    <w:rsid w:val="00A6604A"/>
    <w:rsid w:val="00B36B33"/>
    <w:rsid w:val="00BB5E0F"/>
    <w:rsid w:val="00CA3B6D"/>
    <w:rsid w:val="00ED5922"/>
    <w:rsid w:val="00F56EF5"/>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52A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ED5922"/>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ED5922"/>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3052A4"/>
    <w:rPr>
      <w:rFonts w:ascii="Cambria" w:eastAsia="Times New Roman" w:hAnsi="Cambria" w:cs="Times New Roman"/>
      <w:b/>
      <w:bCs/>
      <w:kern w:val="32"/>
      <w:sz w:val="32"/>
      <w:szCs w:val="32"/>
    </w:rPr>
  </w:style>
  <w:style w:type="table" w:styleId="TableGrid">
    <w:name w:val="Table Grid"/>
    <w:basedOn w:val="TableNormal"/>
    <w:uiPriority w:val="59"/>
    <w:rsid w:val="00910EBD"/>
    <w:pPr>
      <w:spacing w:after="0" w:line="240" w:lineRule="auto"/>
    </w:pPr>
    <w:rPr>
      <w:rFonts w:ascii="Arial" w:hAnsi="Arial" w:cs="Arial"/>
      <w:b/>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2A25"/>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365774">
      <w:bodyDiv w:val="1"/>
      <w:marLeft w:val="0"/>
      <w:marRight w:val="0"/>
      <w:marTop w:val="0"/>
      <w:marBottom w:val="0"/>
      <w:divBdr>
        <w:top w:val="none" w:sz="0" w:space="0" w:color="auto"/>
        <w:left w:val="none" w:sz="0" w:space="0" w:color="auto"/>
        <w:bottom w:val="none" w:sz="0" w:space="0" w:color="auto"/>
        <w:right w:val="none" w:sz="0" w:space="0" w:color="auto"/>
      </w:divBdr>
    </w:div>
    <w:div w:id="1131558529">
      <w:bodyDiv w:val="1"/>
      <w:marLeft w:val="0"/>
      <w:marRight w:val="0"/>
      <w:marTop w:val="0"/>
      <w:marBottom w:val="0"/>
      <w:divBdr>
        <w:top w:val="none" w:sz="0" w:space="0" w:color="auto"/>
        <w:left w:val="none" w:sz="0" w:space="0" w:color="auto"/>
        <w:bottom w:val="none" w:sz="0" w:space="0" w:color="auto"/>
        <w:right w:val="none" w:sz="0" w:space="0" w:color="auto"/>
      </w:divBdr>
    </w:div>
    <w:div w:id="1148203965">
      <w:bodyDiv w:val="1"/>
      <w:marLeft w:val="0"/>
      <w:marRight w:val="0"/>
      <w:marTop w:val="0"/>
      <w:marBottom w:val="0"/>
      <w:divBdr>
        <w:top w:val="none" w:sz="0" w:space="0" w:color="auto"/>
        <w:left w:val="none" w:sz="0" w:space="0" w:color="auto"/>
        <w:bottom w:val="none" w:sz="0" w:space="0" w:color="auto"/>
        <w:right w:val="none" w:sz="0" w:space="0" w:color="auto"/>
      </w:divBdr>
    </w:div>
    <w:div w:id="1290353371">
      <w:bodyDiv w:val="1"/>
      <w:marLeft w:val="0"/>
      <w:marRight w:val="0"/>
      <w:marTop w:val="0"/>
      <w:marBottom w:val="0"/>
      <w:divBdr>
        <w:top w:val="none" w:sz="0" w:space="0" w:color="auto"/>
        <w:left w:val="none" w:sz="0" w:space="0" w:color="auto"/>
        <w:bottom w:val="none" w:sz="0" w:space="0" w:color="auto"/>
        <w:right w:val="none" w:sz="0" w:space="0" w:color="auto"/>
      </w:divBdr>
    </w:div>
    <w:div w:id="1387492081">
      <w:bodyDiv w:val="1"/>
      <w:marLeft w:val="0"/>
      <w:marRight w:val="0"/>
      <w:marTop w:val="0"/>
      <w:marBottom w:val="0"/>
      <w:divBdr>
        <w:top w:val="none" w:sz="0" w:space="0" w:color="auto"/>
        <w:left w:val="none" w:sz="0" w:space="0" w:color="auto"/>
        <w:bottom w:val="none" w:sz="0" w:space="0" w:color="auto"/>
        <w:right w:val="none" w:sz="0" w:space="0" w:color="auto"/>
      </w:divBdr>
    </w:div>
    <w:div w:id="1555845404">
      <w:bodyDiv w:val="1"/>
      <w:marLeft w:val="0"/>
      <w:marRight w:val="0"/>
      <w:marTop w:val="0"/>
      <w:marBottom w:val="0"/>
      <w:divBdr>
        <w:top w:val="none" w:sz="0" w:space="0" w:color="auto"/>
        <w:left w:val="none" w:sz="0" w:space="0" w:color="auto"/>
        <w:bottom w:val="none" w:sz="0" w:space="0" w:color="auto"/>
        <w:right w:val="none" w:sz="0" w:space="0" w:color="auto"/>
      </w:divBdr>
    </w:div>
    <w:div w:id="19315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nergystar.gov/ia/business/industry/bnch_co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2017-01-31T16:37:00Z</dcterms:created>
  <dcterms:modified xsi:type="dcterms:W3CDTF">2017-02-09T12:36:00Z</dcterms:modified>
</cp:coreProperties>
</file>