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8F" w:rsidRPr="00B64CD2" w:rsidRDefault="000C4A8F" w:rsidP="00492702">
      <w:pPr>
        <w:pStyle w:val="Title"/>
      </w:pPr>
      <w:r w:rsidRPr="00B64CD2">
        <w:t>Management Review Preparation Information</w:t>
      </w:r>
      <w:r w:rsidR="00492702" w:rsidRPr="00492702">
        <w:t xml:space="preserve"> </w:t>
      </w:r>
      <w:r w:rsidR="00492702">
        <w:t>(e</w:t>
      </w:r>
      <w:r w:rsidR="00492702" w:rsidRPr="00B64CD2">
        <w:t>xample</w:t>
      </w:r>
      <w:r w:rsidR="00492702">
        <w:t>)</w:t>
      </w:r>
    </w:p>
    <w:p w:rsidR="000C4A8F" w:rsidRPr="00E53EC7" w:rsidRDefault="000C4A8F" w:rsidP="00492702">
      <w:pPr>
        <w:spacing w:after="0"/>
        <w:jc w:val="center"/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rPr>
          <w:rFonts w:asciiTheme="minorHAnsi" w:hAnsiTheme="minorHAnsi" w:cstheme="minorHAnsi"/>
          <w:i/>
        </w:rPr>
      </w:pPr>
      <w:r w:rsidRPr="00E53EC7">
        <w:rPr>
          <w:rFonts w:asciiTheme="minorHAnsi" w:hAnsiTheme="minorHAnsi" w:cstheme="minorHAnsi"/>
          <w:i/>
        </w:rPr>
        <w:t xml:space="preserve">Purpose: To provide an example of detailed information </w:t>
      </w:r>
      <w:r>
        <w:rPr>
          <w:rFonts w:asciiTheme="minorHAnsi" w:hAnsiTheme="minorHAnsi" w:cstheme="minorHAnsi"/>
          <w:i/>
        </w:rPr>
        <w:t xml:space="preserve">compiled for management review that would be summarized further and visually enhanced for presentation to top management. These details would then be maintained as back-up information for the management representative in the event it was needed to answer questions from management during the review. </w:t>
      </w:r>
    </w:p>
    <w:p w:rsidR="000C4A8F" w:rsidRPr="00E53EC7" w:rsidRDefault="000C4A8F" w:rsidP="00492702">
      <w:pPr>
        <w:spacing w:after="0"/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jc w:val="center"/>
        <w:rPr>
          <w:rFonts w:asciiTheme="minorHAnsi" w:hAnsiTheme="minorHAnsi" w:cstheme="minorHAnsi"/>
          <w:b/>
        </w:rPr>
      </w:pPr>
      <w:r w:rsidRPr="00E53EC7">
        <w:rPr>
          <w:rFonts w:asciiTheme="minorHAnsi" w:hAnsiTheme="minorHAnsi" w:cstheme="minorHAnsi"/>
          <w:b/>
        </w:rPr>
        <w:t>Current Energy Opportunities</w:t>
      </w:r>
      <w:r>
        <w:rPr>
          <w:rFonts w:asciiTheme="minorHAnsi" w:hAnsiTheme="minorHAnsi" w:cstheme="minorHAnsi"/>
          <w:b/>
        </w:rPr>
        <w:t xml:space="preserve"> - </w:t>
      </w:r>
      <w:r w:rsidRPr="00E53EC7">
        <w:rPr>
          <w:rFonts w:asciiTheme="minorHAnsi" w:hAnsiTheme="minorHAnsi" w:cstheme="minorHAnsi"/>
          <w:b/>
        </w:rPr>
        <w:t>1/27/</w:t>
      </w:r>
      <w:r w:rsidR="00492702">
        <w:rPr>
          <w:rFonts w:asciiTheme="minorHAnsi" w:hAnsiTheme="minorHAnsi" w:cstheme="minorHAnsi"/>
          <w:b/>
        </w:rPr>
        <w:t>2016</w:t>
      </w:r>
    </w:p>
    <w:tbl>
      <w:tblPr>
        <w:tblW w:w="1278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140"/>
        <w:gridCol w:w="2160"/>
        <w:gridCol w:w="2250"/>
        <w:gridCol w:w="1170"/>
        <w:gridCol w:w="1350"/>
        <w:gridCol w:w="1710"/>
      </w:tblGrid>
      <w:tr w:rsidR="000C4A8F" w:rsidRPr="00E53EC7" w:rsidTr="000C4A8F">
        <w:trPr>
          <w:trHeight w:val="377"/>
        </w:trPr>
        <w:tc>
          <w:tcPr>
            <w:tcW w:w="4140" w:type="dxa"/>
          </w:tcPr>
          <w:p w:rsidR="000C4A8F" w:rsidRPr="00E53EC7" w:rsidRDefault="000C4A8F" w:rsidP="000C4A8F">
            <w:pPr>
              <w:ind w:left="860"/>
              <w:rPr>
                <w:rFonts w:asciiTheme="minorHAnsi" w:hAnsiTheme="minorHAnsi" w:cstheme="minorHAnsi"/>
              </w:rPr>
            </w:pPr>
          </w:p>
        </w:tc>
        <w:tc>
          <w:tcPr>
            <w:tcW w:w="8640" w:type="dxa"/>
            <w:gridSpan w:val="5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Opportunity Rating</w:t>
            </w:r>
          </w:p>
        </w:tc>
      </w:tr>
      <w:tr w:rsidR="000C4A8F" w:rsidRPr="00E53EC7" w:rsidTr="000C4A8F">
        <w:trPr>
          <w:trHeight w:val="359"/>
        </w:trPr>
        <w:tc>
          <w:tcPr>
            <w:tcW w:w="414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 xml:space="preserve">Description of Opportunity </w:t>
            </w:r>
          </w:p>
        </w:tc>
        <w:tc>
          <w:tcPr>
            <w:tcW w:w="216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  <w:b/>
              </w:rPr>
              <w:t>Anticipated annual energy cost savings</w:t>
            </w:r>
          </w:p>
        </w:tc>
        <w:tc>
          <w:tcPr>
            <w:tcW w:w="225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Expected</w:t>
            </w:r>
          </w:p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time required for implementation</w:t>
            </w:r>
          </w:p>
        </w:tc>
        <w:tc>
          <w:tcPr>
            <w:tcW w:w="117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Simple payback</w:t>
            </w:r>
          </w:p>
        </w:tc>
        <w:tc>
          <w:tcPr>
            <w:tcW w:w="135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EHS impact</w:t>
            </w:r>
          </w:p>
        </w:tc>
        <w:tc>
          <w:tcPr>
            <w:tcW w:w="1710" w:type="dxa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Total Rating Score (x)</w:t>
            </w:r>
          </w:p>
        </w:tc>
      </w:tr>
      <w:tr w:rsidR="000C4A8F" w:rsidRPr="00E53EC7" w:rsidTr="00492702">
        <w:trPr>
          <w:trHeight w:val="62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Reduce Boiler Blowdown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144</w:t>
            </w:r>
          </w:p>
        </w:tc>
      </w:tr>
      <w:tr w:rsidR="000C4A8F" w:rsidRPr="00E53EC7" w:rsidTr="00492702">
        <w:trPr>
          <w:trHeight w:val="62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Add Dryer Economizer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18</w:t>
            </w:r>
          </w:p>
        </w:tc>
      </w:tr>
      <w:tr w:rsidR="000C4A8F" w:rsidRPr="00E53EC7" w:rsidTr="000C4A8F">
        <w:trPr>
          <w:trHeight w:val="71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Recover Heat from Boiler Blowdown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36</w:t>
            </w:r>
          </w:p>
        </w:tc>
      </w:tr>
      <w:tr w:rsidR="000C4A8F" w:rsidRPr="00E53EC7" w:rsidTr="000C4A8F">
        <w:trPr>
          <w:trHeight w:val="71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Use Synthetic Lubricants on Compressors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48</w:t>
            </w:r>
          </w:p>
        </w:tc>
      </w:tr>
      <w:tr w:rsidR="000C4A8F" w:rsidRPr="00E53EC7" w:rsidTr="000C4A8F">
        <w:trPr>
          <w:trHeight w:val="71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Replace 40W tubes with 36W energy efficient tubes in office area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36</w:t>
            </w:r>
          </w:p>
        </w:tc>
      </w:tr>
      <w:tr w:rsidR="000C4A8F" w:rsidRPr="00E53EC7" w:rsidTr="00492702">
        <w:trPr>
          <w:trHeight w:val="98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Replace Motors with Premium Efficiency Motors Instead of Rewinding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12</w:t>
            </w:r>
          </w:p>
        </w:tc>
      </w:tr>
      <w:tr w:rsidR="000C4A8F" w:rsidRPr="00E53EC7" w:rsidTr="00492702">
        <w:trPr>
          <w:trHeight w:val="715"/>
        </w:trPr>
        <w:tc>
          <w:tcPr>
            <w:tcW w:w="4140" w:type="dxa"/>
            <w:vAlign w:val="center"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Repair Compressed Air Leaks</w:t>
            </w:r>
          </w:p>
        </w:tc>
        <w:tc>
          <w:tcPr>
            <w:tcW w:w="216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5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  <w:vAlign w:val="center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</w:rPr>
            </w:pPr>
            <w:r w:rsidRPr="00E53EC7">
              <w:rPr>
                <w:rFonts w:asciiTheme="minorHAnsi" w:hAnsiTheme="minorHAnsi" w:cstheme="minorHAnsi"/>
              </w:rPr>
              <w:t>27</w:t>
            </w:r>
          </w:p>
        </w:tc>
      </w:tr>
    </w:tbl>
    <w:p w:rsidR="000C4A8F" w:rsidRDefault="000C4A8F" w:rsidP="000C4A8F">
      <w:pPr>
        <w:ind w:left="360"/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ind w:left="360"/>
        <w:rPr>
          <w:rFonts w:asciiTheme="minorHAnsi" w:hAnsiTheme="minorHAnsi" w:cstheme="minorHAnsi"/>
          <w:b/>
        </w:rPr>
      </w:pPr>
      <w:r w:rsidRPr="00E53EC7">
        <w:rPr>
          <w:rFonts w:asciiTheme="minorHAnsi" w:hAnsiTheme="minorHAnsi" w:cstheme="minorHAnsi"/>
          <w:b/>
        </w:rPr>
        <w:lastRenderedPageBreak/>
        <w:t>Energy Review Data</w:t>
      </w:r>
    </w:p>
    <w:tbl>
      <w:tblPr>
        <w:tblW w:w="8922" w:type="dxa"/>
        <w:tblInd w:w="378" w:type="dxa"/>
        <w:tblLook w:val="04A0" w:firstRow="1" w:lastRow="0" w:firstColumn="1" w:lastColumn="0" w:noHBand="0" w:noVBand="1"/>
      </w:tblPr>
      <w:tblGrid>
        <w:gridCol w:w="1329"/>
        <w:gridCol w:w="1329"/>
        <w:gridCol w:w="1558"/>
        <w:gridCol w:w="1446"/>
        <w:gridCol w:w="913"/>
        <w:gridCol w:w="1134"/>
        <w:gridCol w:w="1213"/>
      </w:tblGrid>
      <w:tr w:rsidR="000C4A8F" w:rsidRPr="00E53EC7" w:rsidTr="000C4A8F">
        <w:trPr>
          <w:trHeight w:val="300"/>
        </w:trPr>
        <w:tc>
          <w:tcPr>
            <w:tcW w:w="89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Natural Gas</w:t>
            </w:r>
          </w:p>
        </w:tc>
      </w:tr>
      <w:tr w:rsidR="000C4A8F" w:rsidRPr="00E53EC7" w:rsidTr="000C4A8F">
        <w:trPr>
          <w:trHeight w:val="300"/>
        </w:trPr>
        <w:tc>
          <w:tcPr>
            <w:tcW w:w="892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Consumption and Cost</w:t>
            </w:r>
          </w:p>
        </w:tc>
      </w:tr>
      <w:tr w:rsidR="000C4A8F" w:rsidRPr="00E53EC7" w:rsidTr="00B64CD2">
        <w:trPr>
          <w:trHeight w:val="80"/>
        </w:trPr>
        <w:tc>
          <w:tcPr>
            <w:tcW w:w="8922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Conversion Factor (Btu/CF)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Consumption</w:t>
            </w:r>
          </w:p>
        </w:tc>
        <w:tc>
          <w:tcPr>
            <w:tcW w:w="14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Gas Cost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Total Cost</w:t>
            </w:r>
          </w:p>
        </w:tc>
      </w:tr>
      <w:tr w:rsidR="000C4A8F" w:rsidRPr="00E53EC7" w:rsidTr="000C4A8F">
        <w:trPr>
          <w:trHeight w:val="315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Start Date: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End Date: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(CCF)</w:t>
            </w:r>
          </w:p>
        </w:tc>
        <w:tc>
          <w:tcPr>
            <w:tcW w:w="14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($)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($)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2014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64922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6,687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$56,839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$60,818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69589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$60,925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$65,190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74520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$65,243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$69,810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68777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$60,215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$64,430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69617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$60,950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$65,216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63654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6,556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$55,729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$59,630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63928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$55,969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$59,887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64365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$56,351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$60,296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60413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$52,892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$56,594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61134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6,297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$53,523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$57,270</w:t>
            </w:r>
          </w:p>
        </w:tc>
      </w:tr>
      <w:tr w:rsidR="000C4A8F" w:rsidRPr="00E53EC7" w:rsidTr="000C4A8F">
        <w:trPr>
          <w:trHeight w:val="300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59988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6,179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$52,520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$56,196</w:t>
            </w:r>
          </w:p>
        </w:tc>
      </w:tr>
      <w:tr w:rsidR="000C4A8F" w:rsidRPr="00E53EC7" w:rsidTr="000C4A8F">
        <w:trPr>
          <w:trHeight w:val="315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59531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1,030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6,132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$52,120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$55,768</w:t>
            </w:r>
          </w:p>
        </w:tc>
      </w:tr>
      <w:tr w:rsidR="000C4A8F" w:rsidRPr="00E53EC7" w:rsidTr="000C4A8F">
        <w:trPr>
          <w:trHeight w:val="315"/>
        </w:trPr>
        <w:tc>
          <w:tcPr>
            <w:tcW w:w="26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Totals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80,385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$683,275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$731,105</w:t>
            </w:r>
          </w:p>
        </w:tc>
      </w:tr>
    </w:tbl>
    <w:p w:rsidR="000C4A8F" w:rsidRPr="00E53EC7" w:rsidRDefault="000C4A8F" w:rsidP="000C4A8F">
      <w:pPr>
        <w:ind w:left="360"/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rPr>
          <w:rFonts w:asciiTheme="minorHAnsi" w:hAnsiTheme="minorHAnsi" w:cstheme="minorHAnsi"/>
          <w:b/>
        </w:rPr>
      </w:pPr>
      <w:r w:rsidRPr="00E53EC7">
        <w:rPr>
          <w:rFonts w:asciiTheme="minorHAnsi" w:hAnsiTheme="minorHAnsi" w:cstheme="minorHAnsi"/>
          <w:b/>
        </w:rPr>
        <w:br w:type="page"/>
      </w:r>
    </w:p>
    <w:p w:rsidR="000C4A8F" w:rsidRPr="00E53EC7" w:rsidRDefault="000C4A8F" w:rsidP="000C4A8F">
      <w:pPr>
        <w:ind w:left="360"/>
        <w:rPr>
          <w:rFonts w:asciiTheme="minorHAnsi" w:hAnsiTheme="minorHAnsi" w:cstheme="minorHAnsi"/>
          <w:b/>
        </w:rPr>
      </w:pPr>
    </w:p>
    <w:tbl>
      <w:tblPr>
        <w:tblW w:w="8925" w:type="dxa"/>
        <w:tblInd w:w="378" w:type="dxa"/>
        <w:tblLook w:val="04A0" w:firstRow="1" w:lastRow="0" w:firstColumn="1" w:lastColumn="0" w:noHBand="0" w:noVBand="1"/>
      </w:tblPr>
      <w:tblGrid>
        <w:gridCol w:w="1362"/>
        <w:gridCol w:w="1362"/>
        <w:gridCol w:w="1596"/>
        <w:gridCol w:w="1048"/>
        <w:gridCol w:w="1169"/>
        <w:gridCol w:w="1140"/>
        <w:gridCol w:w="1248"/>
      </w:tblGrid>
      <w:tr w:rsidR="000C4A8F" w:rsidRPr="00E53EC7" w:rsidTr="000C4A8F">
        <w:trPr>
          <w:trHeight w:val="300"/>
        </w:trPr>
        <w:tc>
          <w:tcPr>
            <w:tcW w:w="892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Electricity</w:t>
            </w:r>
          </w:p>
        </w:tc>
      </w:tr>
      <w:tr w:rsidR="000C4A8F" w:rsidRPr="00E53EC7" w:rsidTr="000C4A8F">
        <w:trPr>
          <w:trHeight w:val="300"/>
        </w:trPr>
        <w:tc>
          <w:tcPr>
            <w:tcW w:w="8925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Consumption and Cost</w:t>
            </w:r>
          </w:p>
        </w:tc>
      </w:tr>
      <w:tr w:rsidR="000C4A8F" w:rsidRPr="00E53EC7" w:rsidTr="000C4A8F">
        <w:trPr>
          <w:trHeight w:val="315"/>
        </w:trPr>
        <w:tc>
          <w:tcPr>
            <w:tcW w:w="892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Billing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Electricity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Total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Consumption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Demand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Cost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0C4A8F" w:rsidRPr="00E53EC7" w:rsidTr="000C4A8F">
        <w:trPr>
          <w:trHeight w:val="315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Start Date: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End Date: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kWh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kW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($)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($)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2014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792247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$67,341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$72,055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2,704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729456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$62,004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$66,344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2,490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724921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$61,618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$65,932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2,474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722250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$61,391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$65,689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2,465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725675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$61,682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$66,000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2,477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775897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$65,951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$70,568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2,648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864007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$73,441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$78,581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2,949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882346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$74,999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$80,249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3,011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885884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$75,300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$80,571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3,024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838777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$71,296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$76,287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2,863</w:t>
            </w:r>
          </w:p>
        </w:tc>
      </w:tr>
      <w:tr w:rsidR="000C4A8F" w:rsidRPr="00E53EC7" w:rsidTr="000C4A8F">
        <w:trPr>
          <w:trHeight w:val="300"/>
        </w:trPr>
        <w:tc>
          <w:tcPr>
            <w:tcW w:w="1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819952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$69,696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$74,575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2,798</w:t>
            </w:r>
          </w:p>
        </w:tc>
      </w:tr>
      <w:tr w:rsidR="000C4A8F" w:rsidRPr="00E53EC7" w:rsidTr="000C4A8F">
        <w:trPr>
          <w:trHeight w:val="315"/>
        </w:trPr>
        <w:tc>
          <w:tcPr>
            <w:tcW w:w="13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812427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$69,056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$73,890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2,773</w:t>
            </w:r>
          </w:p>
        </w:tc>
      </w:tr>
      <w:tr w:rsidR="000C4A8F" w:rsidRPr="00E53EC7" w:rsidTr="000C4A8F">
        <w:trPr>
          <w:trHeight w:val="315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Totals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9,573,839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$813,776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$870,741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32,676</w:t>
            </w:r>
          </w:p>
        </w:tc>
      </w:tr>
    </w:tbl>
    <w:p w:rsidR="000C4A8F" w:rsidRPr="00E53EC7" w:rsidRDefault="000C4A8F" w:rsidP="000C4A8F">
      <w:pPr>
        <w:ind w:left="360"/>
        <w:rPr>
          <w:rFonts w:asciiTheme="minorHAnsi" w:hAnsiTheme="minorHAnsi" w:cstheme="minorHAnsi"/>
          <w:b/>
        </w:rPr>
      </w:pPr>
    </w:p>
    <w:p w:rsidR="000C4A8F" w:rsidRDefault="000C4A8F" w:rsidP="000C4A8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tbl>
      <w:tblPr>
        <w:tblW w:w="5080" w:type="dxa"/>
        <w:tblInd w:w="2152" w:type="dxa"/>
        <w:tblLook w:val="04A0" w:firstRow="1" w:lastRow="0" w:firstColumn="1" w:lastColumn="0" w:noHBand="0" w:noVBand="1"/>
      </w:tblPr>
      <w:tblGrid>
        <w:gridCol w:w="2986"/>
        <w:gridCol w:w="1047"/>
        <w:gridCol w:w="1047"/>
      </w:tblGrid>
      <w:tr w:rsidR="000C4A8F" w:rsidRPr="00E53EC7" w:rsidTr="000C4A8F">
        <w:trPr>
          <w:trHeight w:val="412"/>
        </w:trPr>
        <w:tc>
          <w:tcPr>
            <w:tcW w:w="5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SEU Identification</w:t>
            </w:r>
          </w:p>
        </w:tc>
      </w:tr>
      <w:tr w:rsidR="000C4A8F" w:rsidRPr="00E53EC7" w:rsidTr="000C4A8F">
        <w:trPr>
          <w:trHeight w:val="315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 xml:space="preserve">Energy uses exceeding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11,305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</w:tr>
      <w:tr w:rsidR="000C4A8F" w:rsidRPr="00E53EC7" w:rsidTr="000C4A8F">
        <w:trPr>
          <w:trHeight w:val="315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Energy Use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Plant %</w:t>
            </w:r>
          </w:p>
        </w:tc>
      </w:tr>
      <w:tr w:rsidR="000C4A8F" w:rsidRPr="00E53EC7" w:rsidTr="000C4A8F">
        <w:trPr>
          <w:trHeight w:val="315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Motors</w:t>
            </w:r>
          </w:p>
        </w:tc>
        <w:tc>
          <w:tcPr>
            <w:tcW w:w="10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17,725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17.28%</w:t>
            </w:r>
          </w:p>
        </w:tc>
      </w:tr>
      <w:tr w:rsidR="000C4A8F" w:rsidRPr="00E53EC7" w:rsidTr="000C4A8F">
        <w:trPr>
          <w:trHeight w:val="300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</w:t>
            </w:r>
          </w:p>
        </w:tc>
        <w:tc>
          <w:tcPr>
            <w:tcW w:w="10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22,400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21.83%</w:t>
            </w:r>
          </w:p>
        </w:tc>
      </w:tr>
      <w:tr w:rsidR="000C4A8F" w:rsidRPr="00E53EC7" w:rsidTr="000C4A8F">
        <w:trPr>
          <w:trHeight w:val="315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</w:t>
            </w:r>
          </w:p>
        </w:tc>
        <w:tc>
          <w:tcPr>
            <w:tcW w:w="1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20,329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19.81%</w:t>
            </w:r>
          </w:p>
        </w:tc>
      </w:tr>
    </w:tbl>
    <w:p w:rsidR="000C4A8F" w:rsidRPr="00E53EC7" w:rsidRDefault="000C4A8F" w:rsidP="000C4A8F">
      <w:pPr>
        <w:tabs>
          <w:tab w:val="left" w:pos="7453"/>
        </w:tabs>
        <w:rPr>
          <w:rFonts w:asciiTheme="minorHAnsi" w:hAnsiTheme="minorHAnsi" w:cstheme="minorHAnsi"/>
          <w:b/>
        </w:rPr>
      </w:pPr>
    </w:p>
    <w:tbl>
      <w:tblPr>
        <w:tblW w:w="9850" w:type="dxa"/>
        <w:tblInd w:w="-72" w:type="dxa"/>
        <w:tblLook w:val="04A0" w:firstRow="1" w:lastRow="0" w:firstColumn="1" w:lastColumn="0" w:noHBand="0" w:noVBand="1"/>
      </w:tblPr>
      <w:tblGrid>
        <w:gridCol w:w="1600"/>
        <w:gridCol w:w="1441"/>
        <w:gridCol w:w="966"/>
        <w:gridCol w:w="912"/>
        <w:gridCol w:w="912"/>
        <w:gridCol w:w="912"/>
        <w:gridCol w:w="902"/>
        <w:gridCol w:w="1002"/>
        <w:gridCol w:w="1203"/>
      </w:tblGrid>
      <w:tr w:rsidR="000C4A8F" w:rsidRPr="00E53EC7" w:rsidTr="000C4A8F">
        <w:trPr>
          <w:trHeight w:val="288"/>
        </w:trPr>
        <w:tc>
          <w:tcPr>
            <w:tcW w:w="304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Boiler, Dryer and Facility Natural Gas Consumption</w:t>
            </w:r>
          </w:p>
        </w:tc>
        <w:tc>
          <w:tcPr>
            <w:tcW w:w="560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Natural Gas Consumption</w:t>
            </w:r>
          </w:p>
        </w:tc>
        <w:tc>
          <w:tcPr>
            <w:tcW w:w="120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Production Data</w:t>
            </w:r>
          </w:p>
        </w:tc>
      </w:tr>
      <w:tr w:rsidR="000C4A8F" w:rsidRPr="00E53EC7" w:rsidTr="000C4A8F">
        <w:trPr>
          <w:trHeight w:val="576"/>
        </w:trPr>
        <w:tc>
          <w:tcPr>
            <w:tcW w:w="304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 Target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 Actual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 Target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 Actual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Facility Target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Facility Actual</w:t>
            </w:r>
          </w:p>
        </w:tc>
        <w:tc>
          <w:tcPr>
            <w:tcW w:w="120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C4A8F" w:rsidRPr="00E53EC7" w:rsidTr="000C4A8F">
        <w:trPr>
          <w:trHeight w:val="303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Start Date: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End Date: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lbs.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3,371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3,506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2,842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2,862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5,613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6,238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609,995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3,440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3,604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2,900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5,963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6,647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636,200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3,635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3,752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3,064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3,245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6,391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6,997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650,330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3,532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3,719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2,977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3,023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6,023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6,742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657,521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3,339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3,525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3,160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5,953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6,685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674,675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3,108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3,205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2,620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5,447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6,017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663,600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2,875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2,935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2,424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2,756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5,480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5,994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625,322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3,391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2,539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3,059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5,525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6,820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773,329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3,245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3,360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2,736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3,126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5,565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6,756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758,885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bookmarkStart w:id="0" w:name="_GoBack"/>
            <w:r w:rsidRPr="00E53EC7">
              <w:rPr>
                <w:rFonts w:asciiTheme="minorHAnsi" w:hAnsiTheme="minorHAnsi" w:cstheme="minorHAnsi"/>
                <w:color w:val="000000"/>
              </w:rPr>
              <w:t>10</w:t>
            </w:r>
            <w:bookmarkEnd w:id="0"/>
            <w:r w:rsidRPr="00E53EC7">
              <w:rPr>
                <w:rFonts w:asciiTheme="minorHAnsi" w:hAnsiTheme="minorHAnsi" w:cstheme="minorHAnsi"/>
                <w:color w:val="000000"/>
              </w:rPr>
              <w:t>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3,543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3,728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2,987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3,245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5,735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6,895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759,679</w:t>
            </w:r>
          </w:p>
        </w:tc>
      </w:tr>
      <w:tr w:rsidR="000C4A8F" w:rsidRPr="00E53EC7" w:rsidTr="000C4A8F">
        <w:trPr>
          <w:trHeight w:val="28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3,616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4,130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3,046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3,332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5,952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7,197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749,291</w:t>
            </w:r>
          </w:p>
        </w:tc>
      </w:tr>
      <w:tr w:rsidR="000C4A8F" w:rsidRPr="00E53EC7" w:rsidTr="000C4A8F">
        <w:trPr>
          <w:trHeight w:val="30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3,702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4,345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3,120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3,522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6,029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7,397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752,393</w:t>
            </w:r>
          </w:p>
        </w:tc>
      </w:tr>
      <w:tr w:rsidR="000C4A8F" w:rsidRPr="00E53EC7" w:rsidTr="000C4A8F">
        <w:trPr>
          <w:trHeight w:val="303"/>
        </w:trPr>
        <w:tc>
          <w:tcPr>
            <w:tcW w:w="304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492702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2015</w:t>
            </w:r>
            <w:r w:rsidR="000C4A8F" w:rsidRPr="00E53EC7">
              <w:rPr>
                <w:rFonts w:asciiTheme="minorHAnsi" w:hAnsiTheme="minorHAnsi" w:cstheme="minorHAnsi"/>
                <w:color w:val="000000"/>
              </w:rPr>
              <w:t xml:space="preserve"> Totals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40,418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43,200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34,069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37,185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69,674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80,385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8,311,220</w:t>
            </w:r>
          </w:p>
        </w:tc>
      </w:tr>
      <w:tr w:rsidR="000C4A8F" w:rsidRPr="00E53EC7" w:rsidTr="000C4A8F">
        <w:trPr>
          <w:trHeight w:val="303"/>
        </w:trPr>
        <w:tc>
          <w:tcPr>
            <w:tcW w:w="304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492702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2015</w:t>
            </w:r>
            <w:r w:rsidR="000C4A8F" w:rsidRPr="00E53EC7">
              <w:rPr>
                <w:rFonts w:asciiTheme="minorHAnsi" w:hAnsiTheme="minorHAnsi" w:cstheme="minorHAnsi"/>
                <w:color w:val="000000"/>
              </w:rPr>
              <w:t xml:space="preserve"> Averages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3,368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3,600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2,839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3,099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5,806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6,699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692,602</w:t>
            </w:r>
          </w:p>
        </w:tc>
      </w:tr>
    </w:tbl>
    <w:p w:rsidR="000C4A8F" w:rsidRPr="00E53EC7" w:rsidRDefault="000C4A8F" w:rsidP="000C4A8F">
      <w:pPr>
        <w:ind w:left="360"/>
        <w:rPr>
          <w:rFonts w:asciiTheme="minorHAnsi" w:hAnsiTheme="minorHAnsi" w:cstheme="minorHAnsi"/>
          <w:b/>
        </w:rPr>
      </w:pPr>
    </w:p>
    <w:tbl>
      <w:tblPr>
        <w:tblW w:w="7941" w:type="dxa"/>
        <w:tblInd w:w="918" w:type="dxa"/>
        <w:tblLook w:val="04A0" w:firstRow="1" w:lastRow="0" w:firstColumn="1" w:lastColumn="0" w:noHBand="0" w:noVBand="1"/>
      </w:tblPr>
      <w:tblGrid>
        <w:gridCol w:w="1126"/>
        <w:gridCol w:w="1055"/>
        <w:gridCol w:w="960"/>
        <w:gridCol w:w="960"/>
        <w:gridCol w:w="960"/>
        <w:gridCol w:w="960"/>
        <w:gridCol w:w="960"/>
        <w:gridCol w:w="960"/>
      </w:tblGrid>
      <w:tr w:rsidR="000C4A8F" w:rsidRPr="00E53EC7" w:rsidTr="000C4A8F">
        <w:trPr>
          <w:trHeight w:val="300"/>
        </w:trPr>
        <w:tc>
          <w:tcPr>
            <w:tcW w:w="218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Boiler, Dryer and Facility EnPIs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Energy Performance Indicator</w:t>
            </w:r>
          </w:p>
        </w:tc>
      </w:tr>
      <w:tr w:rsidR="000C4A8F" w:rsidRPr="00E53EC7" w:rsidTr="000C4A8F">
        <w:trPr>
          <w:trHeight w:val="600"/>
        </w:trPr>
        <w:tc>
          <w:tcPr>
            <w:tcW w:w="218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 Target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 Actual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 Target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 Actual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Facility Target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Facility Actual</w:t>
            </w:r>
          </w:p>
        </w:tc>
      </w:tr>
      <w:tr w:rsidR="000C4A8F" w:rsidRPr="00E53EC7" w:rsidTr="000C4A8F">
        <w:trPr>
          <w:trHeight w:val="315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Start Date: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End Date: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Btu/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lb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Btu/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lb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MMBtu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Btu/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lb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Btu/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lb</w:t>
            </w:r>
            <w:proofErr w:type="spellEnd"/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12/21/</w:t>
            </w:r>
            <w:r w:rsidR="00492702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10,226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10,448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2/24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10,759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3/24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10,254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9,908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9,067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6/23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9,585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7/23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3,956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8,819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8,903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9/21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8,919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9,076</w:t>
            </w:r>
          </w:p>
        </w:tc>
      </w:tr>
      <w:tr w:rsidR="000C4A8F" w:rsidRPr="00E53EC7" w:rsidTr="000C4A8F">
        <w:trPr>
          <w:trHeight w:val="300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10/22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9,605</w:t>
            </w:r>
          </w:p>
        </w:tc>
      </w:tr>
      <w:tr w:rsidR="000C4A8F" w:rsidRPr="00E53EC7" w:rsidTr="000C4A8F">
        <w:trPr>
          <w:trHeight w:val="315"/>
        </w:trPr>
        <w:tc>
          <w:tcPr>
            <w:tcW w:w="112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11/22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12/21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9,831</w:t>
            </w:r>
          </w:p>
        </w:tc>
      </w:tr>
      <w:tr w:rsidR="000C4A8F" w:rsidRPr="00E53EC7" w:rsidTr="000C4A8F">
        <w:trPr>
          <w:trHeight w:val="315"/>
        </w:trPr>
        <w:tc>
          <w:tcPr>
            <w:tcW w:w="21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A8F" w:rsidRPr="00E53EC7" w:rsidRDefault="00492702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2015</w:t>
            </w:r>
            <w:r w:rsidR="000C4A8F" w:rsidRPr="00E53EC7">
              <w:rPr>
                <w:rFonts w:asciiTheme="minorHAnsi" w:hAnsiTheme="minorHAnsi" w:cstheme="minorHAnsi"/>
                <w:color w:val="000000"/>
              </w:rPr>
              <w:t xml:space="preserve"> Averages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5,239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5,216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4,489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9,031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9,707</w:t>
            </w:r>
          </w:p>
        </w:tc>
      </w:tr>
    </w:tbl>
    <w:p w:rsidR="000C4A8F" w:rsidRDefault="000C4A8F" w:rsidP="000C4A8F">
      <w:pPr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rPr>
          <w:rFonts w:asciiTheme="minorHAnsi" w:hAnsiTheme="minorHAnsi" w:cstheme="minorHAnsi"/>
          <w:b/>
        </w:rPr>
      </w:pPr>
    </w:p>
    <w:tbl>
      <w:tblPr>
        <w:tblW w:w="11250" w:type="dxa"/>
        <w:tblInd w:w="828" w:type="dxa"/>
        <w:tblLook w:val="04A0" w:firstRow="1" w:lastRow="0" w:firstColumn="1" w:lastColumn="0" w:noHBand="0" w:noVBand="1"/>
      </w:tblPr>
      <w:tblGrid>
        <w:gridCol w:w="1350"/>
        <w:gridCol w:w="2880"/>
        <w:gridCol w:w="2070"/>
        <w:gridCol w:w="1278"/>
        <w:gridCol w:w="3672"/>
      </w:tblGrid>
      <w:tr w:rsidR="000C4A8F" w:rsidRPr="00E53EC7" w:rsidTr="000C4A8F">
        <w:trPr>
          <w:trHeight w:val="558"/>
        </w:trPr>
        <w:tc>
          <w:tcPr>
            <w:tcW w:w="1350" w:type="dxa"/>
            <w:tcBorders>
              <w:top w:val="single" w:sz="8" w:space="0" w:color="000000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lastRenderedPageBreak/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SEU Current Energy Performance</w:t>
            </w:r>
          </w:p>
        </w:tc>
      </w:tr>
      <w:tr w:rsidR="000C4A8F" w:rsidRPr="00E53EC7" w:rsidTr="000C4A8F">
        <w:trPr>
          <w:trHeight w:val="318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SEU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Relevant Variables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Current Energy Performance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Evaluation Date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Evaluation Basis</w:t>
            </w:r>
          </w:p>
        </w:tc>
      </w:tr>
      <w:tr w:rsidR="000C4A8F" w:rsidRPr="00E53EC7" w:rsidTr="000C4A8F">
        <w:trPr>
          <w:trHeight w:val="637"/>
        </w:trPr>
        <w:tc>
          <w:tcPr>
            <w:tcW w:w="13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Motors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Voltage, Washer load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55% Average Load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/15</w:t>
            </w:r>
            <w:r w:rsidR="00492702">
              <w:rPr>
                <w:rFonts w:asciiTheme="minorHAnsi" w:hAnsiTheme="minorHAnsi" w:cstheme="minorHAnsi"/>
                <w:color w:val="000000"/>
              </w:rPr>
              <w:t>/16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Engineering estimate - Weekly motor amperage measurement</w:t>
            </w:r>
          </w:p>
        </w:tc>
      </w:tr>
      <w:tr w:rsidR="000C4A8F" w:rsidRPr="00E53EC7" w:rsidTr="000C4A8F">
        <w:trPr>
          <w:trHeight w:val="682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Inside air temperature, air/fuel ratio, material moisture content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80% Efficient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12/30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Stack gas analysis</w:t>
            </w:r>
          </w:p>
        </w:tc>
      </w:tr>
      <w:tr w:rsidR="000C4A8F" w:rsidRPr="00E53EC7" w:rsidTr="000C4A8F">
        <w:trPr>
          <w:trHeight w:val="622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 xml:space="preserve">Boiler 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Air/fuel ratio, feed water temperature, production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75% Efficient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12/30</w:t>
            </w:r>
            <w:r w:rsidR="00492702">
              <w:rPr>
                <w:rFonts w:asciiTheme="minorHAnsi" w:hAnsiTheme="minorHAnsi" w:cstheme="minorHAnsi"/>
                <w:color w:val="000000"/>
              </w:rPr>
              <w:t>/15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Stack gas analysis</w:t>
            </w:r>
          </w:p>
        </w:tc>
      </w:tr>
    </w:tbl>
    <w:p w:rsidR="000C4A8F" w:rsidRPr="00E53EC7" w:rsidRDefault="000C4A8F" w:rsidP="000C4A8F">
      <w:pPr>
        <w:rPr>
          <w:rFonts w:asciiTheme="minorHAnsi" w:hAnsiTheme="minorHAnsi" w:cstheme="minorHAnsi"/>
        </w:rPr>
      </w:pPr>
    </w:p>
    <w:p w:rsidR="000C4A8F" w:rsidRPr="00E53EC7" w:rsidRDefault="000C4A8F" w:rsidP="000C4A8F">
      <w:pPr>
        <w:rPr>
          <w:rFonts w:asciiTheme="minorHAnsi" w:hAnsiTheme="minorHAnsi" w:cstheme="minorHAnsi"/>
        </w:rPr>
      </w:pPr>
    </w:p>
    <w:tbl>
      <w:tblPr>
        <w:tblW w:w="12607" w:type="dxa"/>
        <w:tblInd w:w="108" w:type="dxa"/>
        <w:tblLook w:val="04A0" w:firstRow="1" w:lastRow="0" w:firstColumn="1" w:lastColumn="0" w:noHBand="0" w:noVBand="1"/>
      </w:tblPr>
      <w:tblGrid>
        <w:gridCol w:w="1582"/>
        <w:gridCol w:w="2300"/>
        <w:gridCol w:w="2160"/>
        <w:gridCol w:w="3588"/>
        <w:gridCol w:w="2977"/>
      </w:tblGrid>
      <w:tr w:rsidR="000C4A8F" w:rsidRPr="00E53EC7" w:rsidTr="000C4A8F">
        <w:trPr>
          <w:trHeight w:val="565"/>
        </w:trPr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Future Estimates January - March </w:t>
            </w:r>
            <w:r w:rsidR="00492702">
              <w:rPr>
                <w:rFonts w:asciiTheme="minorHAnsi" w:hAnsiTheme="minorHAnsi" w:cstheme="minorHAnsi"/>
                <w:b/>
                <w:bCs/>
                <w:color w:val="000000"/>
              </w:rPr>
              <w:t>2016</w:t>
            </w:r>
          </w:p>
        </w:tc>
      </w:tr>
      <w:tr w:rsidR="000C4A8F" w:rsidRPr="00E53EC7" w:rsidTr="000C4A8F">
        <w:trPr>
          <w:trHeight w:val="315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44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Future Energy Use</w:t>
            </w:r>
          </w:p>
        </w:tc>
        <w:tc>
          <w:tcPr>
            <w:tcW w:w="65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Future Energy Consumption</w:t>
            </w:r>
          </w:p>
        </w:tc>
      </w:tr>
      <w:tr w:rsidR="000C4A8F" w:rsidRPr="00E53EC7" w:rsidTr="000C4A8F">
        <w:trPr>
          <w:trHeight w:val="315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EC7">
              <w:rPr>
                <w:rFonts w:asciiTheme="minorHAnsi" w:hAnsiTheme="minorHAnsi" w:cstheme="minorHAnsi"/>
                <w:b/>
                <w:bCs/>
                <w:color w:val="000000"/>
              </w:rPr>
              <w:t>SEU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Use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Estimate Basis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Consumption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Estimate Basis</w:t>
            </w:r>
          </w:p>
        </w:tc>
      </w:tr>
      <w:tr w:rsidR="000C4A8F" w:rsidRPr="00E53EC7" w:rsidTr="000C4A8F">
        <w:trPr>
          <w:trHeight w:val="900"/>
        </w:trPr>
        <w:tc>
          <w:tcPr>
            <w:tcW w:w="15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Motors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Continue to use electric motors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No change in production methods</w:t>
            </w: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Increase to 6,126,614 kWh/yr. Facility increase to 11,297,660 kWh and $1,027,222/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yr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18% increased production in last half of the year due to increased sales</w:t>
            </w:r>
          </w:p>
        </w:tc>
      </w:tr>
      <w:tr w:rsidR="000C4A8F" w:rsidRPr="00E53EC7" w:rsidTr="000C4A8F">
        <w:trPr>
          <w:trHeight w:val="900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Dryer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Continue to use gas dryer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No change in production methods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Increase to 43,880 MMBtu/yr.  Facility increase to 94,859 MMBtu and $806,303/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yr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18% increased production in last half of the year due to increased sales</w:t>
            </w:r>
          </w:p>
        </w:tc>
      </w:tr>
      <w:tr w:rsidR="000C4A8F" w:rsidRPr="00E53EC7" w:rsidTr="000C4A8F">
        <w:trPr>
          <w:trHeight w:val="915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Boiler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Continue to use steam boiler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No change in production methods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Increase to 50,978 MMBtu/yr.  Facility increase to 94,859 MMBtu and $806,303/</w:t>
            </w:r>
            <w:proofErr w:type="spellStart"/>
            <w:r w:rsidRPr="00E53EC7">
              <w:rPr>
                <w:rFonts w:asciiTheme="minorHAnsi" w:hAnsiTheme="minorHAnsi" w:cstheme="minorHAnsi"/>
                <w:color w:val="000000"/>
              </w:rPr>
              <w:t>yr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A8F" w:rsidRPr="00E53EC7" w:rsidRDefault="000C4A8F" w:rsidP="000C4A8F">
            <w:pPr>
              <w:rPr>
                <w:rFonts w:asciiTheme="minorHAnsi" w:hAnsiTheme="minorHAnsi" w:cstheme="minorHAnsi"/>
                <w:color w:val="000000"/>
              </w:rPr>
            </w:pPr>
            <w:r w:rsidRPr="00E53EC7">
              <w:rPr>
                <w:rFonts w:asciiTheme="minorHAnsi" w:hAnsiTheme="minorHAnsi" w:cstheme="minorHAnsi"/>
                <w:color w:val="000000"/>
              </w:rPr>
              <w:t>18% increased production in last half of the year due to increased sales</w:t>
            </w:r>
          </w:p>
        </w:tc>
      </w:tr>
    </w:tbl>
    <w:p w:rsidR="000C4A8F" w:rsidRPr="00E53EC7" w:rsidRDefault="000C4A8F" w:rsidP="000C4A8F">
      <w:pPr>
        <w:rPr>
          <w:rFonts w:asciiTheme="minorHAnsi" w:hAnsiTheme="minorHAnsi" w:cstheme="minorHAnsi"/>
          <w:b/>
        </w:rPr>
      </w:pPr>
    </w:p>
    <w:p w:rsidR="000C4A8F" w:rsidRPr="00E53EC7" w:rsidRDefault="000C4A8F" w:rsidP="000C4A8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br w:type="page"/>
      </w:r>
      <w:r w:rsidR="00B64CD2">
        <w:rPr>
          <w:rFonts w:asciiTheme="minorHAnsi" w:hAnsiTheme="minorHAnsi" w:cstheme="minorHAnsi"/>
          <w:b/>
          <w:u w:val="single"/>
        </w:rPr>
        <w:lastRenderedPageBreak/>
        <w:t>C</w:t>
      </w:r>
      <w:r w:rsidRPr="00E53EC7">
        <w:rPr>
          <w:rFonts w:asciiTheme="minorHAnsi" w:hAnsiTheme="minorHAnsi" w:cstheme="minorHAnsi"/>
          <w:b/>
          <w:u w:val="single"/>
        </w:rPr>
        <w:t>orrective/Preventive Action</w:t>
      </w:r>
      <w:r>
        <w:rPr>
          <w:rFonts w:asciiTheme="minorHAnsi" w:hAnsiTheme="minorHAnsi" w:cstheme="minorHAnsi"/>
          <w:b/>
          <w:u w:val="single"/>
        </w:rPr>
        <w:t>s</w:t>
      </w: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Finding:  </w:t>
      </w:r>
      <w:r w:rsidRPr="00E53EC7">
        <w:rPr>
          <w:rFonts w:asciiTheme="minorHAnsi" w:hAnsiTheme="minorHAnsi" w:cstheme="minorHAnsi"/>
        </w:rPr>
        <w:tab/>
        <w:t>Failure to meet stated objective and targets</w:t>
      </w:r>
    </w:p>
    <w:p w:rsidR="000C4A8F" w:rsidRPr="00E53EC7" w:rsidRDefault="000C4A8F" w:rsidP="000C4A8F">
      <w:pPr>
        <w:tabs>
          <w:tab w:val="left" w:pos="1350"/>
        </w:tabs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Source:</w:t>
      </w:r>
      <w:r w:rsidRPr="00E53EC7">
        <w:rPr>
          <w:rFonts w:asciiTheme="minorHAnsi" w:hAnsiTheme="minorHAnsi" w:cstheme="minorHAnsi"/>
        </w:rPr>
        <w:tab/>
        <w:t>Energy review of 1/14</w:t>
      </w:r>
      <w:r w:rsidR="00492702">
        <w:rPr>
          <w:rFonts w:asciiTheme="minorHAnsi" w:hAnsiTheme="minorHAnsi" w:cstheme="minorHAnsi"/>
        </w:rPr>
        <w:t>/16</w:t>
      </w:r>
    </w:p>
    <w:p w:rsidR="000C4A8F" w:rsidRPr="00E53EC7" w:rsidRDefault="000C4A8F" w:rsidP="000C4A8F">
      <w:pPr>
        <w:tabs>
          <w:tab w:val="left" w:pos="1350"/>
        </w:tabs>
        <w:ind w:left="1620" w:hanging="126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Action:</w:t>
      </w:r>
      <w:r w:rsidRPr="00E53EC7">
        <w:rPr>
          <w:rFonts w:asciiTheme="minorHAnsi" w:hAnsiTheme="minorHAnsi" w:cstheme="minorHAnsi"/>
        </w:rPr>
        <w:tab/>
        <w:t xml:space="preserve">Engineering analyzed data and determined that weather conditions (temperature) have a significant impact on energy consumption.  Also the last half of </w:t>
      </w:r>
      <w:r w:rsidR="00492702">
        <w:rPr>
          <w:rFonts w:asciiTheme="minorHAnsi" w:hAnsiTheme="minorHAnsi" w:cstheme="minorHAnsi"/>
        </w:rPr>
        <w:t>2015</w:t>
      </w:r>
      <w:r w:rsidRPr="00E53EC7">
        <w:rPr>
          <w:rFonts w:asciiTheme="minorHAnsi" w:hAnsiTheme="minorHAnsi" w:cstheme="minorHAnsi"/>
        </w:rPr>
        <w:t xml:space="preserve"> saw a large increase in production attributing to an increase in energy consumption.</w:t>
      </w: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Status:   </w:t>
      </w:r>
      <w:r w:rsidRPr="00E53EC7">
        <w:rPr>
          <w:rFonts w:asciiTheme="minorHAnsi" w:hAnsiTheme="minorHAnsi" w:cstheme="minorHAnsi"/>
        </w:rPr>
        <w:tab/>
        <w:t>Energy performance indicators to be modified to account for temperature changes.</w:t>
      </w:r>
    </w:p>
    <w:p w:rsidR="000C4A8F" w:rsidRPr="00E53EC7" w:rsidRDefault="000C4A8F" w:rsidP="000C4A8F">
      <w:pPr>
        <w:rPr>
          <w:rFonts w:asciiTheme="minorHAnsi" w:hAnsiTheme="minorHAnsi" w:cstheme="minorHAnsi"/>
        </w:rPr>
      </w:pP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Finding:  </w:t>
      </w:r>
      <w:r w:rsidRPr="00E53EC7">
        <w:rPr>
          <w:rFonts w:asciiTheme="minorHAnsi" w:hAnsiTheme="minorHAnsi" w:cstheme="minorHAnsi"/>
        </w:rPr>
        <w:tab/>
        <w:t>Two out of date process control documents were being used on line #2</w:t>
      </w:r>
    </w:p>
    <w:p w:rsidR="000C4A8F" w:rsidRPr="00E53EC7" w:rsidRDefault="000C4A8F" w:rsidP="000C4A8F">
      <w:pPr>
        <w:tabs>
          <w:tab w:val="left" w:pos="1350"/>
        </w:tabs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Source:</w:t>
      </w:r>
      <w:r w:rsidRPr="00E53EC7">
        <w:rPr>
          <w:rFonts w:asciiTheme="minorHAnsi" w:hAnsiTheme="minorHAnsi" w:cstheme="minorHAnsi"/>
        </w:rPr>
        <w:tab/>
        <w:t>Internal audit of 1</w:t>
      </w:r>
      <w:r>
        <w:rPr>
          <w:rFonts w:asciiTheme="minorHAnsi" w:hAnsiTheme="minorHAnsi" w:cstheme="minorHAnsi"/>
        </w:rPr>
        <w:t>2</w:t>
      </w:r>
      <w:r w:rsidRPr="00E53EC7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19</w:t>
      </w:r>
      <w:r w:rsidR="00492702">
        <w:rPr>
          <w:rFonts w:asciiTheme="minorHAnsi" w:hAnsiTheme="minorHAnsi" w:cstheme="minorHAnsi"/>
        </w:rPr>
        <w:t>/15</w:t>
      </w:r>
      <w:r w:rsidRPr="00E53EC7">
        <w:rPr>
          <w:rFonts w:asciiTheme="minorHAnsi" w:hAnsiTheme="minorHAnsi" w:cstheme="minorHAnsi"/>
        </w:rPr>
        <w:t xml:space="preserve"> finding number 10</w:t>
      </w:r>
      <w:r>
        <w:rPr>
          <w:rFonts w:asciiTheme="minorHAnsi" w:hAnsiTheme="minorHAnsi" w:cstheme="minorHAnsi"/>
        </w:rPr>
        <w:t>1219</w:t>
      </w:r>
      <w:r w:rsidRPr="00E53EC7">
        <w:rPr>
          <w:rFonts w:asciiTheme="minorHAnsi" w:hAnsiTheme="minorHAnsi" w:cstheme="minorHAnsi"/>
        </w:rPr>
        <w:t>-1 and 10</w:t>
      </w:r>
      <w:r>
        <w:rPr>
          <w:rFonts w:asciiTheme="minorHAnsi" w:hAnsiTheme="minorHAnsi" w:cstheme="minorHAnsi"/>
        </w:rPr>
        <w:t>1219</w:t>
      </w:r>
      <w:r w:rsidRPr="00E53EC7">
        <w:rPr>
          <w:rFonts w:asciiTheme="minorHAnsi" w:hAnsiTheme="minorHAnsi" w:cstheme="minorHAnsi"/>
        </w:rPr>
        <w:t>-2</w:t>
      </w:r>
    </w:p>
    <w:p w:rsidR="000C4A8F" w:rsidRPr="00E53EC7" w:rsidRDefault="000C4A8F" w:rsidP="000C4A8F">
      <w:pPr>
        <w:tabs>
          <w:tab w:val="left" w:pos="1350"/>
        </w:tabs>
        <w:ind w:left="1620" w:hanging="126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Action:</w:t>
      </w:r>
      <w:r w:rsidRPr="00E53EC7">
        <w:rPr>
          <w:rFonts w:asciiTheme="minorHAnsi" w:hAnsiTheme="minorHAnsi" w:cstheme="minorHAnsi"/>
        </w:rPr>
        <w:tab/>
        <w:t>Current versions of the documents were obtained, placed in appropriate floor locations and old documents were destroyed</w:t>
      </w: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Status:   </w:t>
      </w:r>
      <w:r w:rsidRPr="00E53EC7">
        <w:rPr>
          <w:rFonts w:asciiTheme="minorHAnsi" w:hAnsiTheme="minorHAnsi" w:cstheme="minorHAnsi"/>
        </w:rPr>
        <w:tab/>
        <w:t>Corrective action has been completed.</w:t>
      </w:r>
    </w:p>
    <w:p w:rsidR="000C4A8F" w:rsidRPr="00E53EC7" w:rsidRDefault="000C4A8F" w:rsidP="000C4A8F">
      <w:pPr>
        <w:rPr>
          <w:rFonts w:asciiTheme="minorHAnsi" w:hAnsiTheme="minorHAnsi" w:cstheme="minorHAnsi"/>
        </w:rPr>
      </w:pP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Finding:  </w:t>
      </w:r>
      <w:r w:rsidRPr="00E53EC7">
        <w:rPr>
          <w:rFonts w:asciiTheme="minorHAnsi" w:hAnsiTheme="minorHAnsi" w:cstheme="minorHAnsi"/>
        </w:rPr>
        <w:tab/>
        <w:t>Dryer was not being loaded according to operational procedure</w:t>
      </w:r>
    </w:p>
    <w:p w:rsidR="000C4A8F" w:rsidRPr="00E53EC7" w:rsidRDefault="000C4A8F" w:rsidP="000C4A8F">
      <w:pPr>
        <w:tabs>
          <w:tab w:val="left" w:pos="1350"/>
        </w:tabs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Source:</w:t>
      </w:r>
      <w:r w:rsidRPr="00E53EC7">
        <w:rPr>
          <w:rFonts w:asciiTheme="minorHAnsi" w:hAnsiTheme="minorHAnsi" w:cstheme="minorHAnsi"/>
        </w:rPr>
        <w:tab/>
        <w:t>Internal audit of 1</w:t>
      </w:r>
      <w:r>
        <w:rPr>
          <w:rFonts w:asciiTheme="minorHAnsi" w:hAnsiTheme="minorHAnsi" w:cstheme="minorHAnsi"/>
        </w:rPr>
        <w:t>2/19</w:t>
      </w:r>
      <w:r w:rsidR="00492702">
        <w:rPr>
          <w:rFonts w:asciiTheme="minorHAnsi" w:hAnsiTheme="minorHAnsi" w:cstheme="minorHAnsi"/>
        </w:rPr>
        <w:t>/15</w:t>
      </w:r>
      <w:r w:rsidRPr="00E53EC7">
        <w:rPr>
          <w:rFonts w:asciiTheme="minorHAnsi" w:hAnsiTheme="minorHAnsi" w:cstheme="minorHAnsi"/>
        </w:rPr>
        <w:t xml:space="preserve"> finding number 10</w:t>
      </w:r>
      <w:r>
        <w:rPr>
          <w:rFonts w:asciiTheme="minorHAnsi" w:hAnsiTheme="minorHAnsi" w:cstheme="minorHAnsi"/>
        </w:rPr>
        <w:t>1219</w:t>
      </w:r>
      <w:r w:rsidRPr="00E53EC7">
        <w:rPr>
          <w:rFonts w:asciiTheme="minorHAnsi" w:hAnsiTheme="minorHAnsi" w:cstheme="minorHAnsi"/>
        </w:rPr>
        <w:t>-3</w:t>
      </w:r>
    </w:p>
    <w:p w:rsidR="000C4A8F" w:rsidRPr="00E53EC7" w:rsidRDefault="000C4A8F" w:rsidP="000C4A8F">
      <w:pPr>
        <w:tabs>
          <w:tab w:val="left" w:pos="1350"/>
        </w:tabs>
        <w:ind w:left="1620" w:hanging="126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>Status:</w:t>
      </w:r>
      <w:r w:rsidRPr="00E53EC7">
        <w:rPr>
          <w:rFonts w:asciiTheme="minorHAnsi" w:hAnsiTheme="minorHAnsi" w:cstheme="minorHAnsi"/>
        </w:rPr>
        <w:tab/>
        <w:t>A new employee on the line had not received complete training and was incorrectly loading the dryer.</w:t>
      </w:r>
    </w:p>
    <w:p w:rsidR="000C4A8F" w:rsidRPr="00E53EC7" w:rsidRDefault="000C4A8F" w:rsidP="000C4A8F">
      <w:pPr>
        <w:ind w:left="1350" w:hanging="990"/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</w:rPr>
        <w:t xml:space="preserve">Action:   </w:t>
      </w:r>
      <w:r w:rsidRPr="00E53EC7">
        <w:rPr>
          <w:rFonts w:asciiTheme="minorHAnsi" w:hAnsiTheme="minorHAnsi" w:cstheme="minorHAnsi"/>
        </w:rPr>
        <w:tab/>
        <w:t xml:space="preserve">Employee has undergone training, his technique has been reviewed by his supervisor and he is now performing the operation according to procedure.  </w:t>
      </w:r>
      <w:r>
        <w:rPr>
          <w:rFonts w:asciiTheme="minorHAnsi" w:hAnsiTheme="minorHAnsi" w:cstheme="minorHAnsi"/>
        </w:rPr>
        <w:t xml:space="preserve">New employee checklist modified to include all details of required training for dryer operations. </w:t>
      </w:r>
      <w:r w:rsidRPr="00E53EC7">
        <w:rPr>
          <w:rFonts w:asciiTheme="minorHAnsi" w:hAnsiTheme="minorHAnsi" w:cstheme="minorHAnsi"/>
        </w:rPr>
        <w:t>Corrective action has been completed.</w:t>
      </w:r>
    </w:p>
    <w:p w:rsidR="000C4A8F" w:rsidRDefault="000C4A8F" w:rsidP="000C4A8F">
      <w:pPr>
        <w:rPr>
          <w:rFonts w:asciiTheme="minorHAnsi" w:hAnsiTheme="minorHAnsi" w:cstheme="minorHAnsi"/>
        </w:rPr>
      </w:pPr>
    </w:p>
    <w:p w:rsidR="000C4A8F" w:rsidRDefault="000C4A8F" w:rsidP="000C4A8F">
      <w:pPr>
        <w:rPr>
          <w:rFonts w:asciiTheme="minorHAnsi" w:hAnsiTheme="minorHAnsi" w:cstheme="minorHAnsi"/>
        </w:rPr>
      </w:pPr>
    </w:p>
    <w:p w:rsidR="000C4A8F" w:rsidRPr="00E53EC7" w:rsidRDefault="000C4A8F" w:rsidP="000C4A8F">
      <w:pPr>
        <w:rPr>
          <w:rFonts w:asciiTheme="minorHAnsi" w:hAnsiTheme="minorHAnsi" w:cstheme="minorHAnsi"/>
        </w:rPr>
      </w:pPr>
    </w:p>
    <w:p w:rsidR="000C4A8F" w:rsidRDefault="000C4A8F" w:rsidP="000C4A8F">
      <w:pPr>
        <w:rPr>
          <w:rFonts w:asciiTheme="minorHAnsi" w:hAnsiTheme="minorHAnsi" w:cstheme="minorHAnsi"/>
          <w:b/>
        </w:rPr>
      </w:pPr>
    </w:p>
    <w:p w:rsidR="000C4A8F" w:rsidRDefault="000C4A8F" w:rsidP="000C4A8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0C4A8F" w:rsidRPr="004035DA" w:rsidRDefault="000C4A8F" w:rsidP="000C4A8F">
      <w:pPr>
        <w:rPr>
          <w:rFonts w:asciiTheme="minorHAnsi" w:hAnsiTheme="minorHAnsi" w:cstheme="minorHAnsi"/>
        </w:rPr>
      </w:pPr>
      <w:r w:rsidRPr="00E53EC7">
        <w:rPr>
          <w:rFonts w:asciiTheme="minorHAnsi" w:hAnsiTheme="minorHAnsi" w:cstheme="minorHAnsi"/>
          <w:b/>
          <w:u w:val="single"/>
        </w:rPr>
        <w:lastRenderedPageBreak/>
        <w:t>Legal and other requirements compliance evaluation</w:t>
      </w:r>
      <w:r>
        <w:rPr>
          <w:rFonts w:asciiTheme="minorHAnsi" w:hAnsiTheme="minorHAnsi" w:cstheme="minorHAnsi"/>
          <w:b/>
          <w:u w:val="single"/>
        </w:rPr>
        <w:t>-</w:t>
      </w:r>
      <w:r>
        <w:rPr>
          <w:rFonts w:asciiTheme="minorHAnsi" w:hAnsiTheme="minorHAnsi" w:cstheme="minorHAnsi"/>
        </w:rPr>
        <w:t>Evaluations of compliance with all legal requirements were conducted during 3</w:t>
      </w:r>
      <w:r w:rsidRPr="004035DA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quarter </w:t>
      </w:r>
      <w:r w:rsidR="00492702">
        <w:rPr>
          <w:rFonts w:asciiTheme="minorHAnsi" w:hAnsiTheme="minorHAnsi" w:cstheme="minorHAnsi"/>
        </w:rPr>
        <w:t>2015</w:t>
      </w:r>
      <w:r>
        <w:rPr>
          <w:rFonts w:asciiTheme="minorHAnsi" w:hAnsiTheme="minorHAnsi" w:cstheme="minorHAnsi"/>
        </w:rPr>
        <w:t>.  There were no negative findings.  There have been no changes in legal requirements or other energy requirements subscribe to.  Maintenance Manager is monitoring County consideration of outdoor lighting proposed ordinance.</w:t>
      </w:r>
    </w:p>
    <w:tbl>
      <w:tblPr>
        <w:tblW w:w="1491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620"/>
        <w:gridCol w:w="1440"/>
        <w:gridCol w:w="1440"/>
        <w:gridCol w:w="3510"/>
        <w:gridCol w:w="1710"/>
        <w:gridCol w:w="1772"/>
      </w:tblGrid>
      <w:tr w:rsidR="000C4A8F" w:rsidRPr="00E53EC7" w:rsidTr="000C4A8F">
        <w:trPr>
          <w:tblHeader/>
        </w:trPr>
        <w:tc>
          <w:tcPr>
            <w:tcW w:w="14912" w:type="dxa"/>
            <w:gridSpan w:val="7"/>
          </w:tcPr>
          <w:p w:rsidR="000C4A8F" w:rsidRPr="00E53EC7" w:rsidRDefault="000C4A8F" w:rsidP="000C4A8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3EC7">
              <w:rPr>
                <w:rFonts w:asciiTheme="minorHAnsi" w:hAnsiTheme="minorHAnsi" w:cstheme="minorHAnsi"/>
                <w:b/>
              </w:rPr>
              <w:t>Legal and Other Requirements – Identification, Responsibility and Tracking Matrix</w:t>
            </w:r>
          </w:p>
        </w:tc>
      </w:tr>
      <w:tr w:rsidR="000C4A8F" w:rsidRPr="00E53EC7" w:rsidTr="000C4A8F">
        <w:trPr>
          <w:tblHeader/>
        </w:trPr>
        <w:tc>
          <w:tcPr>
            <w:tcW w:w="342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(1)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 xml:space="preserve">Title of Legal or Other Requirement </w:t>
            </w:r>
            <w:r w:rsidRPr="00253240">
              <w:rPr>
                <w:rFonts w:asciiTheme="minorHAnsi" w:hAnsiTheme="minorHAnsi" w:cstheme="minorHAnsi"/>
                <w:szCs w:val="20"/>
              </w:rPr>
              <w:t>(include legal citation or reference, if applicable)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(2)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Type of Requirement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Legal = L Other = 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(3)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 xml:space="preserve">Permit Number/ Issue Date 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(if applicable)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(4)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 xml:space="preserve">Applies To: 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(List Affected Operations)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(5)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Required Reports/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 xml:space="preserve">Report 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Due Dates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(6)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 xml:space="preserve">Responsible 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Position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(7)</w:t>
            </w:r>
          </w:p>
          <w:p w:rsidR="000C4A8F" w:rsidRPr="00253240" w:rsidRDefault="000C4A8F" w:rsidP="000C4A8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253240">
              <w:rPr>
                <w:rFonts w:asciiTheme="minorHAnsi" w:hAnsiTheme="minorHAnsi" w:cstheme="minorHAnsi"/>
                <w:b/>
                <w:szCs w:val="20"/>
              </w:rPr>
              <w:t>Review Frequency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Greenhouse Gas Emissions Reporting (40 CFR 86, 87, 89)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L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Annual report due March 31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Air Permit Emission Limits for Boilers, Generators, Diesel Air Compressors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L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45726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Boilers, Generators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 reporting of air emissions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Environmental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State Boiler and Unfired Pressure Vessel Inspection Law, Rules and Regulations (Title 68, Chapter 122)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L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Boilers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Annual boiler inspection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City Fuel Guidelines due to Nonattainment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L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Generators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Annual reporting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Monthly Natural Gas Load Forecast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Submit to City 5 days before the end of each month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Better Buildings, Better Plants Challenge Partner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Designate BBBP energy manager; Determine BBBP baseline; Develop energy management plan; Report energy intensity improvement annually by March 31.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</w:t>
            </w:r>
            <w:r>
              <w:rPr>
                <w:rFonts w:asciiTheme="minorHAnsi" w:hAnsiTheme="minorHAnsi" w:cstheme="minorHAnsi"/>
                <w:szCs w:val="20"/>
              </w:rPr>
              <w:t>NERGY STAR</w:t>
            </w:r>
            <w:r w:rsidRPr="00253240">
              <w:rPr>
                <w:rFonts w:asciiTheme="minorHAnsi" w:hAnsiTheme="minorHAnsi" w:cstheme="minorHAnsi"/>
                <w:szCs w:val="20"/>
              </w:rPr>
              <w:t xml:space="preserve"> Plant Labeling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 xml:space="preserve">Annually by March 31 submit the Statement of Energy Performance, </w:t>
            </w:r>
            <w:r w:rsidRPr="00253240">
              <w:rPr>
                <w:rFonts w:asciiTheme="minorHAnsi" w:hAnsiTheme="minorHAnsi" w:cstheme="minorHAnsi"/>
                <w:szCs w:val="20"/>
              </w:rPr>
              <w:lastRenderedPageBreak/>
              <w:t>Safe lighting levels, and assessment of facility’s environmental record.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lastRenderedPageBreak/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Superior Energy Performance</w:t>
            </w:r>
            <w:r>
              <w:rPr>
                <w:rFonts w:asciiTheme="minorHAnsi" w:hAnsiTheme="minorHAnsi" w:cstheme="minorHAnsi"/>
                <w:szCs w:val="20"/>
              </w:rPr>
              <w:t xml:space="preserve"> (SEP)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Triennial third party certification of ISO 50001 implementation and performance improvement with annual surveillance.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  <w:tr w:rsidR="000C4A8F" w:rsidRPr="00E53EC7" w:rsidTr="000C4A8F">
        <w:tc>
          <w:tcPr>
            <w:tcW w:w="34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Corporate Energy Performance Improvement Requirements</w:t>
            </w:r>
          </w:p>
        </w:tc>
        <w:tc>
          <w:tcPr>
            <w:tcW w:w="162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O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N/A</w:t>
            </w:r>
          </w:p>
        </w:tc>
        <w:tc>
          <w:tcPr>
            <w:tcW w:w="144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Entire facility</w:t>
            </w:r>
          </w:p>
        </w:tc>
        <w:tc>
          <w:tcPr>
            <w:tcW w:w="35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 submission of energy consumption and energy intensity improvement</w:t>
            </w:r>
          </w:p>
        </w:tc>
        <w:tc>
          <w:tcPr>
            <w:tcW w:w="1710" w:type="dxa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Energy Manager</w:t>
            </w:r>
          </w:p>
        </w:tc>
        <w:tc>
          <w:tcPr>
            <w:tcW w:w="1772" w:type="dxa"/>
            <w:shd w:val="clear" w:color="auto" w:fill="auto"/>
          </w:tcPr>
          <w:p w:rsidR="000C4A8F" w:rsidRPr="00253240" w:rsidRDefault="000C4A8F" w:rsidP="000C4A8F">
            <w:pPr>
              <w:rPr>
                <w:rFonts w:asciiTheme="minorHAnsi" w:hAnsiTheme="minorHAnsi" w:cstheme="minorHAnsi"/>
                <w:szCs w:val="20"/>
              </w:rPr>
            </w:pPr>
            <w:r w:rsidRPr="00253240">
              <w:rPr>
                <w:rFonts w:asciiTheme="minorHAnsi" w:hAnsiTheme="minorHAnsi" w:cstheme="minorHAnsi"/>
                <w:szCs w:val="20"/>
              </w:rPr>
              <w:t>Quarterly</w:t>
            </w:r>
          </w:p>
        </w:tc>
      </w:tr>
    </w:tbl>
    <w:p w:rsidR="000C4A8F" w:rsidRPr="00E53EC7" w:rsidRDefault="000C4A8F" w:rsidP="000C4A8F">
      <w:pPr>
        <w:ind w:left="360"/>
        <w:rPr>
          <w:rFonts w:asciiTheme="minorHAnsi" w:hAnsiTheme="minorHAnsi" w:cstheme="minorHAnsi"/>
        </w:rPr>
      </w:pPr>
    </w:p>
    <w:p w:rsidR="002F5883" w:rsidRPr="00090644" w:rsidRDefault="002F5883" w:rsidP="000C4A8F"/>
    <w:sectPr w:rsidR="002F5883" w:rsidRPr="00090644" w:rsidSect="00B64C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E1E" w:rsidRDefault="00190E1E" w:rsidP="002F5883">
      <w:pPr>
        <w:spacing w:after="0"/>
      </w:pPr>
      <w:r>
        <w:separator/>
      </w:r>
    </w:p>
  </w:endnote>
  <w:endnote w:type="continuationSeparator" w:id="0">
    <w:p w:rsidR="00190E1E" w:rsidRDefault="00190E1E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02" w:rsidRDefault="00492702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492702">
      <w:rPr>
        <w:rFonts w:cs="Calibri"/>
        <w:sz w:val="20"/>
        <w:szCs w:val="20"/>
      </w:rPr>
      <w:t>Management Review Preparation Information (example)</w:t>
    </w:r>
  </w:p>
  <w:p w:rsidR="000C4A8F" w:rsidRDefault="000C4A8F" w:rsidP="00492702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492702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492702">
      <w:rPr>
        <w:rFonts w:cs="Calibri"/>
        <w:sz w:val="20"/>
        <w:szCs w:val="20"/>
      </w:rPr>
      <w:tab/>
      <w:t>February</w:t>
    </w:r>
    <w:r>
      <w:rPr>
        <w:rFonts w:cs="Calibri"/>
        <w:sz w:val="20"/>
        <w:szCs w:val="20"/>
      </w:rPr>
      <w:t xml:space="preserve"> 2017</w:t>
    </w:r>
  </w:p>
  <w:p w:rsidR="000C4A8F" w:rsidRPr="008012A3" w:rsidRDefault="000C4A8F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492702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82C2F">
      <w:rPr>
        <w:noProof/>
        <w:sz w:val="20"/>
        <w:szCs w:val="20"/>
      </w:rPr>
      <w:t>9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82C2F">
      <w:rPr>
        <w:noProof/>
        <w:sz w:val="20"/>
        <w:szCs w:val="20"/>
      </w:rPr>
      <w:t>9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E1E" w:rsidRDefault="00190E1E" w:rsidP="002F5883">
      <w:pPr>
        <w:spacing w:after="0"/>
      </w:pPr>
      <w:r>
        <w:separator/>
      </w:r>
    </w:p>
  </w:footnote>
  <w:footnote w:type="continuationSeparator" w:id="0">
    <w:p w:rsidR="00190E1E" w:rsidRDefault="00190E1E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8F" w:rsidRPr="002F5883" w:rsidRDefault="000C4A8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0644"/>
    <w:rsid w:val="000C4A8F"/>
    <w:rsid w:val="00155D0D"/>
    <w:rsid w:val="00190E1E"/>
    <w:rsid w:val="001A6A42"/>
    <w:rsid w:val="001E40D7"/>
    <w:rsid w:val="00211231"/>
    <w:rsid w:val="002D1972"/>
    <w:rsid w:val="002F5883"/>
    <w:rsid w:val="00382C2F"/>
    <w:rsid w:val="003B111D"/>
    <w:rsid w:val="003C73DF"/>
    <w:rsid w:val="00492702"/>
    <w:rsid w:val="00525763"/>
    <w:rsid w:val="00563F22"/>
    <w:rsid w:val="00607DFA"/>
    <w:rsid w:val="006238AA"/>
    <w:rsid w:val="006B4A3E"/>
    <w:rsid w:val="00756ABD"/>
    <w:rsid w:val="00790BCF"/>
    <w:rsid w:val="007A009C"/>
    <w:rsid w:val="008012A3"/>
    <w:rsid w:val="008B3605"/>
    <w:rsid w:val="009279C7"/>
    <w:rsid w:val="00944F1D"/>
    <w:rsid w:val="009E1ECA"/>
    <w:rsid w:val="00A6604A"/>
    <w:rsid w:val="00B36B33"/>
    <w:rsid w:val="00B64CD2"/>
    <w:rsid w:val="00B71010"/>
    <w:rsid w:val="00BA13D5"/>
    <w:rsid w:val="00C97ED0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492702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0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2017-02-09T19:04:00Z</cp:lastPrinted>
  <dcterms:created xsi:type="dcterms:W3CDTF">2017-02-01T19:50:00Z</dcterms:created>
  <dcterms:modified xsi:type="dcterms:W3CDTF">2017-02-09T19:05:00Z</dcterms:modified>
</cp:coreProperties>
</file>