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0D7" w:rsidRPr="001E40D7" w:rsidRDefault="001E40D7" w:rsidP="00DA7542">
      <w:pPr>
        <w:pStyle w:val="Title"/>
      </w:pPr>
      <w:bookmarkStart w:id="0" w:name="_GoBack"/>
      <w:bookmarkEnd w:id="0"/>
      <w:r w:rsidRPr="001E40D7">
        <w:t>Types of Energy Management Data</w:t>
      </w:r>
      <w:r w:rsidR="00DA7542">
        <w:t xml:space="preserve"> (examples)</w:t>
      </w:r>
    </w:p>
    <w:p w:rsidR="001E40D7" w:rsidRDefault="001E40D7" w:rsidP="00DA7542">
      <w:pPr>
        <w:spacing w:after="0"/>
      </w:pPr>
    </w:p>
    <w:tbl>
      <w:tblPr>
        <w:tblStyle w:val="TableGrid"/>
        <w:tblW w:w="13176" w:type="dxa"/>
        <w:tblLayout w:type="fixed"/>
        <w:tblLook w:val="04A0" w:firstRow="1" w:lastRow="0" w:firstColumn="1" w:lastColumn="0" w:noHBand="0" w:noVBand="1"/>
      </w:tblPr>
      <w:tblGrid>
        <w:gridCol w:w="1435"/>
        <w:gridCol w:w="4770"/>
        <w:gridCol w:w="2610"/>
        <w:gridCol w:w="2520"/>
        <w:gridCol w:w="1841"/>
      </w:tblGrid>
      <w:tr w:rsidR="001E40D7" w:rsidTr="00DA7542">
        <w:trPr>
          <w:tblHeader/>
        </w:trPr>
        <w:tc>
          <w:tcPr>
            <w:tcW w:w="1435" w:type="dxa"/>
            <w:vAlign w:val="center"/>
          </w:tcPr>
          <w:p w:rsidR="001E40D7" w:rsidRDefault="001E40D7" w:rsidP="00DA7542">
            <w:pPr>
              <w:spacing w:after="60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Type of </w:t>
            </w:r>
            <w:r w:rsidRPr="00EB6A2B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4770" w:type="dxa"/>
            <w:vAlign w:val="center"/>
          </w:tcPr>
          <w:p w:rsidR="001E40D7" w:rsidRDefault="001E40D7" w:rsidP="00DA7542">
            <w:pPr>
              <w:spacing w:after="60"/>
            </w:pPr>
            <w:r w:rsidRPr="00EB6A2B">
              <w:rPr>
                <w:rFonts w:ascii="Arial" w:hAnsi="Arial" w:cs="Arial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2610" w:type="dxa"/>
            <w:vAlign w:val="center"/>
          </w:tcPr>
          <w:p w:rsidR="001E40D7" w:rsidRDefault="001E40D7" w:rsidP="00DA7542">
            <w:pPr>
              <w:spacing w:after="60"/>
            </w:pPr>
            <w:r w:rsidRPr="00EB6A2B">
              <w:rPr>
                <w:rFonts w:ascii="Arial" w:hAnsi="Arial" w:cs="Arial"/>
                <w:b/>
                <w:bCs/>
                <w:sz w:val="20"/>
                <w:szCs w:val="20"/>
              </w:rPr>
              <w:t>Collection Frequency</w:t>
            </w:r>
          </w:p>
        </w:tc>
        <w:tc>
          <w:tcPr>
            <w:tcW w:w="2520" w:type="dxa"/>
            <w:vAlign w:val="center"/>
          </w:tcPr>
          <w:p w:rsidR="001E40D7" w:rsidRDefault="001E40D7" w:rsidP="00DA7542">
            <w:pPr>
              <w:spacing w:after="60"/>
            </w:pPr>
            <w:r w:rsidRPr="00EB6A2B">
              <w:rPr>
                <w:rFonts w:ascii="Arial" w:hAnsi="Arial" w:cs="Arial"/>
                <w:b/>
                <w:bCs/>
                <w:sz w:val="20"/>
                <w:szCs w:val="20"/>
              </w:rPr>
              <w:t>Expected Sources for Data</w:t>
            </w:r>
          </w:p>
        </w:tc>
        <w:tc>
          <w:tcPr>
            <w:tcW w:w="1841" w:type="dxa"/>
            <w:vAlign w:val="center"/>
          </w:tcPr>
          <w:p w:rsidR="001E40D7" w:rsidRDefault="001E40D7" w:rsidP="00DA7542">
            <w:pPr>
              <w:spacing w:after="60"/>
            </w:pPr>
            <w:r w:rsidRPr="00EB6A2B">
              <w:rPr>
                <w:rFonts w:ascii="Arial" w:hAnsi="Arial" w:cs="Arial"/>
                <w:b/>
                <w:bCs/>
                <w:sz w:val="20"/>
                <w:szCs w:val="20"/>
              </w:rPr>
              <w:t>Data Storage Location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 w:rsidRPr="00C076FB">
              <w:t xml:space="preserve">Utility </w:t>
            </w:r>
            <w:r>
              <w:t>B</w:t>
            </w:r>
            <w:r w:rsidRPr="00C076FB">
              <w:t>ills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C076FB">
              <w:t>Utility invoice that includes quantity consumed or purchased, billing period or delivery date, demand, and other r</w:t>
            </w:r>
            <w:r>
              <w:t>e</w:t>
            </w:r>
            <w:r w:rsidRPr="00C076FB">
              <w:t xml:space="preserve">lated factors such as power factor, fuel shrinkage, meter or account charges. </w:t>
            </w:r>
            <w:r w:rsidRPr="00C076FB">
              <w:rPr>
                <w:b/>
                <w:bCs/>
              </w:rPr>
              <w:t xml:space="preserve">NOTE: </w:t>
            </w:r>
            <w:r w:rsidRPr="000E37AA">
              <w:rPr>
                <w:bCs/>
              </w:rPr>
              <w:t>B</w:t>
            </w:r>
            <w:r w:rsidRPr="00C076FB">
              <w:t xml:space="preserve">eware of "estimated" </w:t>
            </w:r>
            <w:r>
              <w:t xml:space="preserve">consumption </w:t>
            </w:r>
            <w:r w:rsidRPr="00C076FB">
              <w:t>because the only truly accurate consumption rates are derived from meter readings.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 w:rsidRPr="00C076FB">
              <w:t>Usually monthly although fuel deliveries may be more or less frequent</w:t>
            </w:r>
            <w:r>
              <w:t>.</w:t>
            </w:r>
          </w:p>
        </w:tc>
        <w:tc>
          <w:tcPr>
            <w:tcW w:w="2520" w:type="dxa"/>
          </w:tcPr>
          <w:p w:rsidR="001E40D7" w:rsidRDefault="001E40D7" w:rsidP="00DA7542">
            <w:pPr>
              <w:spacing w:after="60"/>
            </w:pPr>
            <w:r w:rsidRPr="00C076FB">
              <w:t xml:space="preserve">From </w:t>
            </w:r>
            <w:r>
              <w:t>u</w:t>
            </w:r>
            <w:r w:rsidRPr="00C076FB">
              <w:t xml:space="preserve">tility invoices and </w:t>
            </w:r>
            <w:r>
              <w:t>u</w:t>
            </w:r>
            <w:r w:rsidRPr="00C076FB">
              <w:t>tility supplied billing history</w:t>
            </w:r>
            <w:r>
              <w:t>.</w:t>
            </w:r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 w:rsidRPr="00C076FB">
              <w:t xml:space="preserve">Usually held in </w:t>
            </w:r>
            <w:r>
              <w:t>P</w:t>
            </w:r>
            <w:r w:rsidRPr="00C076FB">
              <w:t xml:space="preserve">urchasing </w:t>
            </w:r>
            <w:r>
              <w:t>Department,</w:t>
            </w:r>
            <w:r w:rsidRPr="00C076FB">
              <w:t xml:space="preserve"> </w:t>
            </w:r>
            <w:r>
              <w:t>Building/</w:t>
            </w:r>
          </w:p>
          <w:p w:rsidR="001E40D7" w:rsidRDefault="001E40D7" w:rsidP="00DA7542">
            <w:pPr>
              <w:spacing w:after="60"/>
            </w:pPr>
            <w:r>
              <w:t>Office Manager’s files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 w:rsidRPr="00C076FB">
              <w:t xml:space="preserve">Utility </w:t>
            </w:r>
            <w:r>
              <w:t>Interval D</w:t>
            </w:r>
            <w:r w:rsidRPr="00C076FB">
              <w:t>ata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C076FB">
              <w:t>Interval energy data is a fine-grained record of energy consumption, with readings made at regular intervals throughout the day, every day.  The record of consumption during an interval period presents a picture of the variation in energy demand throug</w:t>
            </w:r>
            <w:r>
              <w:t>hout the year.  Electricity and n</w:t>
            </w:r>
            <w:r w:rsidRPr="00C076FB">
              <w:t>atural gas meters may collect interval data for the purpose of billing based on "peak demand."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 w:rsidRPr="00C076FB">
              <w:t>Data is collected continuously, but is usually reported for a 12 month (annual) period.</w:t>
            </w:r>
          </w:p>
        </w:tc>
        <w:tc>
          <w:tcPr>
            <w:tcW w:w="2520" w:type="dxa"/>
          </w:tcPr>
          <w:p w:rsidR="001E40D7" w:rsidRDefault="001E40D7" w:rsidP="00DA7542">
            <w:pPr>
              <w:spacing w:after="60"/>
            </w:pPr>
            <w:r>
              <w:t>Provided by request from the U</w:t>
            </w:r>
            <w:r w:rsidRPr="00C076FB">
              <w:t>tility</w:t>
            </w:r>
            <w:r>
              <w:t>.</w:t>
            </w:r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 w:rsidRPr="00C076FB">
              <w:t>Data held by the</w:t>
            </w:r>
            <w:r>
              <w:t xml:space="preserve"> U</w:t>
            </w:r>
            <w:r w:rsidRPr="00C076FB">
              <w:t>tility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>
              <w:t>Utility Rates,  T</w:t>
            </w:r>
            <w:r w:rsidRPr="003A6F0C">
              <w:t>ariffs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3A6F0C">
              <w:t xml:space="preserve">Utility rates and tariffs are the schedules which are used to determine the cost of supplied utilities.  Rates and tariffs provide insight into the component costs involved in </w:t>
            </w:r>
            <w:r>
              <w:t>u</w:t>
            </w:r>
            <w:r w:rsidRPr="003A6F0C">
              <w:t>tility pricing and allow the marginal cost of each component to be determined.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 w:rsidRPr="003A6F0C">
              <w:t xml:space="preserve">Can be acquired as needed, but only the "current" rate is relevant. Regular contact with a </w:t>
            </w:r>
            <w:r>
              <w:t>U</w:t>
            </w:r>
            <w:r w:rsidRPr="003A6F0C">
              <w:t xml:space="preserve">tility </w:t>
            </w:r>
            <w:r>
              <w:t>representative</w:t>
            </w:r>
            <w:r w:rsidRPr="003A6F0C">
              <w:t xml:space="preserve"> will ensure that current rates have been acquired.</w:t>
            </w:r>
          </w:p>
        </w:tc>
        <w:tc>
          <w:tcPr>
            <w:tcW w:w="2520" w:type="dxa"/>
          </w:tcPr>
          <w:p w:rsidR="001E40D7" w:rsidRDefault="001E40D7" w:rsidP="00DA7542">
            <w:pPr>
              <w:spacing w:after="60"/>
            </w:pPr>
            <w:r w:rsidRPr="003A6F0C">
              <w:t xml:space="preserve">Available from the </w:t>
            </w:r>
            <w:r>
              <w:t>U</w:t>
            </w:r>
            <w:r w:rsidRPr="003A6F0C">
              <w:t>tility or Public Service Commission for regulated utilities</w:t>
            </w:r>
            <w:r>
              <w:t>.</w:t>
            </w:r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 w:rsidRPr="003A6F0C">
              <w:t xml:space="preserve">Utility rates and tariffs stored with </w:t>
            </w:r>
            <w:r>
              <w:t>u</w:t>
            </w:r>
            <w:r w:rsidRPr="003A6F0C">
              <w:t xml:space="preserve">tility contracts in either </w:t>
            </w:r>
            <w:r>
              <w:t>L</w:t>
            </w:r>
            <w:r w:rsidRPr="003A6F0C">
              <w:t xml:space="preserve">egal or </w:t>
            </w:r>
            <w:r>
              <w:t>P</w:t>
            </w:r>
            <w:r w:rsidRPr="003A6F0C">
              <w:t xml:space="preserve">urchasing </w:t>
            </w:r>
            <w:r>
              <w:t>Department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>
              <w:t>Production U</w:t>
            </w:r>
            <w:r w:rsidRPr="003A6F0C">
              <w:t>nits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3A6F0C">
              <w:t>Production output is the amount of finished product leaving a plant or moved to inventory.  For plants with single output, units are easily found.  For plants with multiple products, common characteristics should be considered as a method to combine, i.e. pounds or s</w:t>
            </w:r>
            <w:r>
              <w:t>quare yards</w:t>
            </w:r>
            <w:r w:rsidRPr="003A6F0C">
              <w:t xml:space="preserve"> of output instead of units.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 w:rsidRPr="003A6F0C">
              <w:t xml:space="preserve">Must be matched to </w:t>
            </w:r>
            <w:r>
              <w:t>u</w:t>
            </w:r>
            <w:r w:rsidRPr="003A6F0C">
              <w:t>tility billing interval to get accurate estimate of energy per unit of production.</w:t>
            </w:r>
          </w:p>
        </w:tc>
        <w:tc>
          <w:tcPr>
            <w:tcW w:w="2520" w:type="dxa"/>
          </w:tcPr>
          <w:p w:rsidR="001E40D7" w:rsidRDefault="001E40D7" w:rsidP="00DA7542">
            <w:pPr>
              <w:spacing w:after="60"/>
            </w:pPr>
            <w:r w:rsidRPr="003A6F0C">
              <w:t xml:space="preserve">Production </w:t>
            </w:r>
            <w:r>
              <w:t>M</w:t>
            </w:r>
            <w:r w:rsidRPr="003A6F0C">
              <w:t xml:space="preserve">anagers or </w:t>
            </w:r>
            <w:r>
              <w:t>P</w:t>
            </w:r>
            <w:r w:rsidRPr="003A6F0C">
              <w:t>roduction clerical staff</w:t>
            </w:r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>
              <w:t>P</w:t>
            </w:r>
            <w:r w:rsidRPr="003A6F0C">
              <w:t xml:space="preserve">roduction </w:t>
            </w:r>
            <w:r>
              <w:t>Department</w:t>
            </w:r>
            <w:r w:rsidRPr="003A6F0C">
              <w:t xml:space="preserve"> output reports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 w:rsidRPr="003A6F0C">
              <w:lastRenderedPageBreak/>
              <w:t>Operating Schedule</w:t>
            </w:r>
            <w:r>
              <w:t>/</w:t>
            </w:r>
            <w:r w:rsidR="00DA7542">
              <w:t xml:space="preserve"> </w:t>
            </w:r>
            <w:r>
              <w:t>Hours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3A6F0C">
              <w:t xml:space="preserve">The hours that production operates reported on a monthly or annual basis.  </w:t>
            </w:r>
            <w:r>
              <w:t>Hours an organization is operating.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 w:rsidRPr="003A6F0C">
              <w:t>Collect as required to correlate with utility and</w:t>
            </w:r>
            <w:r>
              <w:t xml:space="preserve">/or </w:t>
            </w:r>
            <w:r w:rsidRPr="003A6F0C">
              <w:t>production data</w:t>
            </w:r>
            <w:r>
              <w:t>.</w:t>
            </w:r>
          </w:p>
        </w:tc>
        <w:tc>
          <w:tcPr>
            <w:tcW w:w="2520" w:type="dxa"/>
          </w:tcPr>
          <w:p w:rsidR="001E40D7" w:rsidRDefault="001E40D7" w:rsidP="00DA7542">
            <w:pPr>
              <w:spacing w:after="60"/>
            </w:pPr>
            <w:r w:rsidRPr="003A6F0C">
              <w:t>Production managers or staff</w:t>
            </w:r>
            <w:r>
              <w:t xml:space="preserve"> schedules, Building management system, time sheets, time clock</w:t>
            </w:r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>
              <w:t>P</w:t>
            </w:r>
            <w:r w:rsidRPr="003A6F0C">
              <w:t xml:space="preserve">roduction </w:t>
            </w:r>
            <w:r>
              <w:t>records, Building management system, time records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 w:rsidRPr="00380566">
              <w:t>Mete</w:t>
            </w:r>
            <w:r>
              <w:t>o</w:t>
            </w:r>
            <w:r w:rsidRPr="00380566">
              <w:t xml:space="preserve">rological </w:t>
            </w:r>
            <w:r>
              <w:t>D</w:t>
            </w:r>
            <w:r w:rsidRPr="00380566">
              <w:t>ata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380566">
              <w:t>Weather data including hours of occurrence for temperature, humidity or dew point associated with each temperature, wind velocity, and precipitation is often useful in developing energy models</w:t>
            </w:r>
            <w:r>
              <w:t>.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>
              <w:t>C</w:t>
            </w:r>
            <w:r w:rsidRPr="00380566">
              <w:t>ollected continuously but reported hourly and usually available in monthly or annual blocks</w:t>
            </w:r>
            <w:r>
              <w:t>.</w:t>
            </w:r>
          </w:p>
        </w:tc>
        <w:tc>
          <w:tcPr>
            <w:tcW w:w="2520" w:type="dxa"/>
          </w:tcPr>
          <w:p w:rsidR="001E40D7" w:rsidRDefault="00587654" w:rsidP="00DA7542">
            <w:pPr>
              <w:spacing w:after="60"/>
            </w:pPr>
            <w:hyperlink r:id="rId6" w:history="1">
              <w:r w:rsidR="001E40D7" w:rsidRPr="00380566">
                <w:rPr>
                  <w:rStyle w:val="Hyperlink"/>
                </w:rPr>
                <w:t>http://www.ncdc.noaa.gov/oa/ncdc.html</w:t>
              </w:r>
            </w:hyperlink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>
              <w:t>O</w:t>
            </w:r>
            <w:r w:rsidR="00DA7542">
              <w:t>n</w:t>
            </w:r>
            <w:r w:rsidRPr="00380566">
              <w:t>line</w:t>
            </w:r>
          </w:p>
        </w:tc>
      </w:tr>
      <w:tr w:rsidR="001E40D7" w:rsidTr="00DA7542">
        <w:tc>
          <w:tcPr>
            <w:tcW w:w="1435" w:type="dxa"/>
          </w:tcPr>
          <w:p w:rsidR="001E40D7" w:rsidRDefault="001E40D7" w:rsidP="00DA7542">
            <w:pPr>
              <w:spacing w:after="60"/>
            </w:pPr>
            <w:r w:rsidRPr="00380566">
              <w:t xml:space="preserve">Rated Capacity of </w:t>
            </w:r>
            <w:r>
              <w:t>P</w:t>
            </w:r>
            <w:r w:rsidRPr="00380566">
              <w:t xml:space="preserve">rominent </w:t>
            </w:r>
            <w:r>
              <w:t>E</w:t>
            </w:r>
            <w:r w:rsidRPr="00380566">
              <w:t xml:space="preserve">nergy </w:t>
            </w:r>
            <w:r>
              <w:t>S</w:t>
            </w:r>
            <w:r w:rsidRPr="00380566">
              <w:t>ystems</w:t>
            </w:r>
          </w:p>
        </w:tc>
        <w:tc>
          <w:tcPr>
            <w:tcW w:w="4770" w:type="dxa"/>
          </w:tcPr>
          <w:p w:rsidR="001E40D7" w:rsidRDefault="001E40D7" w:rsidP="00DA7542">
            <w:pPr>
              <w:spacing w:after="60"/>
            </w:pPr>
            <w:r w:rsidRPr="00380566">
              <w:t xml:space="preserve">Electrical and fuel-fired equipment has rated capacities normally shown on a nameplate or tag.  Electrical equipment can be rated by horsepower or kilowatts.  Electrical cooling equipment is often rated in tons where 1 ton of cooling is equal to 12,000 </w:t>
            </w:r>
            <w:proofErr w:type="spellStart"/>
            <w:r w:rsidRPr="00380566">
              <w:t>Btuh</w:t>
            </w:r>
            <w:proofErr w:type="spellEnd"/>
            <w:r w:rsidRPr="00380566">
              <w:t xml:space="preserve">. Thermal equipment may be rated in max </w:t>
            </w:r>
            <w:proofErr w:type="spellStart"/>
            <w:r w:rsidRPr="00380566">
              <w:t>Btuh</w:t>
            </w:r>
            <w:proofErr w:type="spellEnd"/>
            <w:r w:rsidRPr="00380566">
              <w:t xml:space="preserve"> and often a min </w:t>
            </w:r>
            <w:proofErr w:type="spellStart"/>
            <w:r w:rsidRPr="00380566">
              <w:t>Btuh</w:t>
            </w:r>
            <w:proofErr w:type="spellEnd"/>
            <w:r w:rsidRPr="00380566">
              <w:t xml:space="preserve"> is also given.  European equipment can be rated in kilowatts where 1 kW equals 3,412 </w:t>
            </w:r>
            <w:proofErr w:type="spellStart"/>
            <w:r w:rsidRPr="00380566">
              <w:t>Btuh</w:t>
            </w:r>
            <w:proofErr w:type="spellEnd"/>
            <w:r w:rsidRPr="00380566">
              <w:t>.</w:t>
            </w:r>
          </w:p>
        </w:tc>
        <w:tc>
          <w:tcPr>
            <w:tcW w:w="2610" w:type="dxa"/>
          </w:tcPr>
          <w:p w:rsidR="001E40D7" w:rsidRDefault="001E40D7" w:rsidP="00DA7542">
            <w:pPr>
              <w:spacing w:after="60"/>
            </w:pPr>
            <w:r w:rsidRPr="00380566">
              <w:t>Because most equipment does not change often, equipment capacities need only be collected once unless there is a change or replacement</w:t>
            </w:r>
            <w:r>
              <w:t>.</w:t>
            </w:r>
          </w:p>
        </w:tc>
        <w:tc>
          <w:tcPr>
            <w:tcW w:w="2520" w:type="dxa"/>
          </w:tcPr>
          <w:p w:rsidR="001E40D7" w:rsidRDefault="001E40D7" w:rsidP="00DA7542">
            <w:pPr>
              <w:spacing w:after="60"/>
            </w:pPr>
            <w:r w:rsidRPr="00380566">
              <w:t>Maintenance staff and equipment user guides</w:t>
            </w:r>
          </w:p>
          <w:p w:rsidR="001E40D7" w:rsidRDefault="001E40D7" w:rsidP="00DA7542">
            <w:pPr>
              <w:spacing w:after="60"/>
            </w:pPr>
            <w:r w:rsidRPr="003A6F0C">
              <w:t>Can be extrapolated from daily or weekly operating records.</w:t>
            </w:r>
          </w:p>
        </w:tc>
        <w:tc>
          <w:tcPr>
            <w:tcW w:w="1841" w:type="dxa"/>
          </w:tcPr>
          <w:p w:rsidR="001E40D7" w:rsidRDefault="001E40D7" w:rsidP="00DA7542">
            <w:pPr>
              <w:spacing w:after="60"/>
            </w:pPr>
            <w:r w:rsidRPr="00380566">
              <w:t xml:space="preserve">Equipment guides, </w:t>
            </w:r>
            <w:r>
              <w:t>P</w:t>
            </w:r>
            <w:r w:rsidRPr="00380566">
              <w:t>urchasing records</w:t>
            </w:r>
          </w:p>
        </w:tc>
      </w:tr>
      <w:tr w:rsidR="001E40D7" w:rsidTr="00DA7542">
        <w:tc>
          <w:tcPr>
            <w:tcW w:w="1435" w:type="dxa"/>
          </w:tcPr>
          <w:p w:rsidR="001E40D7" w:rsidRPr="00C20A62" w:rsidRDefault="001E40D7" w:rsidP="00DA7542">
            <w:pPr>
              <w:spacing w:after="60"/>
            </w:pPr>
            <w:proofErr w:type="spellStart"/>
            <w:r>
              <w:t>Submeter</w:t>
            </w:r>
            <w:proofErr w:type="spellEnd"/>
            <w:r>
              <w:t xml:space="preserve"> Data</w:t>
            </w:r>
          </w:p>
        </w:tc>
        <w:tc>
          <w:tcPr>
            <w:tcW w:w="4770" w:type="dxa"/>
          </w:tcPr>
          <w:p w:rsidR="001E40D7" w:rsidRPr="00C20A62" w:rsidRDefault="001E40D7" w:rsidP="00DA7542">
            <w:pPr>
              <w:spacing w:after="60"/>
            </w:pPr>
            <w:proofErr w:type="spellStart"/>
            <w:r>
              <w:t>Submeters</w:t>
            </w:r>
            <w:proofErr w:type="spellEnd"/>
            <w:r>
              <w:t xml:space="preserve"> are installed on equipment, systems, processes or facilities for required energy information.  A common application is consumption measurement at a more granular level than utility meters but meters also measure flow, temperature, gas properties, etc.</w:t>
            </w:r>
          </w:p>
        </w:tc>
        <w:tc>
          <w:tcPr>
            <w:tcW w:w="2610" w:type="dxa"/>
          </w:tcPr>
          <w:p w:rsidR="001E40D7" w:rsidRPr="00C20A62" w:rsidRDefault="001E40D7" w:rsidP="00DA7542">
            <w:pPr>
              <w:spacing w:after="60"/>
            </w:pPr>
            <w:r>
              <w:t>Collection frequency varies depending on the data need.</w:t>
            </w:r>
          </w:p>
        </w:tc>
        <w:tc>
          <w:tcPr>
            <w:tcW w:w="2520" w:type="dxa"/>
          </w:tcPr>
          <w:p w:rsidR="001E40D7" w:rsidRPr="00C20A62" w:rsidRDefault="001E40D7" w:rsidP="00DA7542">
            <w:pPr>
              <w:spacing w:after="60"/>
            </w:pPr>
            <w:r>
              <w:t xml:space="preserve">Meter read outs </w:t>
            </w:r>
          </w:p>
        </w:tc>
        <w:tc>
          <w:tcPr>
            <w:tcW w:w="1841" w:type="dxa"/>
          </w:tcPr>
          <w:p w:rsidR="001E40D7" w:rsidRPr="00C20A62" w:rsidRDefault="001E40D7" w:rsidP="00DA7542">
            <w:pPr>
              <w:spacing w:after="60"/>
            </w:pPr>
            <w:r>
              <w:t>Production department, Building Management System, reports, files</w:t>
            </w:r>
          </w:p>
        </w:tc>
      </w:tr>
      <w:tr w:rsidR="001E40D7" w:rsidTr="00DA7542">
        <w:tc>
          <w:tcPr>
            <w:tcW w:w="1435" w:type="dxa"/>
          </w:tcPr>
          <w:p w:rsidR="001E40D7" w:rsidRPr="00380566" w:rsidRDefault="001E40D7" w:rsidP="00DA7542">
            <w:pPr>
              <w:spacing w:after="60"/>
            </w:pPr>
            <w:r w:rsidRPr="00C20A62">
              <w:t xml:space="preserve">Financial </w:t>
            </w:r>
            <w:r>
              <w:t>D</w:t>
            </w:r>
            <w:r w:rsidRPr="00C20A62">
              <w:t>ata</w:t>
            </w:r>
          </w:p>
        </w:tc>
        <w:tc>
          <w:tcPr>
            <w:tcW w:w="4770" w:type="dxa"/>
          </w:tcPr>
          <w:p w:rsidR="001E40D7" w:rsidRPr="00380566" w:rsidRDefault="001E40D7" w:rsidP="00DA7542">
            <w:pPr>
              <w:spacing w:after="60"/>
            </w:pPr>
            <w:r w:rsidRPr="00C20A62">
              <w:t xml:space="preserve">Financial information is often relevant to energy management.  Information may include expected return or payback for energy-related projects.  Financial data such as the expected borrowing rate </w:t>
            </w:r>
            <w:r>
              <w:t>for debt financ</w:t>
            </w:r>
            <w:r w:rsidRPr="00C20A62">
              <w:t>ed projects is also important.</w:t>
            </w:r>
          </w:p>
        </w:tc>
        <w:tc>
          <w:tcPr>
            <w:tcW w:w="2610" w:type="dxa"/>
          </w:tcPr>
          <w:p w:rsidR="001E40D7" w:rsidRPr="00380566" w:rsidRDefault="001E40D7" w:rsidP="00DA7542">
            <w:pPr>
              <w:spacing w:after="60"/>
            </w:pPr>
            <w:r w:rsidRPr="00C20A62">
              <w:t>Collected as needed, usually on an annual basis</w:t>
            </w:r>
            <w:r>
              <w:t>.</w:t>
            </w:r>
          </w:p>
        </w:tc>
        <w:tc>
          <w:tcPr>
            <w:tcW w:w="2520" w:type="dxa"/>
          </w:tcPr>
          <w:p w:rsidR="001E40D7" w:rsidRPr="00380566" w:rsidRDefault="001E40D7" w:rsidP="00DA7542">
            <w:pPr>
              <w:spacing w:after="60"/>
            </w:pPr>
            <w:r w:rsidRPr="00C20A62">
              <w:t xml:space="preserve">Finance </w:t>
            </w:r>
            <w:r>
              <w:t>D</w:t>
            </w:r>
            <w:r w:rsidRPr="00C20A62">
              <w:t>ep</w:t>
            </w:r>
            <w:r>
              <w:t>artment</w:t>
            </w:r>
            <w:r w:rsidRPr="00C20A62">
              <w:t>, Lending Institutions</w:t>
            </w:r>
          </w:p>
        </w:tc>
        <w:tc>
          <w:tcPr>
            <w:tcW w:w="1841" w:type="dxa"/>
          </w:tcPr>
          <w:p w:rsidR="001E40D7" w:rsidRPr="00380566" w:rsidRDefault="001E40D7" w:rsidP="00DA7542">
            <w:pPr>
              <w:spacing w:after="60"/>
            </w:pPr>
            <w:r w:rsidRPr="00C20A62">
              <w:t>Contained in financial reports</w:t>
            </w:r>
          </w:p>
        </w:tc>
      </w:tr>
    </w:tbl>
    <w:p w:rsidR="002F5883" w:rsidRPr="00DA7542" w:rsidRDefault="002F5883" w:rsidP="001E40D7">
      <w:pPr>
        <w:rPr>
          <w:sz w:val="6"/>
          <w:szCs w:val="6"/>
        </w:rPr>
      </w:pPr>
    </w:p>
    <w:sectPr w:rsidR="002F5883" w:rsidRPr="00DA7542" w:rsidSect="001E40D7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7654" w:rsidRDefault="00587654" w:rsidP="002F5883">
      <w:pPr>
        <w:spacing w:after="0"/>
      </w:pPr>
      <w:r>
        <w:separator/>
      </w:r>
    </w:p>
  </w:endnote>
  <w:endnote w:type="continuationSeparator" w:id="0">
    <w:p w:rsidR="00587654" w:rsidRDefault="00587654" w:rsidP="002F588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542" w:rsidRDefault="00DA7542" w:rsidP="00790BCF">
    <w:pPr>
      <w:tabs>
        <w:tab w:val="right" w:pos="10260"/>
      </w:tabs>
      <w:spacing w:after="0"/>
      <w:rPr>
        <w:rFonts w:cs="Calibri"/>
        <w:sz w:val="20"/>
        <w:szCs w:val="20"/>
      </w:rPr>
    </w:pPr>
    <w:r w:rsidRPr="00DA7542">
      <w:rPr>
        <w:rFonts w:cs="Calibri"/>
        <w:sz w:val="20"/>
        <w:szCs w:val="20"/>
      </w:rPr>
      <w:t>Types of Energy Management Data (examples)</w:t>
    </w:r>
  </w:p>
  <w:p w:rsidR="00790BCF" w:rsidRDefault="008012A3" w:rsidP="00DA7542">
    <w:pPr>
      <w:tabs>
        <w:tab w:val="right" w:pos="10260"/>
      </w:tabs>
      <w:spacing w:after="0"/>
      <w:rPr>
        <w:rFonts w:cs="Calibri"/>
        <w:sz w:val="20"/>
        <w:szCs w:val="20"/>
      </w:rPr>
    </w:pPr>
    <w:r>
      <w:rPr>
        <w:rFonts w:cs="Calibri"/>
        <w:sz w:val="20"/>
        <w:szCs w:val="20"/>
      </w:rPr>
      <w:t xml:space="preserve">50001 </w:t>
    </w:r>
    <w:r w:rsidR="00DA7542">
      <w:rPr>
        <w:rFonts w:cs="Calibri"/>
        <w:sz w:val="20"/>
        <w:szCs w:val="20"/>
      </w:rPr>
      <w:t xml:space="preserve">Ready </w:t>
    </w:r>
    <w:r>
      <w:rPr>
        <w:rFonts w:cs="Calibri"/>
        <w:sz w:val="20"/>
        <w:szCs w:val="20"/>
      </w:rPr>
      <w:t>Navigator (</w:t>
    </w:r>
    <w:hyperlink r:id="rId1" w:history="1">
      <w:r w:rsidR="00790BCF" w:rsidRPr="00E91868">
        <w:rPr>
          <w:rStyle w:val="Hyperlink"/>
          <w:rFonts w:cs="Calibri"/>
          <w:sz w:val="20"/>
          <w:szCs w:val="20"/>
        </w:rPr>
        <w:t>https://navigator.industrialenergytools.com</w:t>
      </w:r>
    </w:hyperlink>
    <w:r>
      <w:rPr>
        <w:rFonts w:cs="Calibri"/>
        <w:sz w:val="20"/>
        <w:szCs w:val="20"/>
      </w:rPr>
      <w:t xml:space="preserve">) </w:t>
    </w:r>
    <w:r w:rsidR="00790BCF">
      <w:rPr>
        <w:rFonts w:cs="Calibri"/>
        <w:sz w:val="20"/>
        <w:szCs w:val="20"/>
      </w:rPr>
      <w:tab/>
    </w:r>
    <w:r w:rsidR="00DA7542">
      <w:rPr>
        <w:rFonts w:cs="Calibri"/>
        <w:sz w:val="20"/>
        <w:szCs w:val="20"/>
      </w:rPr>
      <w:tab/>
      <w:t>February</w:t>
    </w:r>
    <w:r w:rsidR="00790BCF">
      <w:rPr>
        <w:rFonts w:cs="Calibri"/>
        <w:sz w:val="20"/>
        <w:szCs w:val="20"/>
      </w:rPr>
      <w:t xml:space="preserve"> 2017</w:t>
    </w:r>
  </w:p>
  <w:p w:rsidR="002F5883" w:rsidRPr="008012A3" w:rsidRDefault="008012A3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</w:t>
    </w:r>
    <w:r w:rsidR="003C73DF">
      <w:rPr>
        <w:sz w:val="20"/>
        <w:szCs w:val="20"/>
      </w:rPr>
      <w:t>7</w:t>
    </w:r>
    <w:r w:rsidRPr="008A1FD6">
      <w:rPr>
        <w:sz w:val="20"/>
        <w:szCs w:val="20"/>
      </w:rPr>
      <w:t xml:space="preserve"> Georgia Tech Research Corporation and U.S. Department of Energy</w:t>
    </w:r>
    <w:r>
      <w:rPr>
        <w:sz w:val="20"/>
        <w:szCs w:val="20"/>
      </w:rPr>
      <w:tab/>
    </w:r>
    <w:r w:rsidR="00DA7542">
      <w:rPr>
        <w:sz w:val="20"/>
        <w:szCs w:val="20"/>
      </w:rPr>
      <w:tab/>
    </w:r>
    <w:r w:rsidRPr="008A1FD6">
      <w:rPr>
        <w:sz w:val="20"/>
        <w:szCs w:val="20"/>
      </w:rPr>
      <w:t xml:space="preserve">Page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6164F3">
      <w:rPr>
        <w:noProof/>
        <w:sz w:val="20"/>
        <w:szCs w:val="20"/>
      </w:rPr>
      <w:t>2</w:t>
    </w:r>
    <w:r w:rsidRPr="008A1FD6">
      <w:rPr>
        <w:sz w:val="20"/>
        <w:szCs w:val="20"/>
      </w:rPr>
      <w:fldChar w:fldCharType="end"/>
    </w:r>
    <w:r w:rsidRPr="008A1FD6">
      <w:rPr>
        <w:sz w:val="20"/>
        <w:szCs w:val="20"/>
      </w:rPr>
      <w:t xml:space="preserve"> of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6164F3">
      <w:rPr>
        <w:noProof/>
        <w:sz w:val="20"/>
        <w:szCs w:val="20"/>
      </w:rPr>
      <w:t>2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7654" w:rsidRDefault="00587654" w:rsidP="002F5883">
      <w:pPr>
        <w:spacing w:after="0"/>
      </w:pPr>
      <w:r>
        <w:separator/>
      </w:r>
    </w:p>
  </w:footnote>
  <w:footnote w:type="continuationSeparator" w:id="0">
    <w:p w:rsidR="00587654" w:rsidRDefault="00587654" w:rsidP="002F588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5883" w:rsidRPr="002F5883" w:rsidRDefault="00790BCF" w:rsidP="002F5883">
    <w:pPr>
      <w:pStyle w:val="Header"/>
      <w:jc w:val="center"/>
    </w:pPr>
    <w:r>
      <w:rPr>
        <w:noProof/>
      </w:rPr>
      <w:drawing>
        <wp:inline distT="0" distB="0" distL="0" distR="0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ABD"/>
    <w:rsid w:val="001A6A42"/>
    <w:rsid w:val="001E40D7"/>
    <w:rsid w:val="002F5883"/>
    <w:rsid w:val="00371731"/>
    <w:rsid w:val="003B111D"/>
    <w:rsid w:val="003C73DF"/>
    <w:rsid w:val="00525763"/>
    <w:rsid w:val="00563F22"/>
    <w:rsid w:val="00587654"/>
    <w:rsid w:val="00607DFA"/>
    <w:rsid w:val="006164F3"/>
    <w:rsid w:val="00756ABD"/>
    <w:rsid w:val="00790BCF"/>
    <w:rsid w:val="007F637B"/>
    <w:rsid w:val="008012A3"/>
    <w:rsid w:val="009279C7"/>
    <w:rsid w:val="00944F1D"/>
    <w:rsid w:val="00A6604A"/>
    <w:rsid w:val="00B36B33"/>
    <w:rsid w:val="00DA7542"/>
    <w:rsid w:val="00F8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071785-3CB8-43ED-B1ED-E0EA39BB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79C7"/>
    <w:pPr>
      <w:spacing w:after="120" w:line="240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  <w:spacing w:after="0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DA7542"/>
    <w:pPr>
      <w:spacing w:after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542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1E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eatherunderground.com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U.S. Department of Energy</dc:creator>
  <cp:keywords/>
  <dc:description/>
  <cp:lastModifiedBy>Ridah Sabouni</cp:lastModifiedBy>
  <cp:revision>5</cp:revision>
  <cp:lastPrinted>2017-02-09T21:00:00Z</cp:lastPrinted>
  <dcterms:created xsi:type="dcterms:W3CDTF">2017-02-01T18:54:00Z</dcterms:created>
  <dcterms:modified xsi:type="dcterms:W3CDTF">2017-02-09T21:00:00Z</dcterms:modified>
</cp:coreProperties>
</file>