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9DE" w:rsidRDefault="005939DE">
      <w:pPr>
        <w:pStyle w:val="Corpsdetexte"/>
        <w:spacing w:before="7"/>
        <w:rPr>
          <w:rFonts w:ascii="Times New Roman"/>
          <w:sz w:val="10"/>
        </w:rPr>
      </w:pPr>
    </w:p>
    <w:p w:rsidR="005939DE" w:rsidRPr="005247CD" w:rsidRDefault="001C345A">
      <w:pPr>
        <w:spacing w:before="27"/>
        <w:ind w:left="3510"/>
        <w:rPr>
          <w:sz w:val="36"/>
          <w:lang w:val="fr-CA"/>
        </w:rPr>
      </w:pPr>
      <w:r w:rsidRPr="005247CD">
        <w:rPr>
          <w:sz w:val="36"/>
          <w:lang w:val="fr-CA"/>
        </w:rPr>
        <w:t>Type</w:t>
      </w:r>
      <w:r w:rsidR="006E05B0" w:rsidRPr="005247CD">
        <w:rPr>
          <w:sz w:val="36"/>
          <w:lang w:val="fr-CA"/>
        </w:rPr>
        <w:t xml:space="preserve">s de données </w:t>
      </w:r>
      <w:r w:rsidR="00ED7575" w:rsidRPr="005247CD">
        <w:rPr>
          <w:sz w:val="36"/>
          <w:lang w:val="fr-CA"/>
        </w:rPr>
        <w:t>sur l</w:t>
      </w:r>
      <w:r w:rsidR="006E05B0" w:rsidRPr="005247CD">
        <w:rPr>
          <w:sz w:val="36"/>
          <w:lang w:val="fr-CA"/>
        </w:rPr>
        <w:t>a gestion de l’énergie (exe</w:t>
      </w:r>
      <w:r w:rsidRPr="005247CD">
        <w:rPr>
          <w:sz w:val="36"/>
          <w:lang w:val="fr-CA"/>
        </w:rPr>
        <w:t>mples)</w:t>
      </w:r>
    </w:p>
    <w:p w:rsidR="005939DE" w:rsidRPr="006E05B0" w:rsidRDefault="005939DE">
      <w:pPr>
        <w:pStyle w:val="Corpsdetexte"/>
        <w:spacing w:before="11"/>
        <w:rPr>
          <w:rFonts w:ascii="Calibri Light"/>
          <w:sz w:val="21"/>
          <w:lang w:val="fr-CA"/>
        </w:rPr>
      </w:pPr>
    </w:p>
    <w:tbl>
      <w:tblPr>
        <w:tblStyle w:val="TableNormal1"/>
        <w:tblW w:w="13503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4772"/>
        <w:gridCol w:w="2609"/>
        <w:gridCol w:w="2521"/>
        <w:gridCol w:w="2165"/>
      </w:tblGrid>
      <w:tr w:rsidR="005939DE" w:rsidRPr="004F08A3" w:rsidTr="00FA607F">
        <w:trPr>
          <w:trHeight w:val="520"/>
        </w:trPr>
        <w:tc>
          <w:tcPr>
            <w:tcW w:w="1436" w:type="dxa"/>
          </w:tcPr>
          <w:p w:rsidR="005939DE" w:rsidRPr="004C18D5" w:rsidRDefault="006E05B0" w:rsidP="006E05B0">
            <w:pPr>
              <w:pStyle w:val="TableParagraph"/>
              <w:spacing w:before="110"/>
              <w:rPr>
                <w:rFonts w:ascii="Arial" w:hAnsi="Arial" w:cs="Arial"/>
                <w:b/>
                <w:sz w:val="20"/>
                <w:lang w:val="fr-CA"/>
              </w:rPr>
            </w:pPr>
            <w:r w:rsidRPr="004C18D5">
              <w:rPr>
                <w:rFonts w:ascii="Arial" w:hAnsi="Arial" w:cs="Arial"/>
                <w:b/>
                <w:sz w:val="20"/>
                <w:lang w:val="fr-CA"/>
              </w:rPr>
              <w:t>Type de données</w:t>
            </w:r>
          </w:p>
        </w:tc>
        <w:tc>
          <w:tcPr>
            <w:tcW w:w="4772" w:type="dxa"/>
          </w:tcPr>
          <w:p w:rsidR="006E05B0" w:rsidRPr="004C18D5" w:rsidRDefault="001C345A" w:rsidP="005F7F1D">
            <w:pPr>
              <w:pStyle w:val="TableParagraph"/>
              <w:spacing w:before="110"/>
              <w:rPr>
                <w:rFonts w:ascii="Arial" w:hAnsi="Arial" w:cs="Arial"/>
                <w:b/>
                <w:sz w:val="20"/>
                <w:lang w:val="fr-CA"/>
              </w:rPr>
            </w:pPr>
            <w:r w:rsidRPr="004C18D5">
              <w:rPr>
                <w:rFonts w:ascii="Arial" w:hAnsi="Arial" w:cs="Arial"/>
                <w:b/>
                <w:sz w:val="20"/>
              </w:rPr>
              <w:t>Description</w:t>
            </w:r>
            <w:r w:rsidR="004F08A3" w:rsidRPr="004C18D5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2609" w:type="dxa"/>
          </w:tcPr>
          <w:p w:rsidR="005939DE" w:rsidRPr="004C18D5" w:rsidRDefault="006E05B0" w:rsidP="006E05B0">
            <w:pPr>
              <w:pStyle w:val="TableParagraph"/>
              <w:spacing w:before="110"/>
              <w:ind w:left="100"/>
              <w:rPr>
                <w:rFonts w:ascii="Arial" w:hAnsi="Arial" w:cs="Arial"/>
                <w:b/>
                <w:sz w:val="20"/>
                <w:lang w:val="fr-CA"/>
              </w:rPr>
            </w:pPr>
            <w:r w:rsidRPr="004C18D5">
              <w:rPr>
                <w:rFonts w:ascii="Arial" w:hAnsi="Arial" w:cs="Arial"/>
                <w:b/>
                <w:sz w:val="20"/>
                <w:lang w:val="fr-CA"/>
              </w:rPr>
              <w:t>Fréquence de la collecte</w:t>
            </w:r>
          </w:p>
        </w:tc>
        <w:tc>
          <w:tcPr>
            <w:tcW w:w="2521" w:type="dxa"/>
          </w:tcPr>
          <w:p w:rsidR="005939DE" w:rsidRPr="004C18D5" w:rsidRDefault="001C345A" w:rsidP="006E05B0">
            <w:pPr>
              <w:pStyle w:val="TableParagraph"/>
              <w:ind w:left="103" w:right="331"/>
              <w:rPr>
                <w:rFonts w:ascii="Arial" w:hAnsi="Arial" w:cs="Arial"/>
                <w:b/>
                <w:sz w:val="20"/>
                <w:lang w:val="fr-CA"/>
              </w:rPr>
            </w:pPr>
            <w:r w:rsidRPr="004C18D5">
              <w:rPr>
                <w:rFonts w:ascii="Arial" w:hAnsi="Arial" w:cs="Arial"/>
                <w:b/>
                <w:sz w:val="20"/>
                <w:lang w:val="fr-CA"/>
              </w:rPr>
              <w:t xml:space="preserve">Sources </w:t>
            </w:r>
            <w:r w:rsidR="006E05B0" w:rsidRPr="004C18D5">
              <w:rPr>
                <w:rFonts w:ascii="Arial" w:hAnsi="Arial" w:cs="Arial"/>
                <w:b/>
                <w:sz w:val="20"/>
                <w:lang w:val="fr-CA"/>
              </w:rPr>
              <w:t>de données prévues</w:t>
            </w:r>
          </w:p>
        </w:tc>
        <w:tc>
          <w:tcPr>
            <w:tcW w:w="2165" w:type="dxa"/>
          </w:tcPr>
          <w:p w:rsidR="005939DE" w:rsidRPr="004C18D5" w:rsidRDefault="00F2780A" w:rsidP="00F2780A">
            <w:pPr>
              <w:pStyle w:val="TableParagraph"/>
              <w:ind w:left="103" w:right="402"/>
              <w:rPr>
                <w:rFonts w:ascii="Arial" w:hAnsi="Arial" w:cs="Arial"/>
                <w:b/>
                <w:sz w:val="20"/>
                <w:lang w:val="fr-CA"/>
              </w:rPr>
            </w:pPr>
            <w:r w:rsidRPr="004C18D5">
              <w:rPr>
                <w:rFonts w:ascii="Arial" w:hAnsi="Arial" w:cs="Arial"/>
                <w:b/>
                <w:sz w:val="20"/>
                <w:lang w:val="fr-CA"/>
              </w:rPr>
              <w:t xml:space="preserve">Lieu </w:t>
            </w:r>
            <w:r w:rsidR="004C16C4" w:rsidRPr="004C18D5">
              <w:rPr>
                <w:rFonts w:ascii="Arial" w:hAnsi="Arial" w:cs="Arial"/>
                <w:b/>
                <w:sz w:val="20"/>
                <w:lang w:val="fr-CA"/>
              </w:rPr>
              <w:t xml:space="preserve">de stockage des </w:t>
            </w:r>
            <w:r w:rsidR="006E05B0" w:rsidRPr="004C18D5">
              <w:rPr>
                <w:rFonts w:ascii="Arial" w:hAnsi="Arial" w:cs="Arial"/>
                <w:b/>
                <w:sz w:val="20"/>
                <w:lang w:val="fr-CA"/>
              </w:rPr>
              <w:t xml:space="preserve">données </w:t>
            </w:r>
          </w:p>
        </w:tc>
      </w:tr>
      <w:tr w:rsidR="005939DE" w:rsidRPr="004F08A3" w:rsidTr="00FA607F">
        <w:trPr>
          <w:trHeight w:val="1920"/>
        </w:trPr>
        <w:tc>
          <w:tcPr>
            <w:tcW w:w="1436" w:type="dxa"/>
          </w:tcPr>
          <w:p w:rsidR="005939DE" w:rsidRPr="005C4CE2" w:rsidRDefault="00BA29D4" w:rsidP="00BA29D4">
            <w:pPr>
              <w:pStyle w:val="TableParagraph"/>
              <w:spacing w:line="265" w:lineRule="exact"/>
              <w:rPr>
                <w:lang w:val="fr-CA"/>
              </w:rPr>
            </w:pPr>
            <w:r w:rsidRPr="005C4CE2">
              <w:rPr>
                <w:lang w:val="fr-CA"/>
              </w:rPr>
              <w:t>F</w:t>
            </w:r>
            <w:r w:rsidR="005C4CE2" w:rsidRPr="005C4CE2">
              <w:rPr>
                <w:lang w:val="fr-CA"/>
              </w:rPr>
              <w:t>ournies sur les f</w:t>
            </w:r>
            <w:r w:rsidRPr="005C4CE2">
              <w:rPr>
                <w:lang w:val="fr-CA"/>
              </w:rPr>
              <w:t>actures de services publics</w:t>
            </w:r>
          </w:p>
        </w:tc>
        <w:tc>
          <w:tcPr>
            <w:tcW w:w="4772" w:type="dxa"/>
          </w:tcPr>
          <w:p w:rsidR="005939DE" w:rsidRPr="00905738" w:rsidRDefault="00BA29D4" w:rsidP="00D910A8">
            <w:pPr>
              <w:pStyle w:val="TableParagraph"/>
              <w:ind w:right="127"/>
              <w:rPr>
                <w:lang w:val="fr-CA"/>
              </w:rPr>
            </w:pPr>
            <w:r w:rsidRPr="00BA29D4">
              <w:rPr>
                <w:lang w:val="fr-CA"/>
              </w:rPr>
              <w:t xml:space="preserve">Factures de services publics </w:t>
            </w:r>
            <w:r w:rsidR="00D910A8">
              <w:rPr>
                <w:lang w:val="fr-CA"/>
              </w:rPr>
              <w:t>indiqua</w:t>
            </w:r>
            <w:r w:rsidRPr="00BA29D4">
              <w:rPr>
                <w:lang w:val="fr-CA"/>
              </w:rPr>
              <w:t>nt la quantité consommé</w:t>
            </w:r>
            <w:r w:rsidR="007625E1">
              <w:rPr>
                <w:lang w:val="fr-CA"/>
              </w:rPr>
              <w:t>e</w:t>
            </w:r>
            <w:r w:rsidRPr="00BA29D4">
              <w:rPr>
                <w:lang w:val="fr-CA"/>
              </w:rPr>
              <w:t xml:space="preserve"> ou achetée, la période de facturation ou de livraison, la demande, ainsi que des facteurs connexes tels </w:t>
            </w:r>
            <w:r w:rsidRPr="004F08A3">
              <w:rPr>
                <w:lang w:val="fr-CA"/>
              </w:rPr>
              <w:t>que</w:t>
            </w:r>
            <w:r w:rsidR="005357C0" w:rsidRPr="004F08A3">
              <w:rPr>
                <w:lang w:val="fr-CA"/>
              </w:rPr>
              <w:t xml:space="preserve"> le facteur de puissance,</w:t>
            </w:r>
            <w:r w:rsidR="00966576" w:rsidRPr="004F08A3">
              <w:rPr>
                <w:lang w:val="fr-CA"/>
              </w:rPr>
              <w:t xml:space="preserve"> les</w:t>
            </w:r>
            <w:r w:rsidR="00D910A8" w:rsidRPr="004F08A3">
              <w:rPr>
                <w:lang w:val="fr-CA"/>
              </w:rPr>
              <w:t xml:space="preserve"> pénuries de carburant </w:t>
            </w:r>
            <w:r w:rsidR="00966576" w:rsidRPr="004F08A3">
              <w:rPr>
                <w:lang w:val="fr-CA"/>
              </w:rPr>
              <w:t xml:space="preserve">ainsi que les frais issus de la lecture de compteur ou portés au compte. </w:t>
            </w:r>
            <w:r w:rsidR="004C16C4" w:rsidRPr="004F08A3">
              <w:rPr>
                <w:b/>
                <w:lang w:val="fr-CA"/>
              </w:rPr>
              <w:t>NOTA</w:t>
            </w:r>
            <w:r w:rsidR="001C030C">
              <w:rPr>
                <w:b/>
                <w:lang w:val="fr-CA"/>
              </w:rPr>
              <w:t> </w:t>
            </w:r>
            <w:r w:rsidR="001C345A" w:rsidRPr="004F08A3">
              <w:rPr>
                <w:b/>
                <w:lang w:val="fr-CA"/>
              </w:rPr>
              <w:t xml:space="preserve">: </w:t>
            </w:r>
            <w:r w:rsidR="0045330E">
              <w:rPr>
                <w:b/>
                <w:lang w:val="fr-CA"/>
              </w:rPr>
              <w:t>a</w:t>
            </w:r>
            <w:r w:rsidR="004C16C4" w:rsidRPr="004F08A3">
              <w:rPr>
                <w:lang w:val="fr-CA"/>
              </w:rPr>
              <w:t>ttention à la consommation</w:t>
            </w:r>
            <w:r w:rsidR="004C16C4" w:rsidRPr="004C16C4">
              <w:rPr>
                <w:lang w:val="fr-CA"/>
              </w:rPr>
              <w:t xml:space="preserve"> «</w:t>
            </w:r>
            <w:r w:rsidR="005F4A22">
              <w:rPr>
                <w:lang w:val="fr-CA"/>
              </w:rPr>
              <w:t> </w:t>
            </w:r>
            <w:r w:rsidR="004C16C4" w:rsidRPr="004C16C4">
              <w:rPr>
                <w:lang w:val="fr-CA"/>
              </w:rPr>
              <w:t>estim</w:t>
            </w:r>
            <w:r w:rsidR="005F4A22">
              <w:rPr>
                <w:lang w:val="fr-CA"/>
              </w:rPr>
              <w:t>ative </w:t>
            </w:r>
            <w:r w:rsidR="004C16C4" w:rsidRPr="004C16C4">
              <w:rPr>
                <w:lang w:val="fr-CA"/>
              </w:rPr>
              <w:t>», car les seuls</w:t>
            </w:r>
            <w:r>
              <w:rPr>
                <w:lang w:val="fr-CA"/>
              </w:rPr>
              <w:t xml:space="preserve"> les</w:t>
            </w:r>
            <w:r w:rsidR="004C16C4" w:rsidRPr="004C16C4">
              <w:rPr>
                <w:lang w:val="fr-CA"/>
              </w:rPr>
              <w:t xml:space="preserve"> taux de </w:t>
            </w:r>
            <w:r w:rsidR="004C16C4">
              <w:rPr>
                <w:lang w:val="fr-CA"/>
              </w:rPr>
              <w:t>cons</w:t>
            </w:r>
            <w:r w:rsidR="005F4A22">
              <w:rPr>
                <w:lang w:val="fr-CA"/>
              </w:rPr>
              <w:t>o</w:t>
            </w:r>
            <w:r w:rsidR="004C16C4" w:rsidRPr="004C16C4">
              <w:rPr>
                <w:lang w:val="fr-CA"/>
              </w:rPr>
              <w:t>mmation</w:t>
            </w:r>
            <w:r w:rsidR="00966576">
              <w:rPr>
                <w:lang w:val="fr-CA"/>
              </w:rPr>
              <w:t xml:space="preserve"> indiqués par </w:t>
            </w:r>
            <w:r w:rsidR="004C16C4" w:rsidRPr="004C16C4">
              <w:rPr>
                <w:lang w:val="fr-CA"/>
              </w:rPr>
              <w:t>la lecture des compteur</w:t>
            </w:r>
            <w:r w:rsidR="004C16C4">
              <w:rPr>
                <w:lang w:val="fr-CA"/>
              </w:rPr>
              <w:t>s</w:t>
            </w:r>
            <w:r>
              <w:rPr>
                <w:lang w:val="fr-CA"/>
              </w:rPr>
              <w:t xml:space="preserve"> sont exacts</w:t>
            </w:r>
            <w:r w:rsidR="004C16C4">
              <w:rPr>
                <w:lang w:val="fr-CA"/>
              </w:rPr>
              <w:t xml:space="preserve">. </w:t>
            </w:r>
            <w:r w:rsidR="001C345A" w:rsidRPr="004C16C4">
              <w:rPr>
                <w:lang w:val="fr-CA"/>
              </w:rPr>
              <w:t xml:space="preserve"> </w:t>
            </w:r>
          </w:p>
        </w:tc>
        <w:tc>
          <w:tcPr>
            <w:tcW w:w="2609" w:type="dxa"/>
          </w:tcPr>
          <w:p w:rsidR="005939DE" w:rsidRPr="00BA29D4" w:rsidRDefault="005939DE" w:rsidP="00BA29D4">
            <w:pPr>
              <w:pStyle w:val="TableParagraph"/>
              <w:ind w:left="100" w:right="188"/>
              <w:rPr>
                <w:lang w:val="fr-CA"/>
              </w:rPr>
            </w:pPr>
          </w:p>
        </w:tc>
        <w:tc>
          <w:tcPr>
            <w:tcW w:w="2521" w:type="dxa"/>
          </w:tcPr>
          <w:p w:rsidR="005939DE" w:rsidRPr="00A2623C" w:rsidRDefault="00E561F1" w:rsidP="005C4CE2">
            <w:pPr>
              <w:pStyle w:val="TableParagraph"/>
              <w:ind w:left="103" w:right="197"/>
              <w:rPr>
                <w:lang w:val="fr-CA"/>
              </w:rPr>
            </w:pPr>
            <w:r>
              <w:rPr>
                <w:lang w:val="fr-CA"/>
              </w:rPr>
              <w:t>F</w:t>
            </w:r>
            <w:r w:rsidR="00BA29D4" w:rsidRPr="00A2623C">
              <w:rPr>
                <w:lang w:val="fr-CA"/>
              </w:rPr>
              <w:t xml:space="preserve">actures </w:t>
            </w:r>
            <w:r w:rsidR="005C4CE2" w:rsidRPr="00A2623C">
              <w:rPr>
                <w:lang w:val="fr-CA"/>
              </w:rPr>
              <w:t>de</w:t>
            </w:r>
            <w:r w:rsidR="005C4CE2">
              <w:rPr>
                <w:lang w:val="fr-CA"/>
              </w:rPr>
              <w:t>s</w:t>
            </w:r>
            <w:r w:rsidR="005C4CE2" w:rsidRPr="00A2623C">
              <w:rPr>
                <w:lang w:val="fr-CA"/>
              </w:rPr>
              <w:t xml:space="preserve"> services publics </w:t>
            </w:r>
            <w:r w:rsidR="00C11B52">
              <w:rPr>
                <w:lang w:val="fr-CA"/>
              </w:rPr>
              <w:t xml:space="preserve">et </w:t>
            </w:r>
            <w:r w:rsidR="00BA29D4" w:rsidRPr="00A2623C">
              <w:rPr>
                <w:lang w:val="fr-CA"/>
              </w:rPr>
              <w:t>historiques de</w:t>
            </w:r>
            <w:r>
              <w:rPr>
                <w:lang w:val="fr-CA"/>
              </w:rPr>
              <w:t xml:space="preserve"> facturation </w:t>
            </w:r>
          </w:p>
        </w:tc>
        <w:tc>
          <w:tcPr>
            <w:tcW w:w="2165" w:type="dxa"/>
          </w:tcPr>
          <w:p w:rsidR="005939DE" w:rsidRPr="00BA29D4" w:rsidRDefault="006902F2" w:rsidP="00D910A8">
            <w:pPr>
              <w:pStyle w:val="TableParagraph"/>
              <w:ind w:left="103" w:right="402"/>
              <w:rPr>
                <w:lang w:val="fr-CA"/>
              </w:rPr>
            </w:pPr>
            <w:r w:rsidRPr="006902F2">
              <w:rPr>
                <w:lang w:val="fr-CA"/>
              </w:rPr>
              <w:t>Habituellement : dossier</w:t>
            </w:r>
            <w:r w:rsidR="00416FCC">
              <w:rPr>
                <w:lang w:val="fr-CA"/>
              </w:rPr>
              <w:t>s</w:t>
            </w:r>
            <w:r w:rsidRPr="006902F2">
              <w:rPr>
                <w:lang w:val="fr-CA"/>
              </w:rPr>
              <w:t xml:space="preserve"> du service des achats</w:t>
            </w:r>
            <w:r w:rsidR="005C4CE2">
              <w:rPr>
                <w:lang w:val="fr-CA"/>
              </w:rPr>
              <w:t xml:space="preserve"> ou </w:t>
            </w:r>
            <w:r w:rsidR="00BA29D4" w:rsidRPr="00BA29D4">
              <w:rPr>
                <w:lang w:val="fr-CA"/>
              </w:rPr>
              <w:t>du gestionnaire</w:t>
            </w:r>
            <w:r w:rsidR="00A2623C">
              <w:rPr>
                <w:lang w:val="fr-CA"/>
              </w:rPr>
              <w:t xml:space="preserve"> </w:t>
            </w:r>
            <w:r w:rsidR="00416FCC" w:rsidRPr="006902F2">
              <w:rPr>
                <w:lang w:val="fr-CA"/>
              </w:rPr>
              <w:t>des immeubles</w:t>
            </w:r>
            <w:r w:rsidR="00416FCC">
              <w:rPr>
                <w:lang w:val="fr-CA"/>
              </w:rPr>
              <w:t>/des</w:t>
            </w:r>
            <w:r w:rsidR="00A2623C">
              <w:rPr>
                <w:lang w:val="fr-CA"/>
              </w:rPr>
              <w:t xml:space="preserve"> bureau</w:t>
            </w:r>
            <w:r w:rsidR="00416FCC">
              <w:rPr>
                <w:lang w:val="fr-CA"/>
              </w:rPr>
              <w:t>x</w:t>
            </w:r>
          </w:p>
        </w:tc>
      </w:tr>
      <w:tr w:rsidR="005939DE" w:rsidRPr="004F08A3" w:rsidTr="00FA607F">
        <w:trPr>
          <w:trHeight w:val="2200"/>
        </w:trPr>
        <w:tc>
          <w:tcPr>
            <w:tcW w:w="1436" w:type="dxa"/>
          </w:tcPr>
          <w:p w:rsidR="005939DE" w:rsidRPr="00552D14" w:rsidRDefault="00552D14" w:rsidP="005C4CE2">
            <w:pPr>
              <w:pStyle w:val="TableParagraph"/>
              <w:ind w:right="147"/>
              <w:rPr>
                <w:lang w:val="fr-CA"/>
              </w:rPr>
            </w:pPr>
            <w:r w:rsidRPr="00552D14">
              <w:rPr>
                <w:lang w:val="fr-CA"/>
              </w:rPr>
              <w:t xml:space="preserve">Données d’intervalle </w:t>
            </w:r>
            <w:r w:rsidR="005C4CE2">
              <w:rPr>
                <w:lang w:val="fr-CA"/>
              </w:rPr>
              <w:t>fourni</w:t>
            </w:r>
            <w:r w:rsidR="00416FCC">
              <w:rPr>
                <w:lang w:val="fr-CA"/>
              </w:rPr>
              <w:t>e</w:t>
            </w:r>
            <w:r w:rsidR="005C4CE2">
              <w:rPr>
                <w:lang w:val="fr-CA"/>
              </w:rPr>
              <w:t>s par l</w:t>
            </w:r>
            <w:r>
              <w:rPr>
                <w:lang w:val="fr-CA"/>
              </w:rPr>
              <w:t>es</w:t>
            </w:r>
            <w:r w:rsidRPr="00552D14">
              <w:rPr>
                <w:lang w:val="fr-CA"/>
              </w:rPr>
              <w:t xml:space="preserve"> services publics</w:t>
            </w:r>
          </w:p>
        </w:tc>
        <w:tc>
          <w:tcPr>
            <w:tcW w:w="4772" w:type="dxa"/>
          </w:tcPr>
          <w:p w:rsidR="005939DE" w:rsidRPr="005C4CE2" w:rsidRDefault="004F10A1" w:rsidP="00D910A8">
            <w:pPr>
              <w:pStyle w:val="TableParagraph"/>
              <w:ind w:right="104"/>
              <w:rPr>
                <w:lang w:val="fr-CA"/>
              </w:rPr>
            </w:pPr>
            <w:r w:rsidRPr="005C4CE2">
              <w:rPr>
                <w:lang w:val="fr-CA"/>
              </w:rPr>
              <w:t>Les données</w:t>
            </w:r>
            <w:r w:rsidR="005C4CE2" w:rsidRPr="005C4CE2">
              <w:rPr>
                <w:lang w:val="fr-CA"/>
              </w:rPr>
              <w:t xml:space="preserve"> énergétiques </w:t>
            </w:r>
            <w:r w:rsidR="00416FCC">
              <w:rPr>
                <w:lang w:val="fr-CA"/>
              </w:rPr>
              <w:t>d’</w:t>
            </w:r>
            <w:r w:rsidR="005C4CE2" w:rsidRPr="005C4CE2">
              <w:rPr>
                <w:lang w:val="fr-CA"/>
              </w:rPr>
              <w:t xml:space="preserve">intervalle </w:t>
            </w:r>
            <w:r>
              <w:rPr>
                <w:lang w:val="fr-CA"/>
              </w:rPr>
              <w:t xml:space="preserve">sont des renseignements précis sur </w:t>
            </w:r>
            <w:r w:rsidR="00966576" w:rsidRPr="00966576">
              <w:rPr>
                <w:lang w:val="fr-CA"/>
              </w:rPr>
              <w:t>la con</w:t>
            </w:r>
            <w:r w:rsidR="00966576">
              <w:rPr>
                <w:lang w:val="fr-CA"/>
              </w:rPr>
              <w:t>so</w:t>
            </w:r>
            <w:r w:rsidR="00966576" w:rsidRPr="00966576">
              <w:rPr>
                <w:lang w:val="fr-CA"/>
              </w:rPr>
              <w:t xml:space="preserve">mmation </w:t>
            </w:r>
            <w:r w:rsidR="00416FCC">
              <w:rPr>
                <w:lang w:val="fr-CA"/>
              </w:rPr>
              <w:t>é</w:t>
            </w:r>
            <w:r w:rsidR="00966576" w:rsidRPr="00966576">
              <w:rPr>
                <w:lang w:val="fr-CA"/>
              </w:rPr>
              <w:t>nerg</w:t>
            </w:r>
            <w:r w:rsidR="00416FCC">
              <w:rPr>
                <w:lang w:val="fr-CA"/>
              </w:rPr>
              <w:t>étique</w:t>
            </w:r>
            <w:r w:rsidR="00966576" w:rsidRPr="00966576">
              <w:rPr>
                <w:lang w:val="fr-CA"/>
              </w:rPr>
              <w:t>, les lectures de compte</w:t>
            </w:r>
            <w:r w:rsidR="00966576">
              <w:rPr>
                <w:lang w:val="fr-CA"/>
              </w:rPr>
              <w:t>u</w:t>
            </w:r>
            <w:r w:rsidR="00966576" w:rsidRPr="00966576">
              <w:rPr>
                <w:lang w:val="fr-CA"/>
              </w:rPr>
              <w:t>r étant fait</w:t>
            </w:r>
            <w:r w:rsidR="00206B33">
              <w:rPr>
                <w:lang w:val="fr-CA"/>
              </w:rPr>
              <w:t>e</w:t>
            </w:r>
            <w:r w:rsidR="00966576" w:rsidRPr="00966576">
              <w:rPr>
                <w:lang w:val="fr-CA"/>
              </w:rPr>
              <w:t>s à intervalle</w:t>
            </w:r>
            <w:r w:rsidR="00966576">
              <w:rPr>
                <w:lang w:val="fr-CA"/>
              </w:rPr>
              <w:t>s</w:t>
            </w:r>
            <w:r w:rsidR="00966576" w:rsidRPr="00966576">
              <w:rPr>
                <w:lang w:val="fr-CA"/>
              </w:rPr>
              <w:t xml:space="preserve"> réguliers </w:t>
            </w:r>
            <w:r w:rsidR="00416FCC">
              <w:rPr>
                <w:lang w:val="fr-CA"/>
              </w:rPr>
              <w:t>chaque jour</w:t>
            </w:r>
            <w:r w:rsidR="00966576">
              <w:rPr>
                <w:lang w:val="fr-CA"/>
              </w:rPr>
              <w:t xml:space="preserve">, </w:t>
            </w:r>
            <w:r w:rsidR="00966576" w:rsidRPr="00966576">
              <w:rPr>
                <w:lang w:val="fr-CA"/>
              </w:rPr>
              <w:t>tout au long de la journée.</w:t>
            </w:r>
            <w:r w:rsidR="00966576">
              <w:rPr>
                <w:lang w:val="fr-CA"/>
              </w:rPr>
              <w:t xml:space="preserve"> L</w:t>
            </w:r>
            <w:r w:rsidR="004C18D5">
              <w:rPr>
                <w:lang w:val="fr-CA"/>
              </w:rPr>
              <w:t>es</w:t>
            </w:r>
            <w:r w:rsidR="00966576">
              <w:rPr>
                <w:lang w:val="fr-CA"/>
              </w:rPr>
              <w:t xml:space="preserve"> données de consommation </w:t>
            </w:r>
            <w:r w:rsidR="00D910A8">
              <w:rPr>
                <w:lang w:val="fr-CA"/>
              </w:rPr>
              <w:t xml:space="preserve">consignées pour </w:t>
            </w:r>
            <w:r w:rsidR="005C4CE2">
              <w:rPr>
                <w:lang w:val="fr-CA"/>
              </w:rPr>
              <w:t>des p</w:t>
            </w:r>
            <w:r w:rsidR="00966576">
              <w:rPr>
                <w:lang w:val="fr-CA"/>
              </w:rPr>
              <w:t>ériode</w:t>
            </w:r>
            <w:r w:rsidR="005C4CE2">
              <w:rPr>
                <w:lang w:val="fr-CA"/>
              </w:rPr>
              <w:t>s précises donne</w:t>
            </w:r>
            <w:r w:rsidR="00D910A8">
              <w:rPr>
                <w:lang w:val="fr-CA"/>
              </w:rPr>
              <w:t xml:space="preserve">nt </w:t>
            </w:r>
            <w:r w:rsidR="005C4CE2">
              <w:rPr>
                <w:lang w:val="fr-CA"/>
              </w:rPr>
              <w:t>une idée des variations d</w:t>
            </w:r>
            <w:r w:rsidR="00416FCC">
              <w:rPr>
                <w:lang w:val="fr-CA"/>
              </w:rPr>
              <w:t>e</w:t>
            </w:r>
            <w:r w:rsidR="005C4CE2">
              <w:rPr>
                <w:lang w:val="fr-CA"/>
              </w:rPr>
              <w:t xml:space="preserve"> la demande en énergie</w:t>
            </w:r>
            <w:r w:rsidR="00206B33">
              <w:rPr>
                <w:lang w:val="fr-CA"/>
              </w:rPr>
              <w:t xml:space="preserve"> </w:t>
            </w:r>
            <w:r w:rsidR="00416FCC">
              <w:rPr>
                <w:lang w:val="fr-CA"/>
              </w:rPr>
              <w:t xml:space="preserve">tout au long de </w:t>
            </w:r>
            <w:r w:rsidR="005C4CE2">
              <w:rPr>
                <w:lang w:val="fr-CA"/>
              </w:rPr>
              <w:t xml:space="preserve">l’année. </w:t>
            </w:r>
            <w:r w:rsidR="005C4CE2" w:rsidRPr="005C4CE2">
              <w:rPr>
                <w:lang w:val="fr-CA"/>
              </w:rPr>
              <w:t xml:space="preserve">Les compteurs d’électricité et de gaz naturel </w:t>
            </w:r>
            <w:r w:rsidR="005C4CE2">
              <w:rPr>
                <w:lang w:val="fr-CA"/>
              </w:rPr>
              <w:t>peuvent enregistrer des données à des fins de facturation, en fonction des</w:t>
            </w:r>
            <w:r w:rsidR="001223AF">
              <w:rPr>
                <w:lang w:val="fr-CA"/>
              </w:rPr>
              <w:t xml:space="preserve"> périodes de</w:t>
            </w:r>
            <w:r w:rsidR="005C4CE2">
              <w:rPr>
                <w:lang w:val="fr-CA"/>
              </w:rPr>
              <w:t xml:space="preserve"> </w:t>
            </w:r>
            <w:r w:rsidR="007F3A15" w:rsidRPr="001223AF">
              <w:rPr>
                <w:lang w:val="fr-CA"/>
              </w:rPr>
              <w:t>«</w:t>
            </w:r>
            <w:r w:rsidR="001223AF">
              <w:rPr>
                <w:lang w:val="fr-CA"/>
              </w:rPr>
              <w:t> </w:t>
            </w:r>
            <w:r w:rsidR="00416FCC">
              <w:rPr>
                <w:lang w:val="fr-CA"/>
              </w:rPr>
              <w:t>pic de demande »</w:t>
            </w:r>
            <w:r w:rsidR="001C345A" w:rsidRPr="001223AF">
              <w:rPr>
                <w:lang w:val="fr-CA"/>
              </w:rPr>
              <w:t>.</w:t>
            </w:r>
          </w:p>
        </w:tc>
        <w:tc>
          <w:tcPr>
            <w:tcW w:w="2609" w:type="dxa"/>
          </w:tcPr>
          <w:p w:rsidR="005939DE" w:rsidRPr="0082495C" w:rsidRDefault="0082495C" w:rsidP="0082495C">
            <w:pPr>
              <w:pStyle w:val="TableParagraph"/>
              <w:ind w:left="100" w:right="275"/>
              <w:rPr>
                <w:lang w:val="fr-CA"/>
              </w:rPr>
            </w:pPr>
            <w:r w:rsidRPr="0082495C">
              <w:rPr>
                <w:lang w:val="fr-CA"/>
              </w:rPr>
              <w:t xml:space="preserve">Données </w:t>
            </w:r>
            <w:r w:rsidR="001C030C">
              <w:rPr>
                <w:lang w:val="fr-CA"/>
              </w:rPr>
              <w:t>recueillies</w:t>
            </w:r>
            <w:r w:rsidR="00416FCC" w:rsidRPr="0082495C">
              <w:rPr>
                <w:lang w:val="fr-CA"/>
              </w:rPr>
              <w:t xml:space="preserve"> continuellement</w:t>
            </w:r>
            <w:r w:rsidRPr="0082495C">
              <w:rPr>
                <w:lang w:val="fr-CA"/>
              </w:rPr>
              <w:t>, mais généralement présentées par période de 12 mois (un an)</w:t>
            </w:r>
          </w:p>
        </w:tc>
        <w:tc>
          <w:tcPr>
            <w:tcW w:w="2521" w:type="dxa"/>
          </w:tcPr>
          <w:p w:rsidR="005939DE" w:rsidRPr="005357C0" w:rsidRDefault="005357C0" w:rsidP="005357C0">
            <w:pPr>
              <w:pStyle w:val="TableParagraph"/>
              <w:ind w:left="103" w:right="104"/>
              <w:rPr>
                <w:lang w:val="fr-CA"/>
              </w:rPr>
            </w:pPr>
            <w:r w:rsidRPr="007D74FD">
              <w:rPr>
                <w:lang w:val="fr-CA"/>
              </w:rPr>
              <w:t>Données fournies sur demande par les services publics</w:t>
            </w:r>
          </w:p>
        </w:tc>
        <w:tc>
          <w:tcPr>
            <w:tcW w:w="2165" w:type="dxa"/>
          </w:tcPr>
          <w:p w:rsidR="005939DE" w:rsidRPr="006902F2" w:rsidRDefault="001C345A" w:rsidP="006902F2">
            <w:pPr>
              <w:pStyle w:val="TableParagraph"/>
              <w:ind w:left="103" w:right="233"/>
              <w:rPr>
                <w:lang w:val="fr-CA"/>
              </w:rPr>
            </w:pPr>
            <w:r w:rsidRPr="006902F2">
              <w:rPr>
                <w:lang w:val="fr-CA"/>
              </w:rPr>
              <w:t>D</w:t>
            </w:r>
            <w:r w:rsidR="006902F2" w:rsidRPr="006902F2">
              <w:rPr>
                <w:lang w:val="fr-CA"/>
              </w:rPr>
              <w:t>onnées conserv</w:t>
            </w:r>
            <w:r w:rsidR="005C4CE2">
              <w:rPr>
                <w:lang w:val="fr-CA"/>
              </w:rPr>
              <w:t>é</w:t>
            </w:r>
            <w:r w:rsidR="006902F2" w:rsidRPr="006902F2">
              <w:rPr>
                <w:lang w:val="fr-CA"/>
              </w:rPr>
              <w:t>es par les services publics</w:t>
            </w:r>
          </w:p>
        </w:tc>
      </w:tr>
      <w:tr w:rsidR="005939DE" w:rsidRPr="004F08A3" w:rsidTr="00FA607F">
        <w:trPr>
          <w:trHeight w:val="1920"/>
        </w:trPr>
        <w:tc>
          <w:tcPr>
            <w:tcW w:w="1436" w:type="dxa"/>
          </w:tcPr>
          <w:p w:rsidR="00552D14" w:rsidRPr="00552D14" w:rsidRDefault="00206B33" w:rsidP="00552D14">
            <w:pPr>
              <w:pStyle w:val="TableParagraph"/>
              <w:ind w:right="165"/>
              <w:rPr>
                <w:lang w:val="fr-CA"/>
              </w:rPr>
            </w:pPr>
            <w:r>
              <w:rPr>
                <w:lang w:val="fr-CA"/>
              </w:rPr>
              <w:t>Prix et t</w:t>
            </w:r>
            <w:r w:rsidR="00552D14" w:rsidRPr="00552D14">
              <w:rPr>
                <w:lang w:val="fr-CA"/>
              </w:rPr>
              <w:t xml:space="preserve">arifs respectifs des services publics </w:t>
            </w:r>
          </w:p>
          <w:p w:rsidR="005939DE" w:rsidRPr="00206B33" w:rsidRDefault="005939DE" w:rsidP="00552D14">
            <w:pPr>
              <w:pStyle w:val="TableParagraph"/>
              <w:ind w:right="165"/>
              <w:rPr>
                <w:b/>
                <w:i/>
                <w:lang w:val="fr-CA"/>
              </w:rPr>
            </w:pPr>
          </w:p>
        </w:tc>
        <w:tc>
          <w:tcPr>
            <w:tcW w:w="4772" w:type="dxa"/>
          </w:tcPr>
          <w:p w:rsidR="003E27AD" w:rsidRDefault="00D8116C" w:rsidP="00D8116C">
            <w:pPr>
              <w:pStyle w:val="TableParagraph"/>
              <w:ind w:right="165"/>
              <w:rPr>
                <w:lang w:val="fr-CA"/>
              </w:rPr>
            </w:pPr>
            <w:r>
              <w:rPr>
                <w:lang w:val="fr-CA"/>
              </w:rPr>
              <w:t xml:space="preserve">Les prix </w:t>
            </w:r>
            <w:r w:rsidRPr="00552D14">
              <w:rPr>
                <w:lang w:val="fr-CA"/>
              </w:rPr>
              <w:t>et tarifs respectifs des services publics</w:t>
            </w:r>
            <w:r>
              <w:rPr>
                <w:lang w:val="fr-CA"/>
              </w:rPr>
              <w:t xml:space="preserve"> sont </w:t>
            </w:r>
            <w:r w:rsidR="003E27AD">
              <w:rPr>
                <w:lang w:val="fr-CA"/>
              </w:rPr>
              <w:t>le</w:t>
            </w:r>
            <w:r>
              <w:rPr>
                <w:lang w:val="fr-CA"/>
              </w:rPr>
              <w:t>s barèmes utilisés pour déterminer le coût des</w:t>
            </w:r>
            <w:r w:rsidR="003E27AD">
              <w:rPr>
                <w:lang w:val="fr-CA"/>
              </w:rPr>
              <w:t xml:space="preserve"> services fournis.</w:t>
            </w:r>
          </w:p>
          <w:p w:rsidR="005939DE" w:rsidRPr="00FA607F" w:rsidRDefault="002C4C14" w:rsidP="00FA607F">
            <w:pPr>
              <w:pStyle w:val="TableParagraph"/>
              <w:ind w:right="165"/>
              <w:rPr>
                <w:lang w:val="fr-CA"/>
              </w:rPr>
            </w:pPr>
            <w:r>
              <w:rPr>
                <w:lang w:val="fr-CA"/>
              </w:rPr>
              <w:t xml:space="preserve">Ils </w:t>
            </w:r>
            <w:r w:rsidR="003E27AD">
              <w:rPr>
                <w:lang w:val="fr-CA"/>
              </w:rPr>
              <w:t xml:space="preserve">donnent une idée des </w:t>
            </w:r>
            <w:r w:rsidR="00FA607F">
              <w:rPr>
                <w:lang w:val="fr-CA"/>
              </w:rPr>
              <w:t xml:space="preserve">éléments de </w:t>
            </w:r>
            <w:r w:rsidR="003E27AD">
              <w:rPr>
                <w:lang w:val="fr-CA"/>
              </w:rPr>
              <w:t>coût</w:t>
            </w:r>
            <w:r w:rsidR="00FA607F">
              <w:rPr>
                <w:lang w:val="fr-CA"/>
              </w:rPr>
              <w:t xml:space="preserve"> pris </w:t>
            </w:r>
            <w:r>
              <w:rPr>
                <w:lang w:val="fr-CA"/>
              </w:rPr>
              <w:t>en compte</w:t>
            </w:r>
            <w:r w:rsidR="00FA607F">
              <w:rPr>
                <w:lang w:val="fr-CA"/>
              </w:rPr>
              <w:t xml:space="preserve"> pour établir le prix du service</w:t>
            </w:r>
            <w:r>
              <w:rPr>
                <w:lang w:val="fr-CA"/>
              </w:rPr>
              <w:t xml:space="preserve"> </w:t>
            </w:r>
            <w:r w:rsidR="003E27AD">
              <w:rPr>
                <w:lang w:val="fr-CA"/>
              </w:rPr>
              <w:t xml:space="preserve">et permettent de déterminer le coût marginal de chaque </w:t>
            </w:r>
            <w:r w:rsidR="00FA607F">
              <w:rPr>
                <w:lang w:val="fr-CA"/>
              </w:rPr>
              <w:t>élément.</w:t>
            </w:r>
          </w:p>
        </w:tc>
        <w:tc>
          <w:tcPr>
            <w:tcW w:w="2609" w:type="dxa"/>
          </w:tcPr>
          <w:p w:rsidR="005939DE" w:rsidRPr="00FA607F" w:rsidRDefault="00C919A8" w:rsidP="00FA607F">
            <w:pPr>
              <w:pStyle w:val="TableParagraph"/>
              <w:ind w:left="100" w:right="195"/>
              <w:rPr>
                <w:highlight w:val="yellow"/>
                <w:lang w:val="fr-CA"/>
              </w:rPr>
            </w:pPr>
            <w:r>
              <w:rPr>
                <w:lang w:val="fr-CA"/>
              </w:rPr>
              <w:t>Les données sont recueillies</w:t>
            </w:r>
            <w:r w:rsidR="002C4C14" w:rsidRPr="002C4C14">
              <w:rPr>
                <w:lang w:val="fr-CA"/>
              </w:rPr>
              <w:t xml:space="preserve"> au besoin, mais seul</w:t>
            </w:r>
            <w:r w:rsidR="00FA607F">
              <w:rPr>
                <w:lang w:val="fr-CA"/>
              </w:rPr>
              <w:t xml:space="preserve"> le tarif « courant » est pertinent. Le contact régulier avec un représentant du service visé permet d’obtenir ce tarif.</w:t>
            </w:r>
          </w:p>
        </w:tc>
        <w:tc>
          <w:tcPr>
            <w:tcW w:w="2521" w:type="dxa"/>
          </w:tcPr>
          <w:p w:rsidR="005939DE" w:rsidRPr="001223AF" w:rsidRDefault="00F72B11" w:rsidP="00206B33">
            <w:pPr>
              <w:pStyle w:val="TableParagraph"/>
              <w:ind w:left="103" w:right="150"/>
              <w:rPr>
                <w:highlight w:val="yellow"/>
                <w:lang w:val="fr-CA"/>
              </w:rPr>
            </w:pPr>
            <w:r>
              <w:rPr>
                <w:lang w:val="fr-CA"/>
              </w:rPr>
              <w:t xml:space="preserve">On peut obtenir les données relatives aux services publics réglementés auprès des </w:t>
            </w:r>
            <w:r w:rsidR="008F36B1" w:rsidRPr="008F36B1">
              <w:rPr>
                <w:lang w:val="fr-CA"/>
              </w:rPr>
              <w:t xml:space="preserve">services publics </w:t>
            </w:r>
            <w:r>
              <w:rPr>
                <w:lang w:val="fr-CA"/>
              </w:rPr>
              <w:t xml:space="preserve">eux-mêmes </w:t>
            </w:r>
            <w:r w:rsidR="008F36B1" w:rsidRPr="008F36B1">
              <w:rPr>
                <w:lang w:val="fr-CA"/>
              </w:rPr>
              <w:t>ou de la Commission de la fon</w:t>
            </w:r>
            <w:r w:rsidR="001223AF">
              <w:rPr>
                <w:lang w:val="fr-CA"/>
              </w:rPr>
              <w:t>c</w:t>
            </w:r>
            <w:r w:rsidR="008F36B1" w:rsidRPr="008F36B1">
              <w:rPr>
                <w:lang w:val="fr-CA"/>
              </w:rPr>
              <w:t xml:space="preserve">tion </w:t>
            </w:r>
            <w:r w:rsidR="001223AF">
              <w:rPr>
                <w:lang w:val="fr-CA"/>
              </w:rPr>
              <w:t xml:space="preserve">publique. </w:t>
            </w:r>
            <w:r w:rsidR="008F36B1" w:rsidRPr="008F36B1">
              <w:rPr>
                <w:lang w:val="fr-CA"/>
              </w:rPr>
              <w:t xml:space="preserve"> </w:t>
            </w:r>
          </w:p>
        </w:tc>
        <w:tc>
          <w:tcPr>
            <w:tcW w:w="2165" w:type="dxa"/>
          </w:tcPr>
          <w:p w:rsidR="005939DE" w:rsidRPr="00FA607F" w:rsidRDefault="00206B33" w:rsidP="00206B33">
            <w:pPr>
              <w:pStyle w:val="TableParagraph"/>
              <w:ind w:left="103" w:right="95"/>
              <w:rPr>
                <w:highlight w:val="yellow"/>
                <w:lang w:val="fr-CA"/>
              </w:rPr>
            </w:pPr>
            <w:r>
              <w:rPr>
                <w:lang w:val="fr-CA"/>
              </w:rPr>
              <w:t>T</w:t>
            </w:r>
            <w:r w:rsidR="00FA607F" w:rsidRPr="00FA607F">
              <w:rPr>
                <w:lang w:val="fr-CA"/>
              </w:rPr>
              <w:t>arifs des services publics</w:t>
            </w:r>
            <w:r w:rsidR="00FA607F">
              <w:rPr>
                <w:lang w:val="fr-CA"/>
              </w:rPr>
              <w:t xml:space="preserve"> figurant dans les contrats </w:t>
            </w:r>
            <w:r w:rsidR="00F72B11">
              <w:rPr>
                <w:lang w:val="fr-CA"/>
              </w:rPr>
              <w:t>connexes</w:t>
            </w:r>
            <w:r w:rsidR="00FA607F">
              <w:rPr>
                <w:lang w:val="fr-CA"/>
              </w:rPr>
              <w:t xml:space="preserve"> conservés par le service juridique ou le service des achats de l’organisation.</w:t>
            </w:r>
          </w:p>
        </w:tc>
      </w:tr>
      <w:tr w:rsidR="005939DE" w:rsidRPr="004F08A3" w:rsidTr="00FA607F">
        <w:trPr>
          <w:trHeight w:val="1940"/>
        </w:trPr>
        <w:tc>
          <w:tcPr>
            <w:tcW w:w="1436" w:type="dxa"/>
          </w:tcPr>
          <w:p w:rsidR="005939DE" w:rsidRPr="007F3A15" w:rsidRDefault="001C345A">
            <w:pPr>
              <w:pStyle w:val="TableParagraph"/>
              <w:ind w:right="317"/>
              <w:rPr>
                <w:lang w:val="fr-CA"/>
              </w:rPr>
            </w:pPr>
            <w:r w:rsidRPr="007F3A15">
              <w:rPr>
                <w:lang w:val="fr-CA"/>
              </w:rPr>
              <w:lastRenderedPageBreak/>
              <w:t>Unit</w:t>
            </w:r>
            <w:r w:rsidR="007F3A15" w:rsidRPr="007F3A15">
              <w:rPr>
                <w:lang w:val="fr-CA"/>
              </w:rPr>
              <w:t>é</w:t>
            </w:r>
            <w:r w:rsidRPr="007F3A15">
              <w:rPr>
                <w:lang w:val="fr-CA"/>
              </w:rPr>
              <w:t>s</w:t>
            </w:r>
            <w:r w:rsidR="007F3A15" w:rsidRPr="007F3A15">
              <w:rPr>
                <w:lang w:val="fr-CA"/>
              </w:rPr>
              <w:t xml:space="preserve"> de production </w:t>
            </w:r>
          </w:p>
        </w:tc>
        <w:tc>
          <w:tcPr>
            <w:tcW w:w="4772" w:type="dxa"/>
          </w:tcPr>
          <w:p w:rsidR="005939DE" w:rsidRPr="00684BCD" w:rsidRDefault="00684BCD">
            <w:pPr>
              <w:pStyle w:val="TableParagraph"/>
              <w:ind w:right="474"/>
              <w:rPr>
                <w:highlight w:val="yellow"/>
                <w:lang w:val="fr-CA"/>
              </w:rPr>
            </w:pPr>
            <w:r w:rsidRPr="00684BCD">
              <w:rPr>
                <w:lang w:val="fr-CA"/>
              </w:rPr>
              <w:t xml:space="preserve">La production correspond à la quantité de produits finis qui quittent une usine ou sont </w:t>
            </w:r>
            <w:r w:rsidR="00EF1CCE">
              <w:rPr>
                <w:lang w:val="fr-CA"/>
              </w:rPr>
              <w:t>intégrés aux stocks</w:t>
            </w:r>
            <w:r w:rsidRPr="00684BCD">
              <w:rPr>
                <w:lang w:val="fr-CA"/>
              </w:rPr>
              <w:t xml:space="preserve">.  </w:t>
            </w:r>
          </w:p>
          <w:p w:rsidR="005939DE" w:rsidRPr="0019289A" w:rsidRDefault="004563F3" w:rsidP="0006376C">
            <w:pPr>
              <w:pStyle w:val="TableParagraph"/>
              <w:spacing w:before="3"/>
              <w:ind w:right="93"/>
              <w:rPr>
                <w:lang w:val="fr-CA"/>
              </w:rPr>
            </w:pPr>
            <w:r>
              <w:rPr>
                <w:lang w:val="fr-CA"/>
              </w:rPr>
              <w:t xml:space="preserve">Dans le cas des </w:t>
            </w:r>
            <w:r w:rsidRPr="004563F3">
              <w:rPr>
                <w:lang w:val="fr-CA"/>
              </w:rPr>
              <w:t>usines ayant une seule production, les unités de production sont faciles à déterminer</w:t>
            </w:r>
            <w:r w:rsidR="0019289A">
              <w:rPr>
                <w:lang w:val="fr-CA"/>
              </w:rPr>
              <w:t xml:space="preserve">. </w:t>
            </w:r>
            <w:r w:rsidR="0006376C">
              <w:rPr>
                <w:lang w:val="fr-CA"/>
              </w:rPr>
              <w:t>Dans les</w:t>
            </w:r>
            <w:r w:rsidR="0019289A" w:rsidRPr="0019289A">
              <w:rPr>
                <w:lang w:val="fr-CA"/>
              </w:rPr>
              <w:t xml:space="preserve"> usines </w:t>
            </w:r>
            <w:r w:rsidR="0006376C">
              <w:rPr>
                <w:lang w:val="fr-CA"/>
              </w:rPr>
              <w:t>f</w:t>
            </w:r>
            <w:r w:rsidR="0019289A" w:rsidRPr="0019289A">
              <w:rPr>
                <w:lang w:val="fr-CA"/>
              </w:rPr>
              <w:t>abriqu</w:t>
            </w:r>
            <w:r w:rsidR="0006376C">
              <w:rPr>
                <w:lang w:val="fr-CA"/>
              </w:rPr>
              <w:t>a</w:t>
            </w:r>
            <w:r w:rsidR="0019289A" w:rsidRPr="0019289A">
              <w:rPr>
                <w:lang w:val="fr-CA"/>
              </w:rPr>
              <w:t>nt plusieurs produits, les caractéristiques commune</w:t>
            </w:r>
            <w:r w:rsidR="0019289A">
              <w:rPr>
                <w:lang w:val="fr-CA"/>
              </w:rPr>
              <w:t>s doivent être prises en compte selon une méthode combinant d’autres facteurs (</w:t>
            </w:r>
            <w:r w:rsidR="0006376C">
              <w:rPr>
                <w:lang w:val="fr-CA"/>
              </w:rPr>
              <w:t xml:space="preserve">p. ex., </w:t>
            </w:r>
            <w:r w:rsidR="0041761D">
              <w:rPr>
                <w:lang w:val="fr-CA"/>
              </w:rPr>
              <w:t>kilos</w:t>
            </w:r>
            <w:r w:rsidR="0006376C">
              <w:rPr>
                <w:lang w:val="fr-CA"/>
              </w:rPr>
              <w:t>/</w:t>
            </w:r>
            <w:r w:rsidR="0041761D">
              <w:rPr>
                <w:lang w:val="fr-CA"/>
              </w:rPr>
              <w:t xml:space="preserve">livres </w:t>
            </w:r>
            <w:r w:rsidR="0019289A">
              <w:rPr>
                <w:lang w:val="fr-CA"/>
              </w:rPr>
              <w:t>ou mètres</w:t>
            </w:r>
            <w:r w:rsidR="0006376C">
              <w:rPr>
                <w:lang w:val="fr-CA"/>
              </w:rPr>
              <w:t>/</w:t>
            </w:r>
            <w:r w:rsidR="0019289A">
              <w:rPr>
                <w:lang w:val="fr-CA"/>
              </w:rPr>
              <w:t xml:space="preserve">pieds carrés, </w:t>
            </w:r>
            <w:r w:rsidR="0006376C">
              <w:rPr>
                <w:lang w:val="fr-CA"/>
              </w:rPr>
              <w:t xml:space="preserve">à la place des </w:t>
            </w:r>
            <w:r w:rsidR="0019289A">
              <w:rPr>
                <w:lang w:val="fr-CA"/>
              </w:rPr>
              <w:t>unités de production</w:t>
            </w:r>
            <w:r w:rsidR="0041761D">
              <w:rPr>
                <w:lang w:val="fr-CA"/>
              </w:rPr>
              <w:t>).</w:t>
            </w:r>
          </w:p>
        </w:tc>
        <w:tc>
          <w:tcPr>
            <w:tcW w:w="2609" w:type="dxa"/>
          </w:tcPr>
          <w:p w:rsidR="005939DE" w:rsidRPr="0019289A" w:rsidRDefault="00206B33" w:rsidP="00206B33">
            <w:pPr>
              <w:pStyle w:val="TableParagraph"/>
              <w:ind w:left="100" w:right="99"/>
              <w:rPr>
                <w:lang w:val="fr-CA"/>
              </w:rPr>
            </w:pPr>
            <w:r>
              <w:rPr>
                <w:lang w:val="fr-CA"/>
              </w:rPr>
              <w:t xml:space="preserve">On doit les rapprocher </w:t>
            </w:r>
            <w:r w:rsidR="0019289A" w:rsidRPr="0019289A">
              <w:rPr>
                <w:lang w:val="fr-CA"/>
              </w:rPr>
              <w:t xml:space="preserve">avec les données d’intervalle issues de la facturation </w:t>
            </w:r>
            <w:r>
              <w:rPr>
                <w:lang w:val="fr-CA"/>
              </w:rPr>
              <w:t xml:space="preserve">pour établir </w:t>
            </w:r>
            <w:r w:rsidR="0019289A" w:rsidRPr="0019289A">
              <w:rPr>
                <w:lang w:val="fr-CA"/>
              </w:rPr>
              <w:t>une estimation exacte d</w:t>
            </w:r>
            <w:r>
              <w:rPr>
                <w:lang w:val="fr-CA"/>
              </w:rPr>
              <w:t>e l</w:t>
            </w:r>
            <w:r w:rsidR="0019289A" w:rsidRPr="0019289A">
              <w:rPr>
                <w:lang w:val="fr-CA"/>
              </w:rPr>
              <w:t>’énergie consommé</w:t>
            </w:r>
            <w:r>
              <w:rPr>
                <w:lang w:val="fr-CA"/>
              </w:rPr>
              <w:t>e</w:t>
            </w:r>
            <w:r w:rsidR="0019289A" w:rsidRPr="0019289A">
              <w:rPr>
                <w:lang w:val="fr-CA"/>
              </w:rPr>
              <w:t xml:space="preserve"> par unité de </w:t>
            </w:r>
            <w:r w:rsidR="001C345A" w:rsidRPr="0019289A">
              <w:rPr>
                <w:lang w:val="fr-CA"/>
              </w:rPr>
              <w:t>production.</w:t>
            </w:r>
          </w:p>
        </w:tc>
        <w:tc>
          <w:tcPr>
            <w:tcW w:w="2521" w:type="dxa"/>
          </w:tcPr>
          <w:p w:rsidR="00741619" w:rsidRPr="00684BCD" w:rsidRDefault="00684BCD" w:rsidP="00741619">
            <w:pPr>
              <w:pStyle w:val="TableParagraph"/>
              <w:ind w:left="103" w:right="218"/>
              <w:rPr>
                <w:lang w:val="fr-CA"/>
              </w:rPr>
            </w:pPr>
            <w:r>
              <w:rPr>
                <w:lang w:val="fr-CA"/>
              </w:rPr>
              <w:t>G</w:t>
            </w:r>
            <w:r w:rsidR="00741619" w:rsidRPr="00684BCD">
              <w:rPr>
                <w:lang w:val="fr-CA"/>
              </w:rPr>
              <w:t>estionnaire de</w:t>
            </w:r>
            <w:r>
              <w:rPr>
                <w:lang w:val="fr-CA"/>
              </w:rPr>
              <w:t xml:space="preserve"> la </w:t>
            </w:r>
            <w:r w:rsidR="00741619" w:rsidRPr="00684BCD">
              <w:rPr>
                <w:lang w:val="fr-CA"/>
              </w:rPr>
              <w:t xml:space="preserve">production </w:t>
            </w:r>
          </w:p>
          <w:p w:rsidR="00684BCD" w:rsidRDefault="0058020F" w:rsidP="00741619">
            <w:pPr>
              <w:pStyle w:val="TableParagraph"/>
              <w:ind w:left="103" w:right="218"/>
              <w:rPr>
                <w:lang w:val="fr-CA"/>
              </w:rPr>
            </w:pPr>
            <w:r>
              <w:rPr>
                <w:lang w:val="fr-CA"/>
              </w:rPr>
              <w:t>P</w:t>
            </w:r>
            <w:r w:rsidR="007F3A15" w:rsidRPr="00684BCD">
              <w:rPr>
                <w:lang w:val="fr-CA"/>
              </w:rPr>
              <w:t>ersonnel</w:t>
            </w:r>
            <w:r w:rsidR="001C345A" w:rsidRPr="00684BCD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de bureau </w:t>
            </w:r>
            <w:r w:rsidR="00F132D3">
              <w:rPr>
                <w:lang w:val="fr-CA"/>
              </w:rPr>
              <w:t xml:space="preserve">affecté à la </w:t>
            </w:r>
            <w:r>
              <w:rPr>
                <w:lang w:val="fr-CA"/>
              </w:rPr>
              <w:t>production</w:t>
            </w:r>
          </w:p>
          <w:p w:rsidR="005939DE" w:rsidRPr="00684BCD" w:rsidRDefault="005939DE" w:rsidP="00741619">
            <w:pPr>
              <w:pStyle w:val="TableParagraph"/>
              <w:ind w:left="103" w:right="218"/>
              <w:rPr>
                <w:lang w:val="fr-CA"/>
              </w:rPr>
            </w:pPr>
          </w:p>
        </w:tc>
        <w:tc>
          <w:tcPr>
            <w:tcW w:w="2165" w:type="dxa"/>
          </w:tcPr>
          <w:p w:rsidR="005939DE" w:rsidRPr="007F3A15" w:rsidRDefault="00684BCD" w:rsidP="007F3A15">
            <w:pPr>
              <w:pStyle w:val="TableParagraph"/>
              <w:ind w:left="103" w:right="393"/>
              <w:rPr>
                <w:lang w:val="fr-CA"/>
              </w:rPr>
            </w:pPr>
            <w:r w:rsidRPr="00684BCD">
              <w:rPr>
                <w:lang w:val="fr-CA"/>
              </w:rPr>
              <w:t xml:space="preserve">Rapports de sortie </w:t>
            </w:r>
            <w:r w:rsidR="007F3A15" w:rsidRPr="007F3A15">
              <w:rPr>
                <w:lang w:val="fr-CA"/>
              </w:rPr>
              <w:t xml:space="preserve">du service de </w:t>
            </w:r>
            <w:r w:rsidR="007F3A15">
              <w:rPr>
                <w:lang w:val="fr-CA"/>
              </w:rPr>
              <w:t>p</w:t>
            </w:r>
            <w:r w:rsidR="007F3A15" w:rsidRPr="007F3A15">
              <w:rPr>
                <w:lang w:val="fr-CA"/>
              </w:rPr>
              <w:t xml:space="preserve">roduction </w:t>
            </w:r>
          </w:p>
        </w:tc>
      </w:tr>
    </w:tbl>
    <w:p w:rsidR="005939DE" w:rsidRPr="007F3A15" w:rsidRDefault="005939DE">
      <w:pPr>
        <w:rPr>
          <w:lang w:val="fr-CA"/>
        </w:rPr>
        <w:sectPr w:rsidR="005939DE" w:rsidRPr="007F3A15">
          <w:headerReference w:type="default" r:id="rId6"/>
          <w:footerReference w:type="default" r:id="rId7"/>
          <w:type w:val="continuous"/>
          <w:pgSz w:w="15840" w:h="12240" w:orient="landscape"/>
          <w:pgMar w:top="1280" w:right="1100" w:bottom="1340" w:left="1340" w:header="720" w:footer="1150" w:gutter="0"/>
          <w:pgNumType w:start="1"/>
          <w:cols w:space="720"/>
        </w:sectPr>
      </w:pPr>
    </w:p>
    <w:p w:rsidR="005939DE" w:rsidRPr="007F3A15" w:rsidRDefault="005939DE">
      <w:pPr>
        <w:pStyle w:val="Corpsdetexte"/>
        <w:spacing w:before="11"/>
        <w:rPr>
          <w:rFonts w:ascii="Times New Roman"/>
          <w:sz w:val="12"/>
          <w:lang w:val="fr-CA"/>
        </w:rPr>
      </w:pPr>
    </w:p>
    <w:tbl>
      <w:tblPr>
        <w:tblStyle w:val="TableNormal1"/>
        <w:tblW w:w="14601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4772"/>
        <w:gridCol w:w="2609"/>
        <w:gridCol w:w="2702"/>
        <w:gridCol w:w="2268"/>
      </w:tblGrid>
      <w:tr w:rsidR="005939DE" w:rsidRPr="004F08A3" w:rsidTr="00175B4D">
        <w:trPr>
          <w:trHeight w:val="520"/>
        </w:trPr>
        <w:tc>
          <w:tcPr>
            <w:tcW w:w="2250" w:type="dxa"/>
          </w:tcPr>
          <w:p w:rsidR="005939DE" w:rsidRPr="00F132D3" w:rsidRDefault="001C345A" w:rsidP="007F3A15">
            <w:pPr>
              <w:pStyle w:val="TableParagraph"/>
              <w:spacing w:before="110"/>
              <w:rPr>
                <w:rFonts w:ascii="Arial" w:hAnsi="Arial" w:cs="Arial"/>
                <w:b/>
                <w:sz w:val="20"/>
                <w:lang w:val="fr-CA"/>
              </w:rPr>
            </w:pPr>
            <w:r w:rsidRPr="00F132D3">
              <w:rPr>
                <w:rFonts w:ascii="Arial" w:hAnsi="Arial" w:cs="Arial"/>
                <w:b/>
                <w:sz w:val="20"/>
                <w:lang w:val="fr-CA"/>
              </w:rPr>
              <w:t xml:space="preserve">Type </w:t>
            </w:r>
            <w:r w:rsidR="007F3A15" w:rsidRPr="00F132D3">
              <w:rPr>
                <w:rFonts w:ascii="Arial" w:hAnsi="Arial" w:cs="Arial"/>
                <w:b/>
                <w:sz w:val="20"/>
                <w:lang w:val="fr-CA"/>
              </w:rPr>
              <w:t>de données</w:t>
            </w:r>
          </w:p>
        </w:tc>
        <w:tc>
          <w:tcPr>
            <w:tcW w:w="4772" w:type="dxa"/>
          </w:tcPr>
          <w:p w:rsidR="005939DE" w:rsidRPr="00F132D3" w:rsidRDefault="001C345A">
            <w:pPr>
              <w:pStyle w:val="TableParagraph"/>
              <w:spacing w:before="110"/>
              <w:rPr>
                <w:rFonts w:ascii="Arial" w:hAnsi="Arial" w:cs="Arial"/>
                <w:b/>
                <w:sz w:val="20"/>
                <w:lang w:val="fr-CA"/>
              </w:rPr>
            </w:pPr>
            <w:r w:rsidRPr="00F132D3">
              <w:rPr>
                <w:rFonts w:ascii="Arial" w:hAnsi="Arial" w:cs="Arial"/>
                <w:b/>
                <w:sz w:val="20"/>
                <w:lang w:val="fr-CA"/>
              </w:rPr>
              <w:t>Description</w:t>
            </w:r>
          </w:p>
        </w:tc>
        <w:tc>
          <w:tcPr>
            <w:tcW w:w="2609" w:type="dxa"/>
          </w:tcPr>
          <w:p w:rsidR="005939DE" w:rsidRPr="00F132D3" w:rsidRDefault="00504049">
            <w:pPr>
              <w:pStyle w:val="TableParagraph"/>
              <w:spacing w:before="110"/>
              <w:ind w:left="100"/>
              <w:rPr>
                <w:rFonts w:ascii="Arial" w:hAnsi="Arial" w:cs="Arial"/>
                <w:b/>
                <w:sz w:val="20"/>
                <w:lang w:val="fr-CA"/>
              </w:rPr>
            </w:pPr>
            <w:r w:rsidRPr="00F132D3">
              <w:rPr>
                <w:rFonts w:ascii="Arial" w:hAnsi="Arial" w:cs="Arial"/>
                <w:b/>
                <w:sz w:val="20"/>
                <w:lang w:val="fr-CA"/>
              </w:rPr>
              <w:t>Fréquence de la collecte</w:t>
            </w:r>
          </w:p>
        </w:tc>
        <w:tc>
          <w:tcPr>
            <w:tcW w:w="2702" w:type="dxa"/>
          </w:tcPr>
          <w:p w:rsidR="005939DE" w:rsidRPr="00F132D3" w:rsidRDefault="00504049" w:rsidP="00504049">
            <w:pPr>
              <w:pStyle w:val="TableParagraph"/>
              <w:ind w:left="103" w:right="331"/>
              <w:rPr>
                <w:rFonts w:ascii="Arial" w:hAnsi="Arial" w:cs="Arial"/>
                <w:b/>
                <w:sz w:val="20"/>
                <w:lang w:val="fr-CA"/>
              </w:rPr>
            </w:pPr>
            <w:r w:rsidRPr="00F132D3">
              <w:rPr>
                <w:rFonts w:ascii="Arial" w:hAnsi="Arial" w:cs="Arial"/>
                <w:b/>
                <w:sz w:val="20"/>
                <w:lang w:val="fr-CA"/>
              </w:rPr>
              <w:t>S</w:t>
            </w:r>
            <w:r w:rsidR="001C345A" w:rsidRPr="00F132D3">
              <w:rPr>
                <w:rFonts w:ascii="Arial" w:hAnsi="Arial" w:cs="Arial"/>
                <w:b/>
                <w:sz w:val="20"/>
                <w:lang w:val="fr-CA"/>
              </w:rPr>
              <w:t>ources</w:t>
            </w:r>
            <w:r w:rsidRPr="00F132D3">
              <w:rPr>
                <w:rFonts w:ascii="Arial" w:hAnsi="Arial" w:cs="Arial"/>
                <w:b/>
                <w:sz w:val="20"/>
                <w:lang w:val="fr-CA"/>
              </w:rPr>
              <w:t xml:space="preserve"> de données prévues</w:t>
            </w:r>
          </w:p>
        </w:tc>
        <w:tc>
          <w:tcPr>
            <w:tcW w:w="2268" w:type="dxa"/>
          </w:tcPr>
          <w:p w:rsidR="005939DE" w:rsidRPr="00F132D3" w:rsidRDefault="00504049" w:rsidP="00504049">
            <w:pPr>
              <w:pStyle w:val="TableParagraph"/>
              <w:ind w:left="103" w:right="402"/>
              <w:rPr>
                <w:rFonts w:ascii="Arial" w:hAnsi="Arial" w:cs="Arial"/>
                <w:b/>
                <w:sz w:val="20"/>
                <w:lang w:val="fr-CA"/>
              </w:rPr>
            </w:pPr>
            <w:r w:rsidRPr="00F132D3">
              <w:rPr>
                <w:rFonts w:ascii="Arial" w:hAnsi="Arial" w:cs="Arial"/>
                <w:b/>
                <w:sz w:val="20"/>
                <w:lang w:val="fr-CA"/>
              </w:rPr>
              <w:t>Lieu de stockage des données</w:t>
            </w:r>
          </w:p>
        </w:tc>
      </w:tr>
      <w:tr w:rsidR="005939DE" w:rsidRPr="004F08A3" w:rsidTr="00175B4D">
        <w:trPr>
          <w:trHeight w:val="1400"/>
        </w:trPr>
        <w:tc>
          <w:tcPr>
            <w:tcW w:w="2250" w:type="dxa"/>
          </w:tcPr>
          <w:p w:rsidR="005939DE" w:rsidRPr="00504049" w:rsidRDefault="00E57780" w:rsidP="00E57780">
            <w:pPr>
              <w:pStyle w:val="TableParagraph"/>
              <w:ind w:right="422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Calendrier/heures </w:t>
            </w:r>
            <w:r w:rsidR="00504049" w:rsidRPr="00504049">
              <w:rPr>
                <w:lang w:val="fr-CA"/>
              </w:rPr>
              <w:t xml:space="preserve">d’exploitation </w:t>
            </w:r>
          </w:p>
        </w:tc>
        <w:tc>
          <w:tcPr>
            <w:tcW w:w="4772" w:type="dxa"/>
          </w:tcPr>
          <w:p w:rsidR="005939DE" w:rsidRPr="00905523" w:rsidRDefault="00905523" w:rsidP="00905523">
            <w:pPr>
              <w:pStyle w:val="TableParagraph"/>
              <w:ind w:right="186"/>
              <w:jc w:val="both"/>
              <w:rPr>
                <w:lang w:val="fr-CA"/>
              </w:rPr>
            </w:pPr>
            <w:r w:rsidRPr="00905523">
              <w:rPr>
                <w:lang w:val="fr-CA"/>
              </w:rPr>
              <w:t xml:space="preserve">Les heures </w:t>
            </w:r>
            <w:r w:rsidR="00434BEB">
              <w:rPr>
                <w:lang w:val="fr-CA"/>
              </w:rPr>
              <w:t>d</w:t>
            </w:r>
            <w:r w:rsidRPr="00905523">
              <w:rPr>
                <w:lang w:val="fr-CA"/>
              </w:rPr>
              <w:t xml:space="preserve">urant lesquelles on produit </w:t>
            </w:r>
            <w:r>
              <w:rPr>
                <w:lang w:val="fr-CA"/>
              </w:rPr>
              <w:t>d</w:t>
            </w:r>
            <w:r w:rsidRPr="00905523">
              <w:rPr>
                <w:lang w:val="fr-CA"/>
              </w:rPr>
              <w:t>urant un mois ou pendant une année</w:t>
            </w:r>
            <w:r>
              <w:rPr>
                <w:lang w:val="fr-CA"/>
              </w:rPr>
              <w:t>; h</w:t>
            </w:r>
            <w:r w:rsidRPr="00905523">
              <w:rPr>
                <w:lang w:val="fr-CA"/>
              </w:rPr>
              <w:t>eures d’activité d’</w:t>
            </w:r>
            <w:r>
              <w:rPr>
                <w:lang w:val="fr-CA"/>
              </w:rPr>
              <w:t>u</w:t>
            </w:r>
            <w:r w:rsidRPr="00905523">
              <w:rPr>
                <w:lang w:val="fr-CA"/>
              </w:rPr>
              <w:t>ne organisation.</w:t>
            </w:r>
          </w:p>
        </w:tc>
        <w:tc>
          <w:tcPr>
            <w:tcW w:w="2609" w:type="dxa"/>
          </w:tcPr>
          <w:p w:rsidR="005939DE" w:rsidRPr="00E57780" w:rsidRDefault="00F132D3" w:rsidP="00007FBE">
            <w:pPr>
              <w:pStyle w:val="TableParagraph"/>
              <w:ind w:left="100" w:right="321"/>
              <w:rPr>
                <w:lang w:val="fr-CA"/>
              </w:rPr>
            </w:pPr>
            <w:r>
              <w:rPr>
                <w:lang w:val="fr-CA"/>
              </w:rPr>
              <w:t>On recueille les d</w:t>
            </w:r>
            <w:r w:rsidR="00E57780" w:rsidRPr="00E57780">
              <w:rPr>
                <w:lang w:val="fr-CA"/>
              </w:rPr>
              <w:t>onnées au besoin</w:t>
            </w:r>
            <w:r w:rsidR="00905523">
              <w:rPr>
                <w:lang w:val="fr-CA"/>
              </w:rPr>
              <w:t>,</w:t>
            </w:r>
            <w:r w:rsidR="00E57780" w:rsidRPr="00E57780">
              <w:rPr>
                <w:lang w:val="fr-CA"/>
              </w:rPr>
              <w:t xml:space="preserve"> afin d’</w:t>
            </w:r>
            <w:r w:rsidR="00007FBE">
              <w:rPr>
                <w:lang w:val="fr-CA"/>
              </w:rPr>
              <w:t>établir la corré</w:t>
            </w:r>
            <w:r w:rsidR="00E57780" w:rsidRPr="00E57780">
              <w:rPr>
                <w:lang w:val="fr-CA"/>
              </w:rPr>
              <w:t>lation avec l</w:t>
            </w:r>
            <w:r w:rsidR="00007FBE">
              <w:rPr>
                <w:lang w:val="fr-CA"/>
              </w:rPr>
              <w:t>es données d</w:t>
            </w:r>
            <w:r>
              <w:rPr>
                <w:lang w:val="fr-CA"/>
              </w:rPr>
              <w:t>es</w:t>
            </w:r>
            <w:r w:rsidR="00007FBE">
              <w:rPr>
                <w:lang w:val="fr-CA"/>
              </w:rPr>
              <w:t xml:space="preserve"> </w:t>
            </w:r>
            <w:r w:rsidR="00E57780" w:rsidRPr="00E57780">
              <w:rPr>
                <w:lang w:val="fr-CA"/>
              </w:rPr>
              <w:t>service</w:t>
            </w:r>
            <w:r>
              <w:rPr>
                <w:lang w:val="fr-CA"/>
              </w:rPr>
              <w:t>s</w:t>
            </w:r>
            <w:r w:rsidR="00E57780" w:rsidRPr="00E57780">
              <w:rPr>
                <w:lang w:val="fr-CA"/>
              </w:rPr>
              <w:t xml:space="preserve"> public</w:t>
            </w:r>
            <w:r>
              <w:rPr>
                <w:lang w:val="fr-CA"/>
              </w:rPr>
              <w:t>s</w:t>
            </w:r>
            <w:r w:rsidR="00E57780" w:rsidRPr="00E57780">
              <w:rPr>
                <w:lang w:val="fr-CA"/>
              </w:rPr>
              <w:t xml:space="preserve"> ou</w:t>
            </w:r>
            <w:r w:rsidR="00007FBE">
              <w:rPr>
                <w:lang w:val="fr-CA"/>
              </w:rPr>
              <w:t xml:space="preserve"> </w:t>
            </w:r>
            <w:r w:rsidR="00905523">
              <w:rPr>
                <w:lang w:val="fr-CA"/>
              </w:rPr>
              <w:t xml:space="preserve">les données </w:t>
            </w:r>
            <w:r w:rsidR="00E57780" w:rsidRPr="00E57780">
              <w:rPr>
                <w:lang w:val="fr-CA"/>
              </w:rPr>
              <w:t xml:space="preserve">de production. </w:t>
            </w:r>
          </w:p>
        </w:tc>
        <w:tc>
          <w:tcPr>
            <w:tcW w:w="2702" w:type="dxa"/>
          </w:tcPr>
          <w:p w:rsidR="005939DE" w:rsidRPr="00905523" w:rsidRDefault="00905523" w:rsidP="004F7A6C">
            <w:pPr>
              <w:pStyle w:val="TableParagraph"/>
              <w:ind w:left="103" w:right="231"/>
              <w:rPr>
                <w:lang w:val="fr-CA"/>
              </w:rPr>
            </w:pPr>
            <w:r>
              <w:rPr>
                <w:lang w:val="fr-CA"/>
              </w:rPr>
              <w:t>Gestionnaires de la p</w:t>
            </w:r>
            <w:r w:rsidR="001C345A" w:rsidRPr="00905523">
              <w:rPr>
                <w:lang w:val="fr-CA"/>
              </w:rPr>
              <w:t>roduction</w:t>
            </w:r>
            <w:r>
              <w:rPr>
                <w:lang w:val="fr-CA"/>
              </w:rPr>
              <w:t xml:space="preserve"> </w:t>
            </w:r>
            <w:r w:rsidR="001C345A" w:rsidRPr="00905523">
              <w:rPr>
                <w:lang w:val="fr-CA"/>
              </w:rPr>
              <w:t>o</w:t>
            </w:r>
            <w:r w:rsidRPr="00905523">
              <w:rPr>
                <w:lang w:val="fr-CA"/>
              </w:rPr>
              <w:t>u horaires du personne</w:t>
            </w:r>
            <w:r>
              <w:rPr>
                <w:lang w:val="fr-CA"/>
              </w:rPr>
              <w:t>l</w:t>
            </w:r>
            <w:r w:rsidRPr="00905523">
              <w:rPr>
                <w:lang w:val="fr-CA"/>
              </w:rPr>
              <w:t>; syst</w:t>
            </w:r>
            <w:r>
              <w:rPr>
                <w:lang w:val="fr-CA"/>
              </w:rPr>
              <w:t>ème de gestion des immeubles;</w:t>
            </w:r>
            <w:r w:rsidR="004F7A6C">
              <w:rPr>
                <w:lang w:val="fr-CA"/>
              </w:rPr>
              <w:t xml:space="preserve"> </w:t>
            </w:r>
            <w:r w:rsidR="00F132D3">
              <w:rPr>
                <w:lang w:val="fr-CA"/>
              </w:rPr>
              <w:t>feuilles de temps</w:t>
            </w:r>
            <w:r>
              <w:rPr>
                <w:lang w:val="fr-CA"/>
              </w:rPr>
              <w:t>; horodateur</w:t>
            </w:r>
          </w:p>
        </w:tc>
        <w:tc>
          <w:tcPr>
            <w:tcW w:w="2268" w:type="dxa"/>
          </w:tcPr>
          <w:p w:rsidR="005939DE" w:rsidRPr="00E52316" w:rsidRDefault="00E52316" w:rsidP="004F7A6C">
            <w:pPr>
              <w:pStyle w:val="TableParagraph"/>
              <w:ind w:left="103" w:right="208"/>
              <w:rPr>
                <w:lang w:val="fr-CA"/>
              </w:rPr>
            </w:pPr>
            <w:r w:rsidRPr="00E52316">
              <w:rPr>
                <w:lang w:val="fr-CA"/>
              </w:rPr>
              <w:t>Rapport</w:t>
            </w:r>
            <w:r w:rsidR="00272525">
              <w:rPr>
                <w:lang w:val="fr-CA"/>
              </w:rPr>
              <w:t>s</w:t>
            </w:r>
            <w:r w:rsidRPr="00E52316">
              <w:rPr>
                <w:lang w:val="fr-CA"/>
              </w:rPr>
              <w:t xml:space="preserve"> de production</w:t>
            </w:r>
            <w:r w:rsidR="00D63701">
              <w:rPr>
                <w:lang w:val="fr-CA"/>
              </w:rPr>
              <w:t>,</w:t>
            </w:r>
            <w:r w:rsidRPr="00E52316">
              <w:rPr>
                <w:lang w:val="fr-CA"/>
              </w:rPr>
              <w:t xml:space="preserve"> système de gestion d</w:t>
            </w:r>
            <w:r w:rsidR="00272525">
              <w:rPr>
                <w:lang w:val="fr-CA"/>
              </w:rPr>
              <w:t xml:space="preserve">es </w:t>
            </w:r>
            <w:r w:rsidRPr="00E52316">
              <w:rPr>
                <w:lang w:val="fr-CA"/>
              </w:rPr>
              <w:t>immeubles</w:t>
            </w:r>
            <w:r w:rsidR="00D63701">
              <w:rPr>
                <w:lang w:val="fr-CA"/>
              </w:rPr>
              <w:t>,</w:t>
            </w:r>
            <w:r w:rsidRPr="00E52316">
              <w:rPr>
                <w:lang w:val="fr-CA"/>
              </w:rPr>
              <w:t xml:space="preserve"> </w:t>
            </w:r>
            <w:r w:rsidR="00F132D3">
              <w:rPr>
                <w:lang w:val="fr-CA"/>
              </w:rPr>
              <w:t>feuilles de temps</w:t>
            </w:r>
          </w:p>
        </w:tc>
      </w:tr>
      <w:tr w:rsidR="005939DE" w:rsidTr="00175B4D">
        <w:trPr>
          <w:trHeight w:val="1400"/>
        </w:trPr>
        <w:tc>
          <w:tcPr>
            <w:tcW w:w="2250" w:type="dxa"/>
          </w:tcPr>
          <w:p w:rsidR="005939DE" w:rsidRPr="00E52316" w:rsidRDefault="00E52316" w:rsidP="00E52316">
            <w:pPr>
              <w:pStyle w:val="TableParagraph"/>
              <w:ind w:right="100"/>
              <w:rPr>
                <w:lang w:val="fr-CA"/>
              </w:rPr>
            </w:pPr>
            <w:r w:rsidRPr="00E52316">
              <w:rPr>
                <w:lang w:val="fr-CA"/>
              </w:rPr>
              <w:t>Données météorologiques</w:t>
            </w:r>
          </w:p>
        </w:tc>
        <w:tc>
          <w:tcPr>
            <w:tcW w:w="4772" w:type="dxa"/>
          </w:tcPr>
          <w:p w:rsidR="005939DE" w:rsidRPr="0025401B" w:rsidRDefault="00434BEB" w:rsidP="004E33F6">
            <w:pPr>
              <w:pStyle w:val="TableParagraph"/>
              <w:ind w:right="266"/>
              <w:rPr>
                <w:lang w:val="fr-CA"/>
              </w:rPr>
            </w:pPr>
            <w:r w:rsidRPr="0025401B">
              <w:rPr>
                <w:lang w:val="fr-CA"/>
              </w:rPr>
              <w:t>Les données relatives à la météo</w:t>
            </w:r>
            <w:r w:rsidR="004C1168">
              <w:rPr>
                <w:lang w:val="fr-CA"/>
              </w:rPr>
              <w:t xml:space="preserve"> (</w:t>
            </w:r>
            <w:r w:rsidRPr="0025401B">
              <w:rPr>
                <w:lang w:val="fr-CA"/>
              </w:rPr>
              <w:t xml:space="preserve">heure </w:t>
            </w:r>
            <w:r w:rsidR="004C1168">
              <w:rPr>
                <w:lang w:val="fr-CA"/>
              </w:rPr>
              <w:t>d’occurrence, humidité ou point de rosée pour chaque température</w:t>
            </w:r>
            <w:r w:rsidR="00BC04C4">
              <w:rPr>
                <w:lang w:val="fr-CA"/>
              </w:rPr>
              <w:t xml:space="preserve">, </w:t>
            </w:r>
            <w:r w:rsidR="004C1168">
              <w:rPr>
                <w:lang w:val="fr-CA"/>
              </w:rPr>
              <w:t>vecteur vent et précipitation</w:t>
            </w:r>
            <w:r w:rsidR="00BC04C4">
              <w:rPr>
                <w:lang w:val="fr-CA"/>
              </w:rPr>
              <w:t>s</w:t>
            </w:r>
            <w:r w:rsidR="004C1168">
              <w:rPr>
                <w:lang w:val="fr-CA"/>
              </w:rPr>
              <w:t xml:space="preserve">) sont souvent utilisées pour l’élaboration de </w:t>
            </w:r>
            <w:r w:rsidR="0025401B" w:rsidRPr="0025401B">
              <w:rPr>
                <w:lang w:val="fr-CA"/>
              </w:rPr>
              <w:t>modèles</w:t>
            </w:r>
            <w:r w:rsidR="004C1168">
              <w:rPr>
                <w:lang w:val="fr-CA"/>
              </w:rPr>
              <w:t xml:space="preserve"> </w:t>
            </w:r>
            <w:r w:rsidR="0025401B" w:rsidRPr="0025401B">
              <w:rPr>
                <w:lang w:val="fr-CA"/>
              </w:rPr>
              <w:t>énergétiq</w:t>
            </w:r>
            <w:r w:rsidR="004C1168">
              <w:rPr>
                <w:lang w:val="fr-CA"/>
              </w:rPr>
              <w:t>ue</w:t>
            </w:r>
            <w:r w:rsidR="00BC04C4">
              <w:rPr>
                <w:lang w:val="fr-CA"/>
              </w:rPr>
              <w:t>s</w:t>
            </w:r>
            <w:r w:rsidR="0025401B" w:rsidRPr="0025401B">
              <w:rPr>
                <w:lang w:val="fr-CA"/>
              </w:rPr>
              <w:t xml:space="preserve">. </w:t>
            </w:r>
          </w:p>
        </w:tc>
        <w:tc>
          <w:tcPr>
            <w:tcW w:w="2609" w:type="dxa"/>
          </w:tcPr>
          <w:p w:rsidR="005939DE" w:rsidRPr="00794B68" w:rsidRDefault="00794B68" w:rsidP="008651A5">
            <w:pPr>
              <w:pStyle w:val="TableParagraph"/>
              <w:ind w:left="100" w:right="91"/>
              <w:rPr>
                <w:lang w:val="fr-CA"/>
              </w:rPr>
            </w:pPr>
            <w:r w:rsidRPr="00794B68">
              <w:rPr>
                <w:lang w:val="fr-CA"/>
              </w:rPr>
              <w:t xml:space="preserve">Données </w:t>
            </w:r>
            <w:r w:rsidR="00BC04C4">
              <w:rPr>
                <w:lang w:val="fr-CA"/>
              </w:rPr>
              <w:t>recueillies</w:t>
            </w:r>
            <w:r w:rsidRPr="00794B68">
              <w:rPr>
                <w:lang w:val="fr-CA"/>
              </w:rPr>
              <w:t xml:space="preserve"> </w:t>
            </w:r>
            <w:r w:rsidR="001C345A" w:rsidRPr="00794B68">
              <w:rPr>
                <w:lang w:val="fr-CA"/>
              </w:rPr>
              <w:t>continu</w:t>
            </w:r>
            <w:r w:rsidRPr="00794B68">
              <w:rPr>
                <w:lang w:val="fr-CA"/>
              </w:rPr>
              <w:t xml:space="preserve">ellement, mais présentées par heure et disponibles par </w:t>
            </w:r>
            <w:r w:rsidR="008651A5">
              <w:rPr>
                <w:lang w:val="fr-CA"/>
              </w:rPr>
              <w:t>blocs mensuel</w:t>
            </w:r>
            <w:r w:rsidRPr="00794B68">
              <w:rPr>
                <w:lang w:val="fr-CA"/>
              </w:rPr>
              <w:t>s ou annuels</w:t>
            </w:r>
            <w:r w:rsidR="008651A5">
              <w:rPr>
                <w:lang w:val="fr-CA"/>
              </w:rPr>
              <w:t>.</w:t>
            </w:r>
            <w:r w:rsidRPr="00794B68">
              <w:rPr>
                <w:lang w:val="fr-CA"/>
              </w:rPr>
              <w:t xml:space="preserve"> </w:t>
            </w:r>
          </w:p>
        </w:tc>
        <w:tc>
          <w:tcPr>
            <w:tcW w:w="2702" w:type="dxa"/>
          </w:tcPr>
          <w:p w:rsidR="005939DE" w:rsidRPr="004F08A3" w:rsidRDefault="004F08A3" w:rsidP="004F08A3">
            <w:pPr>
              <w:pStyle w:val="Default"/>
              <w:rPr>
                <w:lang w:val="fr-CA"/>
              </w:rPr>
            </w:pPr>
            <w:r w:rsidRPr="004F08A3">
              <w:rPr>
                <w:color w:val="0462C1"/>
                <w:sz w:val="22"/>
                <w:szCs w:val="22"/>
                <w:lang w:val="fr-CA"/>
              </w:rPr>
              <w:t xml:space="preserve">http://www.ncdc.noaa.gov/oa/ncdc.html </w:t>
            </w:r>
          </w:p>
        </w:tc>
        <w:tc>
          <w:tcPr>
            <w:tcW w:w="2268" w:type="dxa"/>
          </w:tcPr>
          <w:p w:rsidR="005939DE" w:rsidRPr="00272525" w:rsidRDefault="00E57780" w:rsidP="00E57780">
            <w:pPr>
              <w:pStyle w:val="TableParagraph"/>
              <w:spacing w:line="268" w:lineRule="exact"/>
              <w:ind w:left="103"/>
              <w:rPr>
                <w:lang w:val="fr-CA"/>
              </w:rPr>
            </w:pPr>
            <w:r w:rsidRPr="00272525">
              <w:rPr>
                <w:lang w:val="fr-CA"/>
              </w:rPr>
              <w:t>En ligne</w:t>
            </w:r>
          </w:p>
        </w:tc>
      </w:tr>
      <w:tr w:rsidR="005939DE" w:rsidRPr="004F08A3" w:rsidTr="00175B4D">
        <w:trPr>
          <w:trHeight w:val="2460"/>
        </w:trPr>
        <w:tc>
          <w:tcPr>
            <w:tcW w:w="2250" w:type="dxa"/>
          </w:tcPr>
          <w:p w:rsidR="005939DE" w:rsidRPr="00414CC7" w:rsidRDefault="00414CC7" w:rsidP="004056FD">
            <w:pPr>
              <w:pStyle w:val="TableParagraph"/>
              <w:ind w:right="310"/>
              <w:rPr>
                <w:b/>
                <w:lang w:val="fr-CA"/>
              </w:rPr>
            </w:pPr>
            <w:r>
              <w:rPr>
                <w:lang w:val="fr-CA"/>
              </w:rPr>
              <w:t>Capacité no</w:t>
            </w:r>
            <w:r w:rsidRPr="00414CC7">
              <w:rPr>
                <w:lang w:val="fr-CA"/>
              </w:rPr>
              <w:t xml:space="preserve">minale des </w:t>
            </w:r>
            <w:r w:rsidR="008651A5" w:rsidRPr="004F08A3">
              <w:rPr>
                <w:lang w:val="fr-CA"/>
              </w:rPr>
              <w:t xml:space="preserve">principaux </w:t>
            </w:r>
            <w:r w:rsidRPr="004F08A3">
              <w:rPr>
                <w:lang w:val="fr-CA"/>
              </w:rPr>
              <w:t>systèmes éner</w:t>
            </w:r>
            <w:r w:rsidR="004056FD" w:rsidRPr="004F08A3">
              <w:rPr>
                <w:lang w:val="fr-CA"/>
              </w:rPr>
              <w:t>givores</w:t>
            </w:r>
            <w:r w:rsidRPr="00414CC7">
              <w:rPr>
                <w:b/>
                <w:lang w:val="fr-CA"/>
              </w:rPr>
              <w:t xml:space="preserve"> </w:t>
            </w:r>
          </w:p>
        </w:tc>
        <w:tc>
          <w:tcPr>
            <w:tcW w:w="4772" w:type="dxa"/>
          </w:tcPr>
          <w:p w:rsidR="00BE47ED" w:rsidRDefault="00A90559">
            <w:pPr>
              <w:pStyle w:val="TableParagraph"/>
              <w:ind w:right="127"/>
              <w:rPr>
                <w:lang w:val="fr-CA"/>
              </w:rPr>
            </w:pPr>
            <w:r w:rsidRPr="00503C1E">
              <w:rPr>
                <w:lang w:val="fr-CA"/>
              </w:rPr>
              <w:t>L</w:t>
            </w:r>
            <w:r w:rsidR="00503C1E" w:rsidRPr="00503C1E">
              <w:rPr>
                <w:lang w:val="fr-CA"/>
              </w:rPr>
              <w:t>a puissance nominale d</w:t>
            </w:r>
            <w:r w:rsidR="00BC04C4">
              <w:rPr>
                <w:lang w:val="fr-CA"/>
              </w:rPr>
              <w:t>e l’équipement</w:t>
            </w:r>
            <w:r w:rsidRPr="00503C1E">
              <w:rPr>
                <w:lang w:val="fr-CA"/>
              </w:rPr>
              <w:t xml:space="preserve"> électrique ou</w:t>
            </w:r>
            <w:r w:rsidR="00BE47ED">
              <w:rPr>
                <w:lang w:val="fr-CA"/>
              </w:rPr>
              <w:t xml:space="preserve"> à combustion est généralement indiquée sur une plaque ou une étiquette</w:t>
            </w:r>
            <w:r w:rsidR="004056FD">
              <w:rPr>
                <w:lang w:val="fr-CA"/>
              </w:rPr>
              <w:t xml:space="preserve"> signalétique</w:t>
            </w:r>
            <w:r w:rsidR="00BE47ED">
              <w:rPr>
                <w:lang w:val="fr-CA"/>
              </w:rPr>
              <w:t xml:space="preserve">. </w:t>
            </w:r>
            <w:r w:rsidR="00503C1E" w:rsidRPr="00503C1E">
              <w:rPr>
                <w:lang w:val="fr-CA"/>
              </w:rPr>
              <w:t xml:space="preserve"> </w:t>
            </w:r>
          </w:p>
          <w:p w:rsidR="006F2B3E" w:rsidRDefault="00BE47ED">
            <w:pPr>
              <w:pStyle w:val="TableParagraph"/>
              <w:ind w:right="127"/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Pr="00503C1E">
              <w:rPr>
                <w:lang w:val="fr-CA"/>
              </w:rPr>
              <w:t xml:space="preserve">a puissance nominale </w:t>
            </w:r>
            <w:r>
              <w:rPr>
                <w:lang w:val="fr-CA"/>
              </w:rPr>
              <w:t>d</w:t>
            </w:r>
            <w:r w:rsidR="00BC04C4">
              <w:rPr>
                <w:lang w:val="fr-CA"/>
              </w:rPr>
              <w:t>e l’équipement</w:t>
            </w:r>
            <w:r w:rsidRPr="004F08A3">
              <w:rPr>
                <w:lang w:val="fr-CA"/>
              </w:rPr>
              <w:t xml:space="preserve"> électrique est généralement établie en chevaux</w:t>
            </w:r>
            <w:r w:rsidR="00ED3763" w:rsidRPr="004F08A3">
              <w:rPr>
                <w:lang w:val="fr-CA"/>
              </w:rPr>
              <w:t>-</w:t>
            </w:r>
            <w:r w:rsidR="00A27DB9" w:rsidRPr="004F08A3">
              <w:rPr>
                <w:lang w:val="fr-CA"/>
              </w:rPr>
              <w:t>vapeur ou chevaux-</w:t>
            </w:r>
            <w:r w:rsidR="00ED3763" w:rsidRPr="004F08A3">
              <w:rPr>
                <w:lang w:val="fr-CA"/>
              </w:rPr>
              <w:t>puissance</w:t>
            </w:r>
            <w:r w:rsidR="004056FD" w:rsidRPr="004F08A3">
              <w:rPr>
                <w:lang w:val="fr-CA"/>
              </w:rPr>
              <w:t xml:space="preserve"> (HP)</w:t>
            </w:r>
            <w:r w:rsidR="00BC04C4">
              <w:rPr>
                <w:lang w:val="fr-CA"/>
              </w:rPr>
              <w:t>,</w:t>
            </w:r>
            <w:r w:rsidR="004056FD" w:rsidRPr="004F08A3">
              <w:rPr>
                <w:lang w:val="fr-CA"/>
              </w:rPr>
              <w:t xml:space="preserve"> </w:t>
            </w:r>
            <w:r w:rsidR="00ED3763" w:rsidRPr="004F08A3">
              <w:rPr>
                <w:lang w:val="fr-CA"/>
              </w:rPr>
              <w:t xml:space="preserve">ou en </w:t>
            </w:r>
            <w:r w:rsidR="001C345A" w:rsidRPr="004F08A3">
              <w:rPr>
                <w:lang w:val="fr-CA"/>
              </w:rPr>
              <w:t>kilowatts</w:t>
            </w:r>
            <w:r w:rsidR="00ED3763" w:rsidRPr="004F08A3">
              <w:rPr>
                <w:lang w:val="fr-CA"/>
              </w:rPr>
              <w:t xml:space="preserve"> (kW)</w:t>
            </w:r>
            <w:r w:rsidR="001C345A" w:rsidRPr="004F08A3">
              <w:rPr>
                <w:lang w:val="fr-CA"/>
              </w:rPr>
              <w:t>.</w:t>
            </w:r>
            <w:r w:rsidR="00ED3763">
              <w:rPr>
                <w:lang w:val="fr-CA"/>
              </w:rPr>
              <w:t xml:space="preserve"> </w:t>
            </w:r>
          </w:p>
          <w:p w:rsidR="00CE4E94" w:rsidRDefault="006F2B3E">
            <w:pPr>
              <w:pStyle w:val="TableParagraph"/>
              <w:ind w:right="127"/>
              <w:rPr>
                <w:lang w:val="fr-CA"/>
              </w:rPr>
            </w:pPr>
            <w:r>
              <w:rPr>
                <w:lang w:val="fr-CA"/>
              </w:rPr>
              <w:t xml:space="preserve">La puissance nominale </w:t>
            </w:r>
            <w:r w:rsidR="00E63365">
              <w:rPr>
                <w:lang w:val="fr-CA"/>
              </w:rPr>
              <w:t>de l’</w:t>
            </w:r>
            <w:r>
              <w:rPr>
                <w:lang w:val="fr-CA"/>
              </w:rPr>
              <w:t>équipement de refroi</w:t>
            </w:r>
            <w:r w:rsidR="00CE4E94">
              <w:rPr>
                <w:lang w:val="fr-CA"/>
              </w:rPr>
              <w:t>di</w:t>
            </w:r>
            <w:r>
              <w:rPr>
                <w:lang w:val="fr-CA"/>
              </w:rPr>
              <w:t>ssement électrique est</w:t>
            </w:r>
            <w:r w:rsidR="00CE4E94">
              <w:rPr>
                <w:lang w:val="fr-CA"/>
              </w:rPr>
              <w:t xml:space="preserve"> souvent établie en tonnes, une tonne de </w:t>
            </w:r>
            <w:r w:rsidR="00D135B7">
              <w:rPr>
                <w:lang w:val="fr-CA"/>
              </w:rPr>
              <w:t xml:space="preserve">puissance </w:t>
            </w:r>
            <w:r w:rsidR="00CE4E94">
              <w:rPr>
                <w:lang w:val="fr-CA"/>
              </w:rPr>
              <w:t>frigorifique équivalant à</w:t>
            </w:r>
            <w:r>
              <w:rPr>
                <w:lang w:val="fr-CA"/>
              </w:rPr>
              <w:t xml:space="preserve"> </w:t>
            </w:r>
            <w:r w:rsidR="001C345A" w:rsidRPr="00A90559">
              <w:rPr>
                <w:lang w:val="fr-CA"/>
              </w:rPr>
              <w:t>12</w:t>
            </w:r>
            <w:r w:rsidR="00A90559" w:rsidRPr="00A90559">
              <w:rPr>
                <w:lang w:val="fr-CA"/>
              </w:rPr>
              <w:t> </w:t>
            </w:r>
            <w:r w:rsidR="001C345A" w:rsidRPr="00A90559">
              <w:rPr>
                <w:lang w:val="fr-CA"/>
              </w:rPr>
              <w:t>000 B</w:t>
            </w:r>
            <w:r w:rsidR="00A90559" w:rsidRPr="00A90559">
              <w:rPr>
                <w:lang w:val="fr-CA"/>
              </w:rPr>
              <w:t xml:space="preserve">TU/h. </w:t>
            </w:r>
          </w:p>
          <w:p w:rsidR="005939DE" w:rsidRPr="00A90559" w:rsidRDefault="00A90559">
            <w:pPr>
              <w:pStyle w:val="TableParagraph"/>
              <w:ind w:right="127"/>
              <w:rPr>
                <w:highlight w:val="yellow"/>
                <w:lang w:val="fr-CA"/>
              </w:rPr>
            </w:pPr>
            <w:r w:rsidRPr="00A90559">
              <w:rPr>
                <w:lang w:val="fr-CA"/>
              </w:rPr>
              <w:t xml:space="preserve">La puissance nominale de l’équipement </w:t>
            </w:r>
            <w:r>
              <w:rPr>
                <w:lang w:val="fr-CA"/>
              </w:rPr>
              <w:t xml:space="preserve">thermique </w:t>
            </w:r>
            <w:r w:rsidRPr="00A90559">
              <w:rPr>
                <w:lang w:val="fr-CA"/>
              </w:rPr>
              <w:t xml:space="preserve">peut être </w:t>
            </w:r>
            <w:r>
              <w:rPr>
                <w:lang w:val="fr-CA"/>
              </w:rPr>
              <w:t xml:space="preserve">établie </w:t>
            </w:r>
            <w:r w:rsidRPr="00A90559">
              <w:rPr>
                <w:lang w:val="fr-CA"/>
              </w:rPr>
              <w:t xml:space="preserve">par un maximum de BTU/h, </w:t>
            </w:r>
            <w:r w:rsidR="00E63365">
              <w:rPr>
                <w:lang w:val="fr-CA"/>
              </w:rPr>
              <w:t xml:space="preserve">mais l’on indique souvent </w:t>
            </w:r>
            <w:r w:rsidRPr="00A90559">
              <w:rPr>
                <w:lang w:val="fr-CA"/>
              </w:rPr>
              <w:t>un minimum de BTU/h.</w:t>
            </w:r>
            <w:r>
              <w:rPr>
                <w:lang w:val="fr-CA"/>
              </w:rPr>
              <w:t xml:space="preserve"> </w:t>
            </w:r>
            <w:r w:rsidRPr="00A90559">
              <w:rPr>
                <w:lang w:val="fr-CA"/>
              </w:rPr>
              <w:t xml:space="preserve">  </w:t>
            </w:r>
          </w:p>
          <w:p w:rsidR="005939DE" w:rsidRPr="00A90559" w:rsidRDefault="00A90559" w:rsidP="00ED3763">
            <w:pPr>
              <w:pStyle w:val="TableParagraph"/>
              <w:spacing w:before="6" w:line="237" w:lineRule="auto"/>
              <w:ind w:right="499"/>
              <w:rPr>
                <w:lang w:val="fr-CA"/>
              </w:rPr>
            </w:pPr>
            <w:r w:rsidRPr="00A90559">
              <w:rPr>
                <w:lang w:val="fr-CA"/>
              </w:rPr>
              <w:t>La puissance nominale de l’équipement e</w:t>
            </w:r>
            <w:r w:rsidR="001C345A" w:rsidRPr="00A90559">
              <w:rPr>
                <w:lang w:val="fr-CA"/>
              </w:rPr>
              <w:t>urop</w:t>
            </w:r>
            <w:r w:rsidRPr="00A90559">
              <w:rPr>
                <w:lang w:val="fr-CA"/>
              </w:rPr>
              <w:t xml:space="preserve">éen peut être </w:t>
            </w:r>
            <w:r w:rsidR="009C0660">
              <w:rPr>
                <w:lang w:val="fr-CA"/>
              </w:rPr>
              <w:t>établ</w:t>
            </w:r>
            <w:r w:rsidRPr="00A90559">
              <w:rPr>
                <w:lang w:val="fr-CA"/>
              </w:rPr>
              <w:t xml:space="preserve">ie en </w:t>
            </w:r>
            <w:r w:rsidR="009C0660">
              <w:rPr>
                <w:lang w:val="fr-CA"/>
              </w:rPr>
              <w:t>kW</w:t>
            </w:r>
            <w:r w:rsidRPr="00A90559">
              <w:rPr>
                <w:lang w:val="fr-CA"/>
              </w:rPr>
              <w:t xml:space="preserve">, </w:t>
            </w:r>
            <w:r w:rsidR="009C0660">
              <w:rPr>
                <w:lang w:val="fr-CA"/>
              </w:rPr>
              <w:t xml:space="preserve">un kW correspondant à </w:t>
            </w:r>
            <w:r w:rsidR="00272525" w:rsidRPr="009C0660">
              <w:rPr>
                <w:lang w:val="fr-CA"/>
              </w:rPr>
              <w:t>3</w:t>
            </w:r>
            <w:r w:rsidRPr="009C0660">
              <w:rPr>
                <w:lang w:val="fr-CA"/>
              </w:rPr>
              <w:t> </w:t>
            </w:r>
            <w:r w:rsidR="001C345A" w:rsidRPr="009C0660">
              <w:rPr>
                <w:lang w:val="fr-CA"/>
              </w:rPr>
              <w:t>412</w:t>
            </w:r>
            <w:r w:rsidRPr="00A90559">
              <w:rPr>
                <w:lang w:val="fr-CA"/>
              </w:rPr>
              <w:t xml:space="preserve"> BTU/h. </w:t>
            </w:r>
          </w:p>
        </w:tc>
        <w:tc>
          <w:tcPr>
            <w:tcW w:w="2609" w:type="dxa"/>
          </w:tcPr>
          <w:p w:rsidR="005939DE" w:rsidRPr="006E62E3" w:rsidRDefault="00623C99" w:rsidP="006E62E3">
            <w:pPr>
              <w:pStyle w:val="TableParagraph"/>
              <w:ind w:left="100" w:right="208"/>
              <w:rPr>
                <w:lang w:val="fr-CA"/>
              </w:rPr>
            </w:pPr>
            <w:r>
              <w:rPr>
                <w:lang w:val="fr-CA"/>
              </w:rPr>
              <w:t>Parce qu’on ne change pas souvent la plupart des</w:t>
            </w:r>
            <w:r w:rsidR="006E62E3" w:rsidRPr="006E62E3">
              <w:rPr>
                <w:lang w:val="fr-CA"/>
              </w:rPr>
              <w:t xml:space="preserve"> équipements</w:t>
            </w:r>
            <w:r>
              <w:rPr>
                <w:lang w:val="fr-CA"/>
              </w:rPr>
              <w:t xml:space="preserve">, on ne doit recueillir qu’une seule fois des </w:t>
            </w:r>
            <w:r w:rsidR="006E62E3" w:rsidRPr="006E62E3">
              <w:rPr>
                <w:lang w:val="fr-CA"/>
              </w:rPr>
              <w:t xml:space="preserve">données </w:t>
            </w:r>
            <w:r>
              <w:rPr>
                <w:lang w:val="fr-CA"/>
              </w:rPr>
              <w:t xml:space="preserve">à propos de leur </w:t>
            </w:r>
            <w:r w:rsidR="006E62E3" w:rsidRPr="006E62E3">
              <w:rPr>
                <w:lang w:val="fr-CA"/>
              </w:rPr>
              <w:t xml:space="preserve">capacité, à moins </w:t>
            </w:r>
            <w:r w:rsidR="00EA4F69">
              <w:rPr>
                <w:lang w:val="fr-CA"/>
              </w:rPr>
              <w:t xml:space="preserve">qu’un équipement doive être modifié ou </w:t>
            </w:r>
            <w:r w:rsidR="006E62E3" w:rsidRPr="006E62E3">
              <w:rPr>
                <w:lang w:val="fr-CA"/>
              </w:rPr>
              <w:t>remplac</w:t>
            </w:r>
            <w:r w:rsidR="00EA4F69">
              <w:rPr>
                <w:lang w:val="fr-CA"/>
              </w:rPr>
              <w:t>é.</w:t>
            </w:r>
            <w:r w:rsidR="006E62E3" w:rsidRPr="006E62E3">
              <w:rPr>
                <w:lang w:val="fr-CA"/>
              </w:rPr>
              <w:t xml:space="preserve"> </w:t>
            </w:r>
          </w:p>
        </w:tc>
        <w:tc>
          <w:tcPr>
            <w:tcW w:w="2702" w:type="dxa"/>
          </w:tcPr>
          <w:p w:rsidR="005939DE" w:rsidRPr="008651A5" w:rsidRDefault="008651A5" w:rsidP="00EA4F69">
            <w:pPr>
              <w:pStyle w:val="TableParagraph"/>
              <w:ind w:left="103" w:right="110"/>
              <w:rPr>
                <w:lang w:val="fr-CA"/>
              </w:rPr>
            </w:pPr>
            <w:r w:rsidRPr="008651A5">
              <w:rPr>
                <w:lang w:val="fr-CA"/>
              </w:rPr>
              <w:t>Personnel d</w:t>
            </w:r>
            <w:r w:rsidR="00EA4F69">
              <w:rPr>
                <w:lang w:val="fr-CA"/>
              </w:rPr>
              <w:t>e maintenance</w:t>
            </w:r>
            <w:r w:rsidRPr="008651A5">
              <w:rPr>
                <w:lang w:val="fr-CA"/>
              </w:rPr>
              <w:t xml:space="preserve"> et guides</w:t>
            </w:r>
            <w:r w:rsidR="00EA4F69">
              <w:rPr>
                <w:lang w:val="fr-CA"/>
              </w:rPr>
              <w:t xml:space="preserve"> </w:t>
            </w:r>
            <w:r w:rsidRPr="008651A5">
              <w:rPr>
                <w:lang w:val="fr-CA"/>
              </w:rPr>
              <w:t>d’utilisation d</w:t>
            </w:r>
            <w:r w:rsidR="00EA4F69">
              <w:rPr>
                <w:lang w:val="fr-CA"/>
              </w:rPr>
              <w:t>e l</w:t>
            </w:r>
            <w:r w:rsidRPr="008651A5">
              <w:rPr>
                <w:lang w:val="fr-CA"/>
              </w:rPr>
              <w:t xml:space="preserve">’équipement. </w:t>
            </w:r>
          </w:p>
          <w:p w:rsidR="005939DE" w:rsidRPr="008651A5" w:rsidRDefault="00EA4F69" w:rsidP="00EA4F69">
            <w:pPr>
              <w:pStyle w:val="TableParagraph"/>
              <w:spacing w:before="63"/>
              <w:ind w:left="103" w:right="110"/>
              <w:rPr>
                <w:lang w:val="fr-CA"/>
              </w:rPr>
            </w:pPr>
            <w:r>
              <w:rPr>
                <w:lang w:val="fr-CA"/>
              </w:rPr>
              <w:t>On peut déduire les d</w:t>
            </w:r>
            <w:r w:rsidR="008651A5" w:rsidRPr="008651A5">
              <w:rPr>
                <w:lang w:val="fr-CA"/>
              </w:rPr>
              <w:t xml:space="preserve">onnées </w:t>
            </w:r>
            <w:r>
              <w:rPr>
                <w:lang w:val="fr-CA"/>
              </w:rPr>
              <w:t xml:space="preserve">à partir </w:t>
            </w:r>
            <w:r w:rsidR="008651A5" w:rsidRPr="008651A5">
              <w:rPr>
                <w:lang w:val="fr-CA"/>
              </w:rPr>
              <w:t xml:space="preserve">des </w:t>
            </w:r>
            <w:r>
              <w:rPr>
                <w:lang w:val="fr-CA"/>
              </w:rPr>
              <w:t>registres</w:t>
            </w:r>
            <w:r w:rsidR="009005B8">
              <w:rPr>
                <w:lang w:val="fr-CA"/>
              </w:rPr>
              <w:t xml:space="preserve"> opérationnels</w:t>
            </w:r>
            <w:r w:rsidR="008651A5">
              <w:rPr>
                <w:lang w:val="fr-CA"/>
              </w:rPr>
              <w:t xml:space="preserve"> </w:t>
            </w:r>
            <w:r w:rsidR="008651A5" w:rsidRPr="008651A5">
              <w:rPr>
                <w:lang w:val="fr-CA"/>
              </w:rPr>
              <w:t>quotidiens</w:t>
            </w:r>
            <w:r w:rsidR="009005B8">
              <w:rPr>
                <w:lang w:val="fr-CA"/>
              </w:rPr>
              <w:t xml:space="preserve"> </w:t>
            </w:r>
            <w:r w:rsidR="008651A5" w:rsidRPr="008651A5">
              <w:rPr>
                <w:lang w:val="fr-CA"/>
              </w:rPr>
              <w:t>ou hebdomadaires</w:t>
            </w:r>
            <w:r w:rsidR="00F91827">
              <w:rPr>
                <w:lang w:val="fr-CA"/>
              </w:rPr>
              <w:t>.</w:t>
            </w:r>
          </w:p>
        </w:tc>
        <w:tc>
          <w:tcPr>
            <w:tcW w:w="2268" w:type="dxa"/>
          </w:tcPr>
          <w:p w:rsidR="00175B4D" w:rsidRPr="008A5239" w:rsidRDefault="00175B4D" w:rsidP="00175B4D">
            <w:pPr>
              <w:pStyle w:val="TableParagraph"/>
              <w:ind w:right="728"/>
              <w:rPr>
                <w:b/>
                <w:lang w:val="fr-CA"/>
              </w:rPr>
            </w:pPr>
            <w:r w:rsidRPr="00175B4D">
              <w:rPr>
                <w:lang w:val="fr-CA"/>
              </w:rPr>
              <w:t>G</w:t>
            </w:r>
            <w:r w:rsidR="001C345A" w:rsidRPr="00175B4D">
              <w:rPr>
                <w:lang w:val="fr-CA"/>
              </w:rPr>
              <w:t>uides</w:t>
            </w:r>
            <w:r w:rsidRPr="00175B4D">
              <w:rPr>
                <w:lang w:val="fr-CA"/>
              </w:rPr>
              <w:t xml:space="preserve"> d’utilisation d</w:t>
            </w:r>
            <w:r w:rsidR="00EA4F69">
              <w:rPr>
                <w:lang w:val="fr-CA"/>
              </w:rPr>
              <w:t>e l</w:t>
            </w:r>
            <w:r w:rsidRPr="00175B4D">
              <w:rPr>
                <w:lang w:val="fr-CA"/>
              </w:rPr>
              <w:t>’</w:t>
            </w:r>
            <w:r>
              <w:rPr>
                <w:lang w:val="fr-CA"/>
              </w:rPr>
              <w:t>équipement</w:t>
            </w:r>
            <w:r w:rsidR="00D63701">
              <w:rPr>
                <w:lang w:val="fr-CA"/>
              </w:rPr>
              <w:t>,</w:t>
            </w:r>
            <w:r>
              <w:rPr>
                <w:lang w:val="fr-CA"/>
              </w:rPr>
              <w:t xml:space="preserve"> rapports d’achat</w:t>
            </w:r>
          </w:p>
        </w:tc>
      </w:tr>
      <w:tr w:rsidR="005939DE" w:rsidRPr="004F08A3" w:rsidTr="00175B4D">
        <w:trPr>
          <w:trHeight w:val="1660"/>
        </w:trPr>
        <w:tc>
          <w:tcPr>
            <w:tcW w:w="2250" w:type="dxa"/>
          </w:tcPr>
          <w:p w:rsidR="005939DE" w:rsidRPr="000D2338" w:rsidRDefault="000D2338" w:rsidP="000D2338">
            <w:pPr>
              <w:pStyle w:val="TableParagraph"/>
              <w:spacing w:before="2" w:line="237" w:lineRule="auto"/>
              <w:ind w:right="426"/>
              <w:rPr>
                <w:lang w:val="fr-CA"/>
              </w:rPr>
            </w:pPr>
            <w:r w:rsidRPr="000D2338">
              <w:rPr>
                <w:lang w:val="fr-CA"/>
              </w:rPr>
              <w:lastRenderedPageBreak/>
              <w:t>Données de</w:t>
            </w:r>
            <w:r w:rsidR="00EA4F69">
              <w:rPr>
                <w:lang w:val="fr-CA"/>
              </w:rPr>
              <w:t>s</w:t>
            </w:r>
            <w:r w:rsidRPr="000D2338">
              <w:rPr>
                <w:lang w:val="fr-CA"/>
              </w:rPr>
              <w:t xml:space="preserve"> compteur</w:t>
            </w:r>
            <w:r w:rsidR="00EA4F69">
              <w:rPr>
                <w:lang w:val="fr-CA"/>
              </w:rPr>
              <w:t>s</w:t>
            </w:r>
            <w:r w:rsidRPr="000D2338">
              <w:rPr>
                <w:lang w:val="fr-CA"/>
              </w:rPr>
              <w:t xml:space="preserve"> divis</w:t>
            </w:r>
            <w:r>
              <w:rPr>
                <w:lang w:val="fr-CA"/>
              </w:rPr>
              <w:t>i</w:t>
            </w:r>
            <w:r w:rsidRPr="000D2338">
              <w:rPr>
                <w:lang w:val="fr-CA"/>
              </w:rPr>
              <w:t>onnaire</w:t>
            </w:r>
            <w:r w:rsidR="00EA4F69">
              <w:rPr>
                <w:lang w:val="fr-CA"/>
              </w:rPr>
              <w:t>s</w:t>
            </w:r>
            <w:r w:rsidRPr="000D2338">
              <w:rPr>
                <w:lang w:val="fr-CA"/>
              </w:rPr>
              <w:t xml:space="preserve"> </w:t>
            </w:r>
          </w:p>
        </w:tc>
        <w:tc>
          <w:tcPr>
            <w:tcW w:w="4772" w:type="dxa"/>
          </w:tcPr>
          <w:p w:rsidR="005939DE" w:rsidRPr="000D2338" w:rsidRDefault="004E33F6" w:rsidP="004E33F6">
            <w:pPr>
              <w:pStyle w:val="TableParagraph"/>
              <w:ind w:right="244"/>
              <w:rPr>
                <w:lang w:val="fr-CA"/>
              </w:rPr>
            </w:pPr>
            <w:r>
              <w:rPr>
                <w:lang w:val="fr-CA"/>
              </w:rPr>
              <w:t>On installe d</w:t>
            </w:r>
            <w:r w:rsidR="000D2338">
              <w:rPr>
                <w:lang w:val="fr-CA"/>
              </w:rPr>
              <w:t>es compteurs divisionnaires sur l’équipement ou dans les installations</w:t>
            </w:r>
            <w:r w:rsidR="00EA4F69">
              <w:rPr>
                <w:lang w:val="fr-CA"/>
              </w:rPr>
              <w:t>,</w:t>
            </w:r>
            <w:r w:rsidR="000D2338">
              <w:rPr>
                <w:lang w:val="fr-CA"/>
              </w:rPr>
              <w:t xml:space="preserve"> ou</w:t>
            </w:r>
            <w:r>
              <w:rPr>
                <w:lang w:val="fr-CA"/>
              </w:rPr>
              <w:t xml:space="preserve"> on les applique </w:t>
            </w:r>
            <w:r w:rsidR="000D2338">
              <w:rPr>
                <w:lang w:val="fr-CA"/>
              </w:rPr>
              <w:t xml:space="preserve">aux systèmes </w:t>
            </w:r>
            <w:r>
              <w:rPr>
                <w:lang w:val="fr-CA"/>
              </w:rPr>
              <w:t xml:space="preserve">et </w:t>
            </w:r>
            <w:r w:rsidR="000D2338">
              <w:rPr>
                <w:lang w:val="fr-CA"/>
              </w:rPr>
              <w:t>proc</w:t>
            </w:r>
            <w:r w:rsidR="005412C3">
              <w:rPr>
                <w:lang w:val="fr-CA"/>
              </w:rPr>
              <w:t>édés</w:t>
            </w:r>
            <w:r w:rsidR="000D2338">
              <w:rPr>
                <w:lang w:val="fr-CA"/>
              </w:rPr>
              <w:t xml:space="preserve"> pour </w:t>
            </w:r>
            <w:r w:rsidR="005412C3">
              <w:rPr>
                <w:lang w:val="fr-CA"/>
              </w:rPr>
              <w:t>obtenir</w:t>
            </w:r>
            <w:r w:rsidR="000D2338">
              <w:rPr>
                <w:lang w:val="fr-CA"/>
              </w:rPr>
              <w:t xml:space="preserve"> des données sur l’énergie </w:t>
            </w:r>
            <w:r>
              <w:rPr>
                <w:lang w:val="fr-CA"/>
              </w:rPr>
              <w:t>requise</w:t>
            </w:r>
            <w:r w:rsidR="000D2338">
              <w:rPr>
                <w:lang w:val="fr-CA"/>
              </w:rPr>
              <w:t xml:space="preserve">. </w:t>
            </w:r>
            <w:r w:rsidR="000D2338" w:rsidRPr="000D2338">
              <w:rPr>
                <w:lang w:val="fr-CA"/>
              </w:rPr>
              <w:t xml:space="preserve">Une des </w:t>
            </w:r>
            <w:r>
              <w:rPr>
                <w:lang w:val="fr-CA"/>
              </w:rPr>
              <w:t>méthodes courantes co</w:t>
            </w:r>
            <w:r w:rsidR="000D2338" w:rsidRPr="000D2338">
              <w:rPr>
                <w:lang w:val="fr-CA"/>
              </w:rPr>
              <w:t>nsiste</w:t>
            </w:r>
            <w:r>
              <w:rPr>
                <w:lang w:val="fr-CA"/>
              </w:rPr>
              <w:t xml:space="preserve"> </w:t>
            </w:r>
            <w:r w:rsidR="000D2338" w:rsidRPr="000D2338">
              <w:rPr>
                <w:lang w:val="fr-CA"/>
              </w:rPr>
              <w:t>à mesure</w:t>
            </w:r>
            <w:r w:rsidR="00272525">
              <w:rPr>
                <w:lang w:val="fr-CA"/>
              </w:rPr>
              <w:t xml:space="preserve">r </w:t>
            </w:r>
            <w:r w:rsidR="000D2338" w:rsidRPr="000D2338">
              <w:rPr>
                <w:lang w:val="fr-CA"/>
              </w:rPr>
              <w:t>la consommation d’énergie de fa</w:t>
            </w:r>
            <w:r w:rsidR="000D2338">
              <w:rPr>
                <w:lang w:val="fr-CA"/>
              </w:rPr>
              <w:t>çon plus</w:t>
            </w:r>
            <w:r w:rsidR="00272525">
              <w:rPr>
                <w:lang w:val="fr-CA"/>
              </w:rPr>
              <w:t xml:space="preserve"> détaillée que l’information produite par les compteurs, mais ces derniers mesurent des aspects comme le volume, la température </w:t>
            </w:r>
            <w:r>
              <w:rPr>
                <w:lang w:val="fr-CA"/>
              </w:rPr>
              <w:t xml:space="preserve">et </w:t>
            </w:r>
            <w:r w:rsidR="00272525">
              <w:rPr>
                <w:lang w:val="fr-CA"/>
              </w:rPr>
              <w:t>les propriétés du gaz, entre autres.</w:t>
            </w:r>
          </w:p>
        </w:tc>
        <w:tc>
          <w:tcPr>
            <w:tcW w:w="2609" w:type="dxa"/>
          </w:tcPr>
          <w:p w:rsidR="005939DE" w:rsidRPr="00BF327E" w:rsidRDefault="00BF327E" w:rsidP="00BF327E">
            <w:pPr>
              <w:pStyle w:val="TableParagraph"/>
              <w:ind w:left="100" w:right="321"/>
              <w:rPr>
                <w:lang w:val="fr-CA"/>
              </w:rPr>
            </w:pPr>
            <w:r>
              <w:rPr>
                <w:lang w:val="fr-CA"/>
              </w:rPr>
              <w:t>Fréquence des c</w:t>
            </w:r>
            <w:r w:rsidR="001C345A" w:rsidRPr="00BF327E">
              <w:rPr>
                <w:lang w:val="fr-CA"/>
              </w:rPr>
              <w:t>ollect</w:t>
            </w:r>
            <w:r>
              <w:rPr>
                <w:lang w:val="fr-CA"/>
              </w:rPr>
              <w:t>e</w:t>
            </w:r>
            <w:r w:rsidR="000D2338">
              <w:rPr>
                <w:lang w:val="fr-CA"/>
              </w:rPr>
              <w:t>s</w:t>
            </w:r>
            <w:r>
              <w:rPr>
                <w:lang w:val="fr-CA"/>
              </w:rPr>
              <w:t xml:space="preserve"> variant e</w:t>
            </w:r>
            <w:r w:rsidRPr="00BF327E">
              <w:rPr>
                <w:lang w:val="fr-CA"/>
              </w:rPr>
              <w:t xml:space="preserve">n </w:t>
            </w:r>
            <w:r>
              <w:rPr>
                <w:lang w:val="fr-CA"/>
              </w:rPr>
              <w:t>fo</w:t>
            </w:r>
            <w:r w:rsidRPr="00BF327E">
              <w:rPr>
                <w:lang w:val="fr-CA"/>
              </w:rPr>
              <w:t>nction de</w:t>
            </w:r>
            <w:r w:rsidR="00272525">
              <w:rPr>
                <w:lang w:val="fr-CA"/>
              </w:rPr>
              <w:t>s besoins en matière de données</w:t>
            </w:r>
          </w:p>
        </w:tc>
        <w:tc>
          <w:tcPr>
            <w:tcW w:w="2702" w:type="dxa"/>
          </w:tcPr>
          <w:p w:rsidR="005939DE" w:rsidRPr="000D2338" w:rsidRDefault="000D2338" w:rsidP="000D2338">
            <w:pPr>
              <w:pStyle w:val="TableParagraph"/>
              <w:spacing w:line="268" w:lineRule="exact"/>
              <w:ind w:left="103"/>
            </w:pPr>
            <w:r w:rsidRPr="000D2338">
              <w:t xml:space="preserve">Lectures de </w:t>
            </w:r>
            <w:r w:rsidRPr="000D2338">
              <w:rPr>
                <w:lang w:val="fr-CA"/>
              </w:rPr>
              <w:t>compteur</w:t>
            </w:r>
          </w:p>
        </w:tc>
        <w:tc>
          <w:tcPr>
            <w:tcW w:w="2268" w:type="dxa"/>
          </w:tcPr>
          <w:p w:rsidR="005939DE" w:rsidRPr="00272525" w:rsidRDefault="000D2338" w:rsidP="00272525">
            <w:pPr>
              <w:pStyle w:val="TableParagraph"/>
              <w:ind w:left="103" w:right="248"/>
              <w:rPr>
                <w:lang w:val="fr-CA"/>
              </w:rPr>
            </w:pPr>
            <w:r w:rsidRPr="00272525">
              <w:rPr>
                <w:lang w:val="fr-CA"/>
              </w:rPr>
              <w:t>Service de la production</w:t>
            </w:r>
            <w:r w:rsidR="00D63701">
              <w:rPr>
                <w:lang w:val="fr-CA"/>
              </w:rPr>
              <w:t>,</w:t>
            </w:r>
            <w:r w:rsidRPr="00272525">
              <w:rPr>
                <w:lang w:val="fr-CA"/>
              </w:rPr>
              <w:t xml:space="preserve"> </w:t>
            </w:r>
            <w:r w:rsidR="00272525">
              <w:rPr>
                <w:lang w:val="fr-CA"/>
              </w:rPr>
              <w:t>système de gestion des immeubles</w:t>
            </w:r>
            <w:r w:rsidR="00D63701">
              <w:rPr>
                <w:lang w:val="fr-CA"/>
              </w:rPr>
              <w:t>,</w:t>
            </w:r>
            <w:r w:rsidR="00272525">
              <w:rPr>
                <w:lang w:val="fr-CA"/>
              </w:rPr>
              <w:t xml:space="preserve"> </w:t>
            </w:r>
            <w:r w:rsidR="001C345A" w:rsidRPr="00272525">
              <w:rPr>
                <w:lang w:val="fr-CA"/>
              </w:rPr>
              <w:t>r</w:t>
            </w:r>
            <w:r w:rsidR="00272525" w:rsidRPr="00272525">
              <w:rPr>
                <w:lang w:val="fr-CA"/>
              </w:rPr>
              <w:t>apports</w:t>
            </w:r>
            <w:r w:rsidR="00D63701">
              <w:rPr>
                <w:lang w:val="fr-CA"/>
              </w:rPr>
              <w:t>,</w:t>
            </w:r>
            <w:r w:rsidR="00272525" w:rsidRPr="00272525">
              <w:rPr>
                <w:lang w:val="fr-CA"/>
              </w:rPr>
              <w:t xml:space="preserve"> dossiers</w:t>
            </w:r>
          </w:p>
        </w:tc>
      </w:tr>
      <w:tr w:rsidR="005939DE" w:rsidRPr="004F08A3" w:rsidTr="00175B4D">
        <w:trPr>
          <w:trHeight w:val="1400"/>
        </w:trPr>
        <w:tc>
          <w:tcPr>
            <w:tcW w:w="2250" w:type="dxa"/>
          </w:tcPr>
          <w:p w:rsidR="005939DE" w:rsidRPr="00BF327E" w:rsidRDefault="00BF327E" w:rsidP="00BF327E">
            <w:pPr>
              <w:pStyle w:val="TableParagraph"/>
              <w:ind w:right="516"/>
              <w:rPr>
                <w:lang w:val="fr-CA"/>
              </w:rPr>
            </w:pPr>
            <w:r w:rsidRPr="00BF327E">
              <w:rPr>
                <w:lang w:val="fr-CA"/>
              </w:rPr>
              <w:t>Données f</w:t>
            </w:r>
            <w:r w:rsidR="001C345A" w:rsidRPr="00BF327E">
              <w:rPr>
                <w:lang w:val="fr-CA"/>
              </w:rPr>
              <w:t>inanci</w:t>
            </w:r>
            <w:r w:rsidRPr="00BF327E">
              <w:rPr>
                <w:lang w:val="fr-CA"/>
              </w:rPr>
              <w:t xml:space="preserve">ères </w:t>
            </w:r>
          </w:p>
        </w:tc>
        <w:tc>
          <w:tcPr>
            <w:tcW w:w="4772" w:type="dxa"/>
          </w:tcPr>
          <w:p w:rsidR="005939DE" w:rsidRPr="004F08A3" w:rsidRDefault="00A06FF6">
            <w:pPr>
              <w:pStyle w:val="TableParagraph"/>
              <w:rPr>
                <w:lang w:val="fr-CA"/>
              </w:rPr>
            </w:pPr>
            <w:r>
              <w:rPr>
                <w:lang w:val="fr-CA"/>
              </w:rPr>
              <w:t>L</w:t>
            </w:r>
            <w:r w:rsidR="00D63701">
              <w:rPr>
                <w:lang w:val="fr-CA"/>
              </w:rPr>
              <w:t xml:space="preserve">es données </w:t>
            </w:r>
            <w:r w:rsidR="00794B68" w:rsidRPr="00794B68">
              <w:rPr>
                <w:lang w:val="fr-CA"/>
              </w:rPr>
              <w:t>financière</w:t>
            </w:r>
            <w:r w:rsidR="00D63701">
              <w:rPr>
                <w:lang w:val="fr-CA"/>
              </w:rPr>
              <w:t xml:space="preserve">s sont souvent utiles à la </w:t>
            </w:r>
            <w:r w:rsidR="00794B68" w:rsidRPr="00794B68">
              <w:rPr>
                <w:lang w:val="fr-CA"/>
              </w:rPr>
              <w:t xml:space="preserve">gestion de l’énergie. </w:t>
            </w:r>
            <w:r w:rsidR="00D63701">
              <w:rPr>
                <w:lang w:val="fr-CA"/>
              </w:rPr>
              <w:t>Il</w:t>
            </w:r>
            <w:r w:rsidR="00794B68" w:rsidRPr="009F599A">
              <w:rPr>
                <w:lang w:val="fr-CA"/>
              </w:rPr>
              <w:t xml:space="preserve"> peut </w:t>
            </w:r>
            <w:r w:rsidR="00D63701">
              <w:rPr>
                <w:lang w:val="fr-CA"/>
              </w:rPr>
              <w:t xml:space="preserve">s’agir de </w:t>
            </w:r>
            <w:r w:rsidR="00635BB9">
              <w:rPr>
                <w:lang w:val="fr-CA"/>
              </w:rPr>
              <w:t xml:space="preserve">données sur </w:t>
            </w:r>
            <w:r w:rsidR="009F599A" w:rsidRPr="009F599A">
              <w:rPr>
                <w:lang w:val="fr-CA"/>
              </w:rPr>
              <w:t xml:space="preserve">le </w:t>
            </w:r>
            <w:r w:rsidR="009F599A" w:rsidRPr="004F08A3">
              <w:rPr>
                <w:lang w:val="fr-CA"/>
              </w:rPr>
              <w:t xml:space="preserve">rendement </w:t>
            </w:r>
            <w:r w:rsidR="00175B4D" w:rsidRPr="004F08A3">
              <w:rPr>
                <w:lang w:val="fr-CA"/>
              </w:rPr>
              <w:t xml:space="preserve">prévu ou les retombées </w:t>
            </w:r>
            <w:r w:rsidR="009F599A" w:rsidRPr="004F08A3">
              <w:rPr>
                <w:lang w:val="fr-CA"/>
              </w:rPr>
              <w:t>attend</w:t>
            </w:r>
            <w:r w:rsidR="00175B4D" w:rsidRPr="004F08A3">
              <w:rPr>
                <w:lang w:val="fr-CA"/>
              </w:rPr>
              <w:t xml:space="preserve">ues des </w:t>
            </w:r>
            <w:r w:rsidR="009F599A" w:rsidRPr="004F08A3">
              <w:rPr>
                <w:lang w:val="fr-CA"/>
              </w:rPr>
              <w:t>projets</w:t>
            </w:r>
            <w:r w:rsidR="004E33F6" w:rsidRPr="004F08A3">
              <w:rPr>
                <w:lang w:val="fr-CA"/>
              </w:rPr>
              <w:t xml:space="preserve"> </w:t>
            </w:r>
            <w:r w:rsidR="009F599A" w:rsidRPr="004F08A3">
              <w:rPr>
                <w:lang w:val="fr-CA"/>
              </w:rPr>
              <w:t>énerg</w:t>
            </w:r>
            <w:r w:rsidR="004E33F6" w:rsidRPr="004F08A3">
              <w:rPr>
                <w:lang w:val="fr-CA"/>
              </w:rPr>
              <w:t>étiqu</w:t>
            </w:r>
            <w:r w:rsidR="004F08A3" w:rsidRPr="004F08A3">
              <w:rPr>
                <w:lang w:val="fr-CA"/>
              </w:rPr>
              <w:t>e</w:t>
            </w:r>
            <w:r w:rsidR="00635BB9" w:rsidRPr="004F08A3">
              <w:rPr>
                <w:lang w:val="fr-CA"/>
              </w:rPr>
              <w:t>s</w:t>
            </w:r>
            <w:r w:rsidR="009F599A" w:rsidRPr="004F08A3">
              <w:rPr>
                <w:lang w:val="fr-CA"/>
              </w:rPr>
              <w:t xml:space="preserve">. </w:t>
            </w:r>
          </w:p>
          <w:p w:rsidR="005939DE" w:rsidRPr="00794B68" w:rsidRDefault="00794B68" w:rsidP="005C6321">
            <w:pPr>
              <w:pStyle w:val="TableParagraph"/>
              <w:spacing w:before="3"/>
              <w:ind w:right="88"/>
              <w:rPr>
                <w:lang w:val="fr-CA"/>
              </w:rPr>
            </w:pPr>
            <w:r w:rsidRPr="004F08A3">
              <w:rPr>
                <w:lang w:val="fr-CA"/>
              </w:rPr>
              <w:t>Les données f</w:t>
            </w:r>
            <w:r w:rsidR="001C345A" w:rsidRPr="004F08A3">
              <w:rPr>
                <w:lang w:val="fr-CA"/>
              </w:rPr>
              <w:t>inanci</w:t>
            </w:r>
            <w:r w:rsidRPr="004F08A3">
              <w:rPr>
                <w:lang w:val="fr-CA"/>
              </w:rPr>
              <w:t>ères</w:t>
            </w:r>
            <w:r w:rsidR="005C6321" w:rsidRPr="004F08A3">
              <w:rPr>
                <w:lang w:val="fr-CA"/>
              </w:rPr>
              <w:t xml:space="preserve"> </w:t>
            </w:r>
            <w:r w:rsidR="00D63701">
              <w:rPr>
                <w:lang w:val="fr-CA"/>
              </w:rPr>
              <w:t>comme</w:t>
            </w:r>
            <w:r w:rsidR="005C6321" w:rsidRPr="004F08A3">
              <w:rPr>
                <w:lang w:val="fr-CA"/>
              </w:rPr>
              <w:t xml:space="preserve"> </w:t>
            </w:r>
            <w:r w:rsidR="00D63701">
              <w:rPr>
                <w:lang w:val="fr-CA"/>
              </w:rPr>
              <w:t>le</w:t>
            </w:r>
            <w:r w:rsidRPr="004F08A3">
              <w:rPr>
                <w:lang w:val="fr-CA"/>
              </w:rPr>
              <w:t xml:space="preserve"> taux d’</w:t>
            </w:r>
            <w:r w:rsidR="00A3622A" w:rsidRPr="004F08A3">
              <w:rPr>
                <w:lang w:val="fr-CA"/>
              </w:rPr>
              <w:t xml:space="preserve">intérêt créditeur </w:t>
            </w:r>
            <w:r w:rsidRPr="004F08A3">
              <w:rPr>
                <w:lang w:val="fr-CA"/>
              </w:rPr>
              <w:t>prévu</w:t>
            </w:r>
            <w:r w:rsidRPr="00794B68">
              <w:rPr>
                <w:lang w:val="fr-CA"/>
              </w:rPr>
              <w:t xml:space="preserve"> pour les projets financés</w:t>
            </w:r>
            <w:r w:rsidR="00B66EC8">
              <w:rPr>
                <w:lang w:val="fr-CA"/>
              </w:rPr>
              <w:t xml:space="preserve"> par emprunt </w:t>
            </w:r>
            <w:r w:rsidR="00A31979">
              <w:rPr>
                <w:lang w:val="fr-CA"/>
              </w:rPr>
              <w:t xml:space="preserve">sont également </w:t>
            </w:r>
            <w:r w:rsidR="001C345A" w:rsidRPr="00794B68">
              <w:rPr>
                <w:lang w:val="fr-CA"/>
              </w:rPr>
              <w:t>important</w:t>
            </w:r>
            <w:r w:rsidR="00A31979">
              <w:rPr>
                <w:lang w:val="fr-CA"/>
              </w:rPr>
              <w:t>es</w:t>
            </w:r>
            <w:r w:rsidR="001C345A" w:rsidRPr="00794B68">
              <w:rPr>
                <w:lang w:val="fr-CA"/>
              </w:rPr>
              <w:t>.</w:t>
            </w:r>
          </w:p>
        </w:tc>
        <w:tc>
          <w:tcPr>
            <w:tcW w:w="2609" w:type="dxa"/>
          </w:tcPr>
          <w:p w:rsidR="005939DE" w:rsidRPr="00BF327E" w:rsidRDefault="00794B68" w:rsidP="00794B68">
            <w:pPr>
              <w:pStyle w:val="TableParagraph"/>
              <w:ind w:left="100" w:right="97"/>
              <w:rPr>
                <w:lang w:val="fr-CA"/>
              </w:rPr>
            </w:pPr>
            <w:r>
              <w:rPr>
                <w:lang w:val="fr-CA"/>
              </w:rPr>
              <w:t xml:space="preserve">Données </w:t>
            </w:r>
            <w:r w:rsidR="00A6576D">
              <w:rPr>
                <w:lang w:val="fr-CA"/>
              </w:rPr>
              <w:t>recueillies</w:t>
            </w:r>
            <w:r w:rsidR="00BF327E" w:rsidRPr="00BF327E">
              <w:rPr>
                <w:lang w:val="fr-CA"/>
              </w:rPr>
              <w:t xml:space="preserve"> au besoin, généralement </w:t>
            </w:r>
            <w:r w:rsidR="00D63701">
              <w:rPr>
                <w:lang w:val="fr-CA"/>
              </w:rPr>
              <w:t>une fois par an</w:t>
            </w:r>
          </w:p>
        </w:tc>
        <w:tc>
          <w:tcPr>
            <w:tcW w:w="2702" w:type="dxa"/>
          </w:tcPr>
          <w:p w:rsidR="005939DE" w:rsidRPr="00BF327E" w:rsidRDefault="00BF327E" w:rsidP="00635BB9">
            <w:pPr>
              <w:pStyle w:val="TableParagraph"/>
              <w:ind w:left="103" w:right="501"/>
              <w:rPr>
                <w:lang w:val="fr-CA"/>
              </w:rPr>
            </w:pPr>
            <w:r w:rsidRPr="00BF327E">
              <w:rPr>
                <w:lang w:val="fr-CA"/>
              </w:rPr>
              <w:t>Service des f</w:t>
            </w:r>
            <w:r w:rsidR="001C345A" w:rsidRPr="00BF327E">
              <w:rPr>
                <w:lang w:val="fr-CA"/>
              </w:rPr>
              <w:t>inance</w:t>
            </w:r>
            <w:r w:rsidRPr="00BF327E">
              <w:rPr>
                <w:lang w:val="fr-CA"/>
              </w:rPr>
              <w:t xml:space="preserve">s; </w:t>
            </w:r>
            <w:r w:rsidR="00D63701">
              <w:rPr>
                <w:lang w:val="fr-CA"/>
              </w:rPr>
              <w:t>institutions p</w:t>
            </w:r>
            <w:r w:rsidR="00656D57">
              <w:rPr>
                <w:lang w:val="fr-CA"/>
              </w:rPr>
              <w:t>rêteu</w:t>
            </w:r>
            <w:r w:rsidR="00D63701">
              <w:rPr>
                <w:lang w:val="fr-CA"/>
              </w:rPr>
              <w:t>ses</w:t>
            </w:r>
            <w:r w:rsidR="001C345A" w:rsidRPr="00BF327E">
              <w:rPr>
                <w:lang w:val="fr-CA"/>
              </w:rPr>
              <w:t xml:space="preserve"> </w:t>
            </w:r>
          </w:p>
        </w:tc>
        <w:tc>
          <w:tcPr>
            <w:tcW w:w="2268" w:type="dxa"/>
          </w:tcPr>
          <w:p w:rsidR="005939DE" w:rsidRPr="00007FBE" w:rsidRDefault="00007FBE" w:rsidP="00007FBE">
            <w:pPr>
              <w:pStyle w:val="TableParagraph"/>
              <w:ind w:left="103" w:right="250"/>
              <w:rPr>
                <w:lang w:val="fr-CA"/>
              </w:rPr>
            </w:pPr>
            <w:r w:rsidRPr="00007FBE">
              <w:rPr>
                <w:lang w:val="fr-CA"/>
              </w:rPr>
              <w:t>Données figurant dans les rapports financiers</w:t>
            </w:r>
            <w:bookmarkStart w:id="0" w:name="_GoBack"/>
            <w:bookmarkEnd w:id="0"/>
          </w:p>
        </w:tc>
      </w:tr>
    </w:tbl>
    <w:p w:rsidR="001C345A" w:rsidRPr="00007FBE" w:rsidRDefault="001C345A">
      <w:pPr>
        <w:rPr>
          <w:lang w:val="fr-CA"/>
        </w:rPr>
      </w:pPr>
    </w:p>
    <w:sectPr w:rsidR="001C345A" w:rsidRPr="00007FBE" w:rsidSect="00856653">
      <w:pgSz w:w="15840" w:h="12240" w:orient="landscape"/>
      <w:pgMar w:top="1280" w:right="1100" w:bottom="1340" w:left="1340" w:header="720" w:footer="11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78FF" w:rsidRDefault="005A78FF">
      <w:r>
        <w:separator/>
      </w:r>
    </w:p>
  </w:endnote>
  <w:endnote w:type="continuationSeparator" w:id="0">
    <w:p w:rsidR="005A78FF" w:rsidRDefault="005A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9DE" w:rsidRDefault="005247CD">
    <w:pPr>
      <w:pStyle w:val="Corpsdetexte"/>
      <w:spacing w:line="14" w:lineRule="auto"/>
    </w:pPr>
    <w:r>
      <w:rPr>
        <w:noProof/>
        <w:lang w:val="fr-CA" w:eastAsia="fr-C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54pt;margin-top:540.6pt;width:340.2pt;height:36.35pt;z-index:-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" filled="f" stroked="f">
          <v:textbox inset="0,0,0,0">
            <w:txbxContent>
              <w:p w:rsidR="005939DE" w:rsidRPr="00504049" w:rsidRDefault="00504049">
                <w:pPr>
                  <w:pStyle w:val="Corpsdetexte"/>
                  <w:spacing w:line="223" w:lineRule="exact"/>
                  <w:ind w:left="20"/>
                  <w:rPr>
                    <w:lang w:val="fr-CA"/>
                  </w:rPr>
                </w:pPr>
                <w:r w:rsidRPr="00504049">
                  <w:rPr>
                    <w:lang w:val="fr-CA"/>
                  </w:rPr>
                  <w:t>Types de données sur la gestion de l’énergie</w:t>
                </w:r>
                <w:r>
                  <w:rPr>
                    <w:lang w:val="fr-CA"/>
                  </w:rPr>
                  <w:t xml:space="preserve"> </w:t>
                </w:r>
                <w:r w:rsidR="001C345A" w:rsidRPr="00504049">
                  <w:rPr>
                    <w:lang w:val="fr-CA"/>
                  </w:rPr>
                  <w:t>(ex</w:t>
                </w:r>
                <w:r w:rsidRPr="00504049">
                  <w:rPr>
                    <w:lang w:val="fr-CA"/>
                  </w:rPr>
                  <w:t>e</w:t>
                </w:r>
                <w:r w:rsidR="001C345A" w:rsidRPr="00504049">
                  <w:rPr>
                    <w:lang w:val="fr-CA"/>
                  </w:rPr>
                  <w:t>mples)</w:t>
                </w:r>
              </w:p>
              <w:p w:rsidR="005939DE" w:rsidRDefault="001C345A">
                <w:pPr>
                  <w:pStyle w:val="Corpsdetexte"/>
                  <w:spacing w:line="243" w:lineRule="exact"/>
                  <w:ind w:left="20"/>
                </w:pPr>
                <w:r>
                  <w:t>50001 Ready Navigator (</w:t>
                </w:r>
                <w:hyperlink r:id="rId1">
                  <w:r>
                    <w:rPr>
                      <w:color w:val="0462C1"/>
                      <w:u w:val="single" w:color="0462C1"/>
                    </w:rPr>
                    <w:t>https://navigator.industrialenergytools.com</w:t>
                  </w:r>
                </w:hyperlink>
                <w:r>
                  <w:t>)</w:t>
                </w:r>
              </w:p>
              <w:p w:rsidR="005939DE" w:rsidRDefault="00504049">
                <w:pPr>
                  <w:pStyle w:val="Corpsdetexte"/>
                  <w:spacing w:line="243" w:lineRule="exact"/>
                  <w:ind w:left="20"/>
                </w:pPr>
                <w:r>
                  <w:t xml:space="preserve">© </w:t>
                </w:r>
                <w:r w:rsidR="001C345A">
                  <w:t>Georgia Tech Research Corporation and U.S. Department of Energy</w:t>
                </w:r>
                <w:r>
                  <w:t>,</w:t>
                </w:r>
                <w:r w:rsidR="00206B33">
                  <w:t xml:space="preserve"> </w:t>
                </w:r>
                <w:r>
                  <w:t>2017</w:t>
                </w:r>
              </w:p>
            </w:txbxContent>
          </v:textbox>
          <w10:wrap anchorx="page" anchory="page"/>
        </v:shape>
      </w:pict>
    </w:r>
    <w:r>
      <w:rPr>
        <w:noProof/>
        <w:lang w:val="fr-CA" w:eastAsia="fr-CA"/>
      </w:rPr>
      <w:pict>
        <v:shape id="Text Box 1" o:spid="_x0000_s4097" type="#_x0000_t202" style="position:absolute;margin-left:611.05pt;margin-top:552.75pt;width:60.85pt;height:24.1pt;z-index:-6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" filled="f" stroked="f">
          <v:textbox inset="0,0,0,0">
            <w:txbxContent>
              <w:p w:rsidR="005939DE" w:rsidRPr="00504049" w:rsidRDefault="001C345A">
                <w:pPr>
                  <w:pStyle w:val="Corpsdetexte"/>
                  <w:spacing w:line="222" w:lineRule="exact"/>
                  <w:ind w:left="20"/>
                  <w:rPr>
                    <w:lang w:val="fr-CA"/>
                  </w:rPr>
                </w:pPr>
                <w:r w:rsidRPr="00504049">
                  <w:rPr>
                    <w:lang w:val="fr-CA"/>
                  </w:rPr>
                  <w:t>F</w:t>
                </w:r>
                <w:r w:rsidR="00504049" w:rsidRPr="00504049">
                  <w:rPr>
                    <w:lang w:val="fr-CA"/>
                  </w:rPr>
                  <w:t xml:space="preserve">évrier </w:t>
                </w:r>
                <w:r w:rsidRPr="00504049">
                  <w:rPr>
                    <w:lang w:val="fr-CA"/>
                  </w:rPr>
                  <w:t>2017</w:t>
                </w:r>
              </w:p>
              <w:p w:rsidR="005939DE" w:rsidRPr="00504049" w:rsidRDefault="001C345A">
                <w:pPr>
                  <w:pStyle w:val="Corpsdetexte"/>
                  <w:spacing w:line="243" w:lineRule="exact"/>
                  <w:ind w:left="20"/>
                  <w:rPr>
                    <w:lang w:val="fr-CA"/>
                  </w:rPr>
                </w:pPr>
                <w:r w:rsidRPr="00504049">
                  <w:rPr>
                    <w:lang w:val="fr-CA"/>
                  </w:rPr>
                  <w:t xml:space="preserve">Page </w:t>
                </w:r>
                <w:r w:rsidR="00856653" w:rsidRPr="00504049">
                  <w:rPr>
                    <w:lang w:val="fr-CA"/>
                  </w:rPr>
                  <w:fldChar w:fldCharType="begin"/>
                </w:r>
                <w:r w:rsidRPr="00504049">
                  <w:rPr>
                    <w:lang w:val="fr-CA"/>
                  </w:rPr>
                  <w:instrText xml:space="preserve"> PAGE </w:instrText>
                </w:r>
                <w:r w:rsidR="00856653" w:rsidRPr="00504049">
                  <w:rPr>
                    <w:lang w:val="fr-CA"/>
                  </w:rPr>
                  <w:fldChar w:fldCharType="separate"/>
                </w:r>
                <w:r w:rsidR="005247CD">
                  <w:rPr>
                    <w:noProof/>
                    <w:lang w:val="fr-CA"/>
                  </w:rPr>
                  <w:t>3</w:t>
                </w:r>
                <w:r w:rsidR="00856653" w:rsidRPr="00504049">
                  <w:rPr>
                    <w:lang w:val="fr-CA"/>
                  </w:rPr>
                  <w:fldChar w:fldCharType="end"/>
                </w:r>
                <w:r w:rsidRPr="00504049">
                  <w:rPr>
                    <w:lang w:val="fr-CA"/>
                  </w:rPr>
                  <w:t xml:space="preserve"> </w:t>
                </w:r>
                <w:r w:rsidR="00504049" w:rsidRPr="00504049">
                  <w:rPr>
                    <w:lang w:val="fr-CA"/>
                  </w:rPr>
                  <w:t>de</w:t>
                </w:r>
                <w:r w:rsidRPr="00504049">
                  <w:rPr>
                    <w:lang w:val="fr-CA"/>
                  </w:rPr>
                  <w:t xml:space="preserve"> </w:t>
                </w:r>
                <w:r w:rsidR="005247CD">
                  <w:rPr>
                    <w:lang w:val="fr-CA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78FF" w:rsidRDefault="005A78FF">
      <w:r>
        <w:separator/>
      </w:r>
    </w:p>
  </w:footnote>
  <w:footnote w:type="continuationSeparator" w:id="0">
    <w:p w:rsidR="005A78FF" w:rsidRDefault="005A7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9DE" w:rsidRDefault="001C345A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268429031" behindDoc="1" locked="0" layoutInCell="1" allowOverlap="1">
          <wp:simplePos x="0" y="0"/>
          <wp:positionH relativeFrom="page">
            <wp:posOffset>4400550</wp:posOffset>
          </wp:positionH>
          <wp:positionV relativeFrom="page">
            <wp:posOffset>457200</wp:posOffset>
          </wp:positionV>
          <wp:extent cx="1256309" cy="36271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6309" cy="3627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9DE"/>
    <w:rsid w:val="00007FBE"/>
    <w:rsid w:val="00034F04"/>
    <w:rsid w:val="0006376C"/>
    <w:rsid w:val="000D149B"/>
    <w:rsid w:val="000D2338"/>
    <w:rsid w:val="00113D9D"/>
    <w:rsid w:val="001223AF"/>
    <w:rsid w:val="00175B4D"/>
    <w:rsid w:val="0019289A"/>
    <w:rsid w:val="001C030C"/>
    <w:rsid w:val="001C345A"/>
    <w:rsid w:val="001E717E"/>
    <w:rsid w:val="00206B33"/>
    <w:rsid w:val="0025401B"/>
    <w:rsid w:val="00254A24"/>
    <w:rsid w:val="00272525"/>
    <w:rsid w:val="002C4C14"/>
    <w:rsid w:val="00395F4F"/>
    <w:rsid w:val="003A480A"/>
    <w:rsid w:val="003E18D4"/>
    <w:rsid w:val="003E27AD"/>
    <w:rsid w:val="004056FD"/>
    <w:rsid w:val="00414CC7"/>
    <w:rsid w:val="00416FCC"/>
    <w:rsid w:val="0041761D"/>
    <w:rsid w:val="00434BEB"/>
    <w:rsid w:val="0045330E"/>
    <w:rsid w:val="004563F3"/>
    <w:rsid w:val="004A5DB1"/>
    <w:rsid w:val="004C1168"/>
    <w:rsid w:val="004C16C4"/>
    <w:rsid w:val="004C18D5"/>
    <w:rsid w:val="004C1A8E"/>
    <w:rsid w:val="004D4BFE"/>
    <w:rsid w:val="004E33F6"/>
    <w:rsid w:val="004F08A3"/>
    <w:rsid w:val="004F10A1"/>
    <w:rsid w:val="004F7A6C"/>
    <w:rsid w:val="00503C1E"/>
    <w:rsid w:val="00504049"/>
    <w:rsid w:val="005247CD"/>
    <w:rsid w:val="005357C0"/>
    <w:rsid w:val="005412C3"/>
    <w:rsid w:val="00552D14"/>
    <w:rsid w:val="0058020F"/>
    <w:rsid w:val="005939DE"/>
    <w:rsid w:val="005A78FF"/>
    <w:rsid w:val="005C2966"/>
    <w:rsid w:val="005C4CE2"/>
    <w:rsid w:val="005C6321"/>
    <w:rsid w:val="005F4A22"/>
    <w:rsid w:val="005F7F1D"/>
    <w:rsid w:val="00623C99"/>
    <w:rsid w:val="00635BB9"/>
    <w:rsid w:val="006544FB"/>
    <w:rsid w:val="00656D57"/>
    <w:rsid w:val="00662F92"/>
    <w:rsid w:val="00684BCD"/>
    <w:rsid w:val="006902F2"/>
    <w:rsid w:val="00691EC5"/>
    <w:rsid w:val="006D3DAE"/>
    <w:rsid w:val="006E016B"/>
    <w:rsid w:val="006E05B0"/>
    <w:rsid w:val="006E62E3"/>
    <w:rsid w:val="006F2B3E"/>
    <w:rsid w:val="00741619"/>
    <w:rsid w:val="007625E1"/>
    <w:rsid w:val="00794B68"/>
    <w:rsid w:val="007B3C99"/>
    <w:rsid w:val="007D74FD"/>
    <w:rsid w:val="007F3A15"/>
    <w:rsid w:val="0082495C"/>
    <w:rsid w:val="00856653"/>
    <w:rsid w:val="008651A5"/>
    <w:rsid w:val="008A5239"/>
    <w:rsid w:val="008F36B1"/>
    <w:rsid w:val="009005B8"/>
    <w:rsid w:val="00905523"/>
    <w:rsid w:val="00905738"/>
    <w:rsid w:val="00966576"/>
    <w:rsid w:val="009C0660"/>
    <w:rsid w:val="009F599A"/>
    <w:rsid w:val="00A06FF6"/>
    <w:rsid w:val="00A1007D"/>
    <w:rsid w:val="00A1296F"/>
    <w:rsid w:val="00A24D4B"/>
    <w:rsid w:val="00A2623C"/>
    <w:rsid w:val="00A27DB9"/>
    <w:rsid w:val="00A31979"/>
    <w:rsid w:val="00A3622A"/>
    <w:rsid w:val="00A6576D"/>
    <w:rsid w:val="00A90559"/>
    <w:rsid w:val="00B4080D"/>
    <w:rsid w:val="00B534C5"/>
    <w:rsid w:val="00B66EC8"/>
    <w:rsid w:val="00B76087"/>
    <w:rsid w:val="00BA29D4"/>
    <w:rsid w:val="00BC04C4"/>
    <w:rsid w:val="00BE47ED"/>
    <w:rsid w:val="00BF327E"/>
    <w:rsid w:val="00C11B52"/>
    <w:rsid w:val="00C919A8"/>
    <w:rsid w:val="00C95D51"/>
    <w:rsid w:val="00CE4E94"/>
    <w:rsid w:val="00CF04A3"/>
    <w:rsid w:val="00D135B7"/>
    <w:rsid w:val="00D245CA"/>
    <w:rsid w:val="00D63701"/>
    <w:rsid w:val="00D6669A"/>
    <w:rsid w:val="00D675F8"/>
    <w:rsid w:val="00D8116C"/>
    <w:rsid w:val="00D910A8"/>
    <w:rsid w:val="00E361B7"/>
    <w:rsid w:val="00E52316"/>
    <w:rsid w:val="00E561F1"/>
    <w:rsid w:val="00E57780"/>
    <w:rsid w:val="00E63365"/>
    <w:rsid w:val="00EA4F69"/>
    <w:rsid w:val="00ED3763"/>
    <w:rsid w:val="00ED7575"/>
    <w:rsid w:val="00EF1CCE"/>
    <w:rsid w:val="00EF7CD4"/>
    <w:rsid w:val="00F132D3"/>
    <w:rsid w:val="00F153B3"/>
    <w:rsid w:val="00F2780A"/>
    <w:rsid w:val="00F46A1A"/>
    <w:rsid w:val="00F72B11"/>
    <w:rsid w:val="00F91827"/>
    <w:rsid w:val="00FA607F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;"/>
  <w14:docId w14:val="1B727EDB"/>
  <w15:docId w15:val="{9CFAE396-BE5C-4344-91F8-B4DC52F6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56653"/>
    <w:rPr>
      <w:rFonts w:ascii="Calibri" w:eastAsia="Calibri" w:hAnsi="Calibri" w:cs="Calibr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5665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856653"/>
    <w:rPr>
      <w:sz w:val="20"/>
      <w:szCs w:val="20"/>
    </w:rPr>
  </w:style>
  <w:style w:type="paragraph" w:styleId="Paragraphedeliste">
    <w:name w:val="List Paragraph"/>
    <w:basedOn w:val="Normal"/>
    <w:uiPriority w:val="1"/>
    <w:qFormat/>
    <w:rsid w:val="00856653"/>
  </w:style>
  <w:style w:type="paragraph" w:customStyle="1" w:styleId="TableParagraph">
    <w:name w:val="Table Paragraph"/>
    <w:basedOn w:val="Normal"/>
    <w:uiPriority w:val="1"/>
    <w:qFormat/>
    <w:rsid w:val="00856653"/>
    <w:pPr>
      <w:ind w:left="102"/>
    </w:pPr>
  </w:style>
  <w:style w:type="paragraph" w:styleId="En-tte">
    <w:name w:val="header"/>
    <w:basedOn w:val="Normal"/>
    <w:link w:val="En-tteCar"/>
    <w:uiPriority w:val="99"/>
    <w:unhideWhenUsed/>
    <w:rsid w:val="0050404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04049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50404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4049"/>
    <w:rPr>
      <w:rFonts w:ascii="Calibri" w:eastAsia="Calibri" w:hAnsi="Calibri" w:cs="Calibri"/>
    </w:rPr>
  </w:style>
  <w:style w:type="character" w:styleId="Lienhypertexte">
    <w:name w:val="Hyperlink"/>
    <w:basedOn w:val="Policepardfaut"/>
    <w:uiPriority w:val="99"/>
    <w:unhideWhenUsed/>
    <w:rsid w:val="004F08A3"/>
    <w:rPr>
      <w:color w:val="0000FF" w:themeColor="hyperlink"/>
      <w:u w:val="single"/>
    </w:rPr>
  </w:style>
  <w:style w:type="paragraph" w:customStyle="1" w:styleId="Default">
    <w:name w:val="Default"/>
    <w:rsid w:val="004F08A3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982</Words>
  <Characters>5407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U.S. Department of Energy</dc:creator>
  <cp:lastModifiedBy>gmuguet</cp:lastModifiedBy>
  <cp:revision>4</cp:revision>
  <dcterms:created xsi:type="dcterms:W3CDTF">2017-11-14T05:36:00Z</dcterms:created>
  <dcterms:modified xsi:type="dcterms:W3CDTF">2017-11-15T15:27:00Z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2017-09-08T00:00:00Z</vt:filetime>
  </property>
</Properties>
</file>