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Arial" w:cs="Arial" w:eastAsia="Arial" w:hAnsi="Arial"/>
          <w:b/>
          <w:bCs/>
          <w:color w:val="1F3A5F"/>
          <w:sz w:val="48"/>
          <w:szCs w:val="48"/>
        </w:rPr>
        <w:t xml:space="preserve">RAPORT TEHNIC</w:t>
      </w:r>
    </w:p>
    <w:p>
      <w:pPr>
        <w:spacing w:after="30" w:before="30"/>
        <w:jc w:val="center"/>
      </w:pPr>
      <w:r>
        <w:rPr>
          <w:rFonts w:ascii="Arial" w:cs="Arial" w:eastAsia="Arial" w:hAnsi="Arial"/>
          <w:b/>
          <w:bCs/>
          <w:color w:val="2C5F8A"/>
          <w:sz w:val="32"/>
          <w:szCs w:val="32"/>
        </w:rPr>
        <w:t xml:space="preserve">Strategia de Certificare CE</w:t>
      </w:r>
    </w:p>
    <w:p>
      <w:pPr>
        <w:spacing w:after="20" w:before="20"/>
        <w:jc w:val="center"/>
      </w:pPr>
      <w:r>
        <w:rPr>
          <w:rFonts w:ascii="Arial" w:cs="Arial" w:eastAsia="Arial" w:hAnsi="Arial"/>
          <w:color w:val="3A7ABF"/>
          <w:sz w:val="26"/>
          <w:szCs w:val="26"/>
        </w:rPr>
        <w:t xml:space="preserve">Inel Smart Bijuterie din Aur cu Electronice Integrate</w:t>
      </w:r>
    </w:p>
    <w:p>
      <w:pPr>
        <w:spacing w:after="50" w:before="50"/>
      </w:pPr>
      <w:r>
        <w:t xml:space="preserve"/>
      </w:r>
    </w:p>
    <w:p>
      <w:pPr>
        <w:spacing w:after="50" w:before="50"/>
      </w:pPr>
      <w:r>
        <w:t xml:space="preserve"/>
      </w:r>
    </w:p>
    <w:p>
      <w:pPr>
        <w:spacing w:after="20" w:before="40"/>
        <w:jc w:val="center"/>
      </w:pPr>
      <w:r>
        <w:rPr>
          <w:rFonts w:ascii="Arial" w:cs="Arial" w:eastAsia="Arial" w:hAnsi="Arial"/>
          <w:i/>
          <w:iCs/>
          <w:color w:val="888880"/>
          <w:sz w:val="20"/>
          <w:szCs w:val="20"/>
        </w:rPr>
        <w:t xml:space="preserve">Structura multistrat · Subansamble paralele interconectate · BLE 5.0 · Biometrie</w:t>
      </w:r>
    </w:p>
    <w:p>
      <w:pPr>
        <w:spacing w:after="20" w:before="20"/>
        <w:jc w:val="center"/>
      </w:pPr>
      <w:r>
        <w:rPr>
          <w:rFonts w:ascii="Arial" w:cs="Arial" w:eastAsia="Arial" w:hAnsi="Arial"/>
          <w:color w:val="888880"/>
          <w:sz w:val="18"/>
          <w:szCs w:val="18"/>
        </w:rPr>
        <w:t xml:space="preserve">Versiune: 1.0  |  Status: Draft  |  2025</w:t>
      </w:r>
    </w:p>
    <w:p>
      <w:pPr>
        <w:spacing w:after="50" w:before="50"/>
      </w:pPr>
      <w:r>
        <w:t xml:space="preserve"/>
      </w:r>
    </w:p>
    <w:p>
      <w:pPr>
        <w:pBdr>
          <w:left w:val="single" w:color="2C5F8A" w:sz="8" w:space="10"/>
        </w:pBdr>
        <w:spacing w:after="40" w:before="60"/>
        <w:ind w:left="280"/>
      </w:pPr>
      <w:r>
        <w:rPr>
          <w:rFonts w:ascii="Arial" w:cs="Arial" w:eastAsia="Arial" w:hAnsi="Arial"/>
          <w:b/>
          <w:bCs/>
          <w:color w:val="1F3A5F"/>
          <w:sz w:val="20"/>
          <w:szCs w:val="20"/>
        </w:rPr>
        <w:t xml:space="preserve">REZUMAT: </w:t>
      </w:r>
    </w:p>
    <w:p>
      <w:pPr>
        <w:pBdr>
          <w:left w:val="single" w:color="2C5F8A" w:sz="8" w:space="10"/>
        </w:pBdr>
        <w:spacing w:after="80" w:before="20"/>
        <w:ind w:left="280"/>
      </w:pPr>
      <w:r>
        <w:rPr>
          <w:rFonts w:ascii="Arial" w:cs="Arial" w:eastAsia="Arial" w:hAnsi="Arial"/>
          <w:color w:val="444441"/>
          <w:sz w:val="20"/>
          <w:szCs w:val="20"/>
        </w:rPr>
        <w:t xml:space="preserve">Prezentul raport stabileste strategia completa de obtinere a marcajului CE pentru inelul smart de bijuterie, un dispozitiv cu structura multistrat realizata din subansamble paralele interconectate si lipite. Sunt acoperite toate directivele aplicabile (RED, LVD, RoHS, REACH), testele obligatorii per standard, valorificarea certificarilor existente ale componentelor, si strategia de reducere a costurilor prin utilizarea laboratoarelor universitare acreditate din Romania inainte de certificarea finala la laboratoare notificate.</w:t>
      </w:r>
    </w:p>
    <w:p>
      <w:pPr>
        <w:spacing w:after="50" w:before="50"/>
      </w:pPr>
      <w:r>
        <w:t xml:space="preserve"/>
      </w:r>
    </w:p>
    <w:p>
      <w:r>
        <w:br w:type="page"/>
      </w:r>
    </w:p>
    <w:p>
      <w:pPr>
        <w:pStyle w:val="Heading1"/>
        <w:spacing w:after="160" w:before="380"/>
      </w:pPr>
      <w:r>
        <w:rPr>
          <w:rFonts w:ascii="Arial" w:cs="Arial" w:eastAsia="Arial" w:hAnsi="Arial"/>
          <w:b/>
          <w:bCs/>
          <w:color w:val="1F3A5F"/>
          <w:sz w:val="32"/>
          <w:szCs w:val="32"/>
        </w:rPr>
        <w:t xml:space="preserve">1. Cadrul Legal Aplicabil</w:t>
      </w:r>
    </w:p>
    <w:p>
      <w:pPr>
        <w:spacing w:after="70" w:before="70"/>
      </w:pPr>
      <w:r>
        <w:rPr>
          <w:rFonts w:ascii="Arial" w:cs="Arial" w:eastAsia="Arial" w:hAnsi="Arial"/>
          <w:color w:val="444441"/>
          <w:sz w:val="21"/>
          <w:szCs w:val="21"/>
        </w:rPr>
        <w:t xml:space="preserve">Inelul smart cu BLE, senzori biometrici si baterie LiPo cade sub minimum patru directive CE simultan. Fiecare directiva impune cerinte distincte, standarde armonizate proprii si proceduri de evaluare a conformitatii independente.</w:t>
      </w:r>
    </w:p>
    <w:p>
      <w:pPr>
        <w:spacing w:after="50" w:before="5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000"/>
        <w:gridCol w:w="1426"/>
      </w:tblGrid>
      <w:tr>
        <w:trPr>
          <w:tblHeader/>
        </w:trPr>
        <w:tc>
          <w:tcPr>
            <w:tcW w:type="dxa" w:w="28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Directiva / Regulament</w:t>
            </w:r>
          </w:p>
        </w:tc>
        <w:tc>
          <w:tcPr>
            <w:tcW w:type="dxa" w:w="20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Cod</w:t>
            </w:r>
          </w:p>
        </w:tc>
        <w:tc>
          <w:tcPr>
            <w:tcW w:type="dxa" w:w="30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Aplicabilitate</w:t>
            </w:r>
          </w:p>
        </w:tc>
        <w:tc>
          <w:tcPr>
            <w:tcW w:type="dxa" w:w="14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Prioritate</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Radio Equipment Directive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RED 2014/53/EU</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BLE 2.4 GHz — modul wireless integrat</w:t>
            </w:r>
          </w:p>
        </w:tc>
        <w:tc>
          <w:tcPr>
            <w:tcW w:type="dxa" w:w="14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Low Voltage Directive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LVD 2014/35/EU</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Baterie LiPo + circuit electronic alimentat</w:t>
            </w:r>
          </w:p>
        </w:tc>
        <w:tc>
          <w:tcPr>
            <w:tcW w:type="dxa" w:w="14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RoHS Directive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2011/65/EU + 2015/863</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Materiale fara substante periculoase pe FPC</w:t>
            </w:r>
          </w:p>
        </w:tc>
        <w:tc>
          <w:tcPr>
            <w:tcW w:type="dxa" w:w="14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REACH Regulation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EC 1907/2006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Substante chimice in materiale si aliaj aur</w:t>
            </w:r>
          </w:p>
        </w:tc>
        <w:tc>
          <w:tcPr>
            <w:tcW w:type="dxa" w:w="14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General Product Safety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GPSD 2001/95/EC</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Produs de consum purtat permanent pe corp</w:t>
            </w:r>
          </w:p>
        </w:tc>
        <w:tc>
          <w:tcPr>
            <w:tcW w:type="dxa" w:w="14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Medical Device Regulation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MDR 2017/745</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DOAR daca revendici date medicale clinice</w:t>
            </w:r>
          </w:p>
        </w:tc>
        <w:tc>
          <w:tcPr>
            <w:tcW w:type="dxa" w:w="1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Conditionat</w:t>
            </w:r>
          </w:p>
        </w:tc>
      </w:tr>
    </w:tbl>
    <w:p>
      <w:pPr>
        <w:spacing w:after="50" w:before="50"/>
      </w:pPr>
      <w:r>
        <w:t xml:space="preserve"/>
      </w:r>
    </w:p>
    <w:p>
      <w:pPr>
        <w:pBdr>
          <w:left w:val="single" w:color="0F6E56" w:sz="8" w:space="8"/>
        </w:pBdr>
        <w:spacing w:after="90" w:before="90"/>
        <w:ind w:left="260"/>
      </w:pPr>
      <w:r>
        <w:rPr>
          <w:rFonts w:ascii="Arial" w:cs="Arial" w:eastAsia="Arial" w:hAnsi="Arial"/>
          <w:i/>
          <w:iCs/>
          <w:color w:val="0A4A3A"/>
          <w:sz w:val="19"/>
          <w:szCs w:val="19"/>
        </w:rPr>
        <w:t xml:space="preserve">MDR 2017/745 NU se aplica daca masuratorile biometrice sunt prezentate ca date de wellness/fitness, nu ca diagnostic medical. Recomandat: evitati orice limbaj de tip 'diagnostic' sau 'medical' in materialele de marketing pentru V1.</w:t>
      </w:r>
    </w:p>
    <w:p>
      <w:pPr>
        <w:spacing w:after="50" w:before="50"/>
      </w:pPr>
      <w:r>
        <w:t xml:space="preserve"/>
      </w:r>
    </w:p>
    <w:p>
      <w:r>
        <w:br w:type="page"/>
      </w:r>
    </w:p>
    <w:p>
      <w:pPr>
        <w:pStyle w:val="Heading1"/>
        <w:spacing w:after="160" w:before="380"/>
      </w:pPr>
      <w:r>
        <w:rPr>
          <w:rFonts w:ascii="Arial" w:cs="Arial" w:eastAsia="Arial" w:hAnsi="Arial"/>
          <w:b/>
          <w:bCs/>
          <w:color w:val="1F3A5F"/>
          <w:sz w:val="32"/>
          <w:szCs w:val="32"/>
        </w:rPr>
        <w:t xml:space="preserve">2. Implicatii Specifice ale Structurii Multistrat</w:t>
      </w:r>
    </w:p>
    <w:p>
      <w:pPr>
        <w:spacing w:after="70" w:before="70"/>
      </w:pPr>
      <w:r>
        <w:rPr>
          <w:rFonts w:ascii="Arial" w:cs="Arial" w:eastAsia="Arial" w:hAnsi="Arial"/>
          <w:color w:val="444441"/>
          <w:sz w:val="21"/>
          <w:szCs w:val="21"/>
        </w:rPr>
        <w:t xml:space="preserve">Dispozitivul are o structura multistrat realizata din subansamble paralele interconectate si lipite. Aceasta arhitectura introduce riscuri tehnice specifice care trebuie validate prin testari suplimentare fata de un produs cu PCB conventional.</w:t>
      </w:r>
    </w:p>
    <w:p>
      <w:pPr>
        <w:spacing w:after="50" w:before="50"/>
      </w:pPr>
      <w:r>
        <w:t xml:space="preserve"/>
      </w:r>
    </w:p>
    <w:p>
      <w:pPr>
        <w:pStyle w:val="Heading2"/>
        <w:pBdr>
          <w:bottom w:val="single" w:color="2C5F8A" w:sz="3" w:space="3"/>
        </w:pBdr>
        <w:spacing w:after="120" w:before="260"/>
      </w:pPr>
      <w:r>
        <w:rPr>
          <w:rFonts w:ascii="Arial" w:cs="Arial" w:eastAsia="Arial" w:hAnsi="Arial"/>
          <w:b/>
          <w:bCs/>
          <w:color w:val="2C5F8A"/>
          <w:sz w:val="26"/>
          <w:szCs w:val="26"/>
        </w:rPr>
        <w:t xml:space="preserve">2.1 Riscuri Specifice Structurii Multistrat</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1826"/>
      </w:tblGrid>
      <w:tr>
        <w:trPr>
          <w:tblHeader/>
        </w:trPr>
        <w:tc>
          <w:tcPr>
            <w:tcW w:type="dxa" w:w="18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Risc</w:t>
            </w:r>
          </w:p>
        </w:tc>
        <w:tc>
          <w:tcPr>
            <w:tcW w:type="dxa" w:w="2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Cauza</w:t>
            </w:r>
          </w:p>
        </w:tc>
        <w:tc>
          <w:tcPr>
            <w:tcW w:type="dxa" w:w="24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Test necesar</w:t>
            </w:r>
          </w:p>
        </w:tc>
        <w:tc>
          <w:tcPr>
            <w:tcW w:type="dxa" w:w="18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Standard</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Delaminare la temperaturi extreme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CTE diferential intre straturi (aur, FPC, baterie, adeziv)</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Cicluri termice -20°C / +70°C x100</w:t>
            </w:r>
          </w:p>
        </w:tc>
        <w:tc>
          <w:tcPr>
            <w:tcW w:type="dxa" w:w="18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60068-2-14</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Fisurare imbinari lipite (micro-joints)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Stres mecanic repetat la indoire FPC</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Flexie FPC 10.000 cicluri la R=5mm</w:t>
            </w:r>
          </w:p>
        </w:tc>
        <w:tc>
          <w:tcPr>
            <w:tcW w:type="dxa" w:w="18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IPC-2223</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Crestere rezistenta de contact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Oxidare interfete lipite in timp</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Test continuitate electrica dupa aging</w:t>
            </w:r>
          </w:p>
        </w:tc>
        <w:tc>
          <w:tcPr>
            <w:tcW w:type="dxa" w:w="18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60068-2-78</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Deformare carcasa aur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Dilatare diferentiala baterie LiPo la cicluri incarcare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Masurare dimensionala dupa 500 cicluri</w:t>
            </w:r>
          </w:p>
        </w:tc>
        <w:tc>
          <w:tcPr>
            <w:tcW w:type="dxa" w:w="18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62133-2</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Scurtcircuit inter-strat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Migrare ionica la umiditate ridicata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Expunere 85%RH / 85°C x1000h</w:t>
            </w:r>
          </w:p>
        </w:tc>
        <w:tc>
          <w:tcPr>
            <w:tcW w:type="dxa" w:w="18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60068-2-78</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Pierdere contact optic PPG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Deplasare relativa senzor-fereastra safir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Test pozitionare optica dupa soc mecanic</w:t>
            </w:r>
          </w:p>
        </w:tc>
        <w:tc>
          <w:tcPr>
            <w:tcW w:type="dxa" w:w="18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60068-2-31</w:t>
            </w:r>
          </w:p>
        </w:tc>
      </w:tr>
    </w:tbl>
    <w:p>
      <w:pPr>
        <w:spacing w:after="50" w:before="50"/>
      </w:pPr>
      <w:r>
        <w:t xml:space="preserve"/>
      </w:r>
    </w:p>
    <w:p>
      <w:pPr>
        <w:pBdr>
          <w:top w:val="single" w:color="A32D2D" w:sz="3" w:space="3"/>
          <w:bottom w:val="single" w:color="A32D2D" w:sz="3" w:space="3"/>
          <w:left w:val="single" w:color="A32D2D" w:sz="10" w:space="8"/>
          <w:right w:val="single" w:color="A32D2D" w:sz="3" w:space="3"/>
        </w:pBdr>
        <w:spacing w:after="110" w:before="110"/>
        <w:ind w:left="260"/>
      </w:pPr>
      <w:r>
        <w:rPr>
          <w:rFonts w:ascii="Arial" w:cs="Arial" w:eastAsia="Arial" w:hAnsi="Arial"/>
          <w:b/>
          <w:bCs/>
          <w:color w:val="A32D2D"/>
          <w:sz w:val="19"/>
          <w:szCs w:val="19"/>
        </w:rPr>
        <w:t xml:space="preserve">CRITIC: Interfata safir-aur necesita adeziv siliconic optic (NOA61) — NU epoxid rigid. CTE: aur 14-16 ppm/K, safir 5.3 ppm/K. Epoxidul rigid fisureaza la cicluri termice, invalidand certificarea.</w:t>
      </w:r>
    </w:p>
    <w:p>
      <w:pPr>
        <w:spacing w:after="50" w:before="50"/>
      </w:pPr>
      <w:r>
        <w:t xml:space="preserve"/>
      </w:r>
    </w:p>
    <w:p>
      <w:pPr>
        <w:pStyle w:val="Heading2"/>
        <w:pBdr>
          <w:bottom w:val="single" w:color="2C5F8A" w:sz="3" w:space="3"/>
        </w:pBdr>
        <w:spacing w:after="120" w:before="260"/>
      </w:pPr>
      <w:r>
        <w:rPr>
          <w:rFonts w:ascii="Arial" w:cs="Arial" w:eastAsia="Arial" w:hAnsi="Arial"/>
          <w:b/>
          <w:bCs/>
          <w:color w:val="2C5F8A"/>
          <w:sz w:val="26"/>
          <w:szCs w:val="26"/>
        </w:rPr>
        <w:t xml:space="preserve">2.2 Documentatie Tehnica pentru Structura Multistrat</w:t>
      </w:r>
    </w:p>
    <w:p>
      <w:pPr>
        <w:spacing w:after="70" w:before="70"/>
      </w:pPr>
      <w:r>
        <w:rPr>
          <w:rFonts w:ascii="Arial" w:cs="Arial" w:eastAsia="Arial" w:hAnsi="Arial"/>
          <w:color w:val="444441"/>
          <w:sz w:val="21"/>
          <w:szCs w:val="21"/>
        </w:rPr>
        <w:t xml:space="preserve">Dosarul tehnic CE trebuie sa includa pentru structura multistrat:</w:t>
      </w:r>
    </w:p>
    <w:p>
      <w:pPr>
        <w:pStyle w:val="ListParagraph"/>
        <w:numPr>
          <w:ilvl w:val="0"/>
          <w:numId w:val="2"/>
        </w:numPr>
        <w:spacing w:after="45" w:before="45"/>
      </w:pPr>
      <w:r>
        <w:rPr>
          <w:rFonts w:ascii="Arial" w:cs="Arial" w:eastAsia="Arial" w:hAnsi="Arial"/>
          <w:color w:val="444441"/>
          <w:sz w:val="21"/>
          <w:szCs w:val="21"/>
        </w:rPr>
        <w:t xml:space="preserve">Schema de asamblare cu ordinea straturilor si materialele utilizate la fiecare interfata</w:t>
      </w:r>
    </w:p>
    <w:p>
      <w:pPr>
        <w:pStyle w:val="ListParagraph"/>
        <w:numPr>
          <w:ilvl w:val="0"/>
          <w:numId w:val="2"/>
        </w:numPr>
        <w:spacing w:after="45" w:before="45"/>
      </w:pPr>
      <w:r>
        <w:rPr>
          <w:rFonts w:ascii="Arial" w:cs="Arial" w:eastAsia="Arial" w:hAnsi="Arial"/>
          <w:color w:val="444441"/>
          <w:sz w:val="21"/>
          <w:szCs w:val="21"/>
        </w:rPr>
        <w:t xml:space="preserve">Specificatii adezivi si materiale de lipire per interfata (NOA61, pasta lipire SAC305, etc.)</w:t>
      </w:r>
    </w:p>
    <w:p>
      <w:pPr>
        <w:pStyle w:val="ListParagraph"/>
        <w:numPr>
          <w:ilvl w:val="0"/>
          <w:numId w:val="2"/>
        </w:numPr>
        <w:spacing w:after="45" w:before="45"/>
      </w:pPr>
      <w:r>
        <w:rPr>
          <w:rFonts w:ascii="Arial" w:cs="Arial" w:eastAsia="Arial" w:hAnsi="Arial"/>
          <w:color w:val="444441"/>
          <w:sz w:val="21"/>
          <w:szCs w:val="21"/>
        </w:rPr>
        <w:t xml:space="preserve">Procedura de asamblare documentata — temperatura, presiune, timp de polimerizare</w:t>
      </w:r>
    </w:p>
    <w:p>
      <w:pPr>
        <w:pStyle w:val="ListParagraph"/>
        <w:numPr>
          <w:ilvl w:val="0"/>
          <w:numId w:val="2"/>
        </w:numPr>
        <w:spacing w:after="45" w:before="45"/>
      </w:pPr>
      <w:r>
        <w:rPr>
          <w:rFonts w:ascii="Arial" w:cs="Arial" w:eastAsia="Arial" w:hAnsi="Arial"/>
          <w:color w:val="444441"/>
          <w:sz w:val="21"/>
          <w:szCs w:val="21"/>
        </w:rPr>
        <w:t xml:space="preserve">Analiza FMEA (Failure Mode and Effects Analysis) pentru fiecare interfata critica</w:t>
      </w:r>
    </w:p>
    <w:p>
      <w:pPr>
        <w:pStyle w:val="ListParagraph"/>
        <w:numPr>
          <w:ilvl w:val="0"/>
          <w:numId w:val="2"/>
        </w:numPr>
        <w:spacing w:after="45" w:before="45"/>
      </w:pPr>
      <w:r>
        <w:rPr>
          <w:rFonts w:ascii="Arial" w:cs="Arial" w:eastAsia="Arial" w:hAnsi="Arial"/>
          <w:color w:val="444441"/>
          <w:sz w:val="21"/>
          <w:szCs w:val="21"/>
        </w:rPr>
        <w:t xml:space="preserve">Dovada testelor de fiabilitate mecanica — curbe Weibull sau MTTF calculat</w:t>
      </w:r>
    </w:p>
    <w:p>
      <w:pPr>
        <w:spacing w:after="50" w:before="50"/>
      </w:pPr>
      <w:r>
        <w:t xml:space="preserve"/>
      </w:r>
    </w:p>
    <w:p>
      <w:r>
        <w:br w:type="page"/>
      </w:r>
    </w:p>
    <w:p>
      <w:pPr>
        <w:pStyle w:val="Heading1"/>
        <w:spacing w:after="160" w:before="380"/>
      </w:pPr>
      <w:r>
        <w:rPr>
          <w:rFonts w:ascii="Arial" w:cs="Arial" w:eastAsia="Arial" w:hAnsi="Arial"/>
          <w:b/>
          <w:bCs/>
          <w:color w:val="1F3A5F"/>
          <w:sz w:val="32"/>
          <w:szCs w:val="32"/>
        </w:rPr>
        <w:t xml:space="preserve">3. Testari Obligatorii per Directiva</w:t>
      </w:r>
    </w:p>
    <w:p>
      <w:pPr>
        <w:pStyle w:val="Heading2"/>
        <w:pBdr>
          <w:bottom w:val="single" w:color="2C5F8A" w:sz="3" w:space="3"/>
        </w:pBdr>
        <w:spacing w:after="120" w:before="260"/>
      </w:pPr>
      <w:r>
        <w:rPr>
          <w:rFonts w:ascii="Arial" w:cs="Arial" w:eastAsia="Arial" w:hAnsi="Arial"/>
          <w:b/>
          <w:bCs/>
          <w:color w:val="2C5F8A"/>
          <w:sz w:val="26"/>
          <w:szCs w:val="26"/>
        </w:rPr>
        <w:t xml:space="preserve">3.1 RED 2014/53/EU — Radio Equipment Directive</w:t>
      </w:r>
    </w:p>
    <w:p>
      <w:pPr>
        <w:spacing w:after="70" w:before="70"/>
      </w:pPr>
      <w:r>
        <w:rPr>
          <w:rFonts w:ascii="Arial" w:cs="Arial" w:eastAsia="Arial" w:hAnsi="Arial"/>
          <w:color w:val="444441"/>
          <w:sz w:val="21"/>
          <w:szCs w:val="21"/>
        </w:rPr>
        <w:t xml:space="preserve">Aceasta este categoria cea mai costisitoare si complexa. Toate testele se fac pe inelul complet asamblat cu carcasa de aur — NU pe modulul nRF52832 izolat.</w:t>
      </w:r>
    </w:p>
    <w:p>
      <w:pPr>
        <w:spacing w:after="50" w:before="50"/>
      </w:pPr>
      <w:r>
        <w:t xml:space="preserve"/>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1226"/>
      </w:tblGrid>
      <w:tr>
        <w:trPr>
          <w:tblHeader/>
        </w:trPr>
        <w:tc>
          <w:tcPr>
            <w:tcW w:type="dxa" w:w="2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Test</w:t>
            </w:r>
          </w:p>
        </w:tc>
        <w:tc>
          <w:tcPr>
            <w:tcW w:type="dxa" w:w="2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Standard armonizat</w:t>
            </w:r>
          </w:p>
        </w:tc>
        <w:tc>
          <w:tcPr>
            <w:tcW w:type="dxa" w:w="26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Ce verifica</w:t>
            </w:r>
          </w:p>
        </w:tc>
        <w:tc>
          <w:tcPr>
            <w:tcW w:type="dxa" w:w="12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Laborator</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Putere maxima emisie BLE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ETSI EN 300 328 v2.2.1</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Max +20 dBm la 2400-2483.5 MHz</w:t>
            </w:r>
          </w:p>
        </w:tc>
        <w:tc>
          <w:tcPr>
            <w:tcW w:type="dxa" w:w="12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Acreditat ETSI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Ocupare canal si duty cycle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ETSI EN 300 328 v2.2.1</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Banda ISM 2.4 GHz — spectru ocupat</w:t>
            </w:r>
          </w:p>
        </w:tc>
        <w:tc>
          <w:tcPr>
            <w:tcW w:type="dxa" w:w="1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Acreditat ETSI</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Imunitate RF</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ETSI EN 301 489-1 + -17</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Functionare in prezenta campurilor externe</w:t>
            </w:r>
          </w:p>
        </w:tc>
        <w:tc>
          <w:tcPr>
            <w:tcW w:type="dxa" w:w="12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Acreditat ETSI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Emisii radiate (EMC)</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EN 55032 Clasa B</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Interferente emise in mediu</w:t>
            </w:r>
          </w:p>
        </w:tc>
        <w:tc>
          <w:tcPr>
            <w:tcW w:type="dxa" w:w="1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Acreditat ETSI</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Emisii conduse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EN 55032 Clasa B</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Zgomot pe liniile de alimentare</w:t>
            </w:r>
          </w:p>
        </w:tc>
        <w:tc>
          <w:tcPr>
            <w:tcW w:type="dxa" w:w="12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Acreditat ETSI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Imunitate ESD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EN 61000-4-2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Descarcari electrostatice pe carcasa aur</w:t>
            </w:r>
          </w:p>
        </w:tc>
        <w:tc>
          <w:tcPr>
            <w:tcW w:type="dxa" w:w="1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Acreditat</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Imunitate camp radiat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EN 61000-4-3</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Camp RF extern 3V/m</w:t>
            </w:r>
          </w:p>
        </w:tc>
        <w:tc>
          <w:tcPr>
            <w:tcW w:type="dxa" w:w="12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Acreditat</w:t>
            </w:r>
          </w:p>
        </w:tc>
      </w:tr>
    </w:tbl>
    <w:p>
      <w:pPr>
        <w:spacing w:after="50" w:before="50"/>
      </w:pPr>
      <w:r>
        <w:t xml:space="preserve"/>
      </w:r>
    </w:p>
    <w:p>
      <w:pPr>
        <w:pBdr>
          <w:top w:val="single" w:color="A32D2D" w:sz="3" w:space="3"/>
          <w:bottom w:val="single" w:color="A32D2D" w:sz="3" w:space="3"/>
          <w:left w:val="single" w:color="A32D2D" w:sz="10" w:space="8"/>
          <w:right w:val="single" w:color="A32D2D" w:sz="3" w:space="3"/>
        </w:pBdr>
        <w:spacing w:after="110" w:before="110"/>
        <w:ind w:left="260"/>
      </w:pPr>
      <w:r>
        <w:rPr>
          <w:rFonts w:ascii="Arial" w:cs="Arial" w:eastAsia="Arial" w:hAnsi="Arial"/>
          <w:b/>
          <w:bCs/>
          <w:color w:val="A32D2D"/>
          <w:sz w:val="19"/>
          <w:szCs w:val="19"/>
        </w:rPr>
        <w:t xml:space="preserve">CRITIC: Corpul de aur modifica semnificativ caracteristicile RF fata de modulul nRF52832 testat izolat. Certificarea modulului NU se transfera la produsul final. Testarea trebuie facuta obligatoriu cu inelul complet asamblat, inclusiv bateria si toate componentele montate.</w:t>
      </w:r>
    </w:p>
    <w:p>
      <w:pPr>
        <w:spacing w:after="50" w:before="50"/>
      </w:pPr>
      <w:r>
        <w:t xml:space="preserve"/>
      </w:r>
    </w:p>
    <w:p>
      <w:pPr>
        <w:pBdr>
          <w:top w:val="single" w:color="BA7517" w:sz="3" w:space="3"/>
          <w:bottom w:val="single" w:color="BA7517" w:sz="3" w:space="3"/>
          <w:left w:val="single" w:color="BA7517" w:sz="10" w:space="8"/>
          <w:right w:val="single" w:color="BA7517" w:sz="3" w:space="3"/>
        </w:pBdr>
        <w:spacing w:after="110" w:before="110"/>
        <w:ind w:left="260"/>
      </w:pPr>
      <w:r>
        <w:rPr>
          <w:rFonts w:ascii="Arial" w:cs="Arial" w:eastAsia="Arial" w:hAnsi="Arial"/>
          <w:i/>
          <w:iCs/>
          <w:color w:val="7A4F00"/>
          <w:sz w:val="19"/>
          <w:szCs w:val="19"/>
        </w:rPr>
        <w:t xml:space="preserve">⚠  Antena ceramica Yageo ANT1608F2450 necesita tuning VNA dupa montare in carcasa de aur. Eficienta de radiatie variaza cu marimea inelului. Testul RED trebuie repetat pentru fiecare varianta de marime comercializata.</w:t>
      </w:r>
    </w:p>
    <w:p>
      <w:pPr>
        <w:spacing w:after="50" w:before="50"/>
      </w:pPr>
      <w:r>
        <w:t xml:space="preserve"/>
      </w:r>
    </w:p>
    <w:p>
      <w:pPr>
        <w:pStyle w:val="Heading2"/>
        <w:pBdr>
          <w:bottom w:val="single" w:color="2C5F8A" w:sz="3" w:space="3"/>
        </w:pBdr>
        <w:spacing w:after="120" w:before="260"/>
      </w:pPr>
      <w:r>
        <w:rPr>
          <w:rFonts w:ascii="Arial" w:cs="Arial" w:eastAsia="Arial" w:hAnsi="Arial"/>
          <w:b/>
          <w:bCs/>
          <w:color w:val="2C5F8A"/>
          <w:sz w:val="26"/>
          <w:szCs w:val="26"/>
        </w:rPr>
        <w:t xml:space="preserve">3.2 LVD 2014/35/EU — Siguranta Electrica</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1026"/>
      </w:tblGrid>
      <w:tr>
        <w:trPr>
          <w:tblHeader/>
        </w:trPr>
        <w:tc>
          <w:tcPr>
            <w:tcW w:type="dxa" w:w="2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Test</w:t>
            </w:r>
          </w:p>
        </w:tc>
        <w:tc>
          <w:tcPr>
            <w:tcW w:type="dxa" w:w="20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Standard</w:t>
            </w:r>
          </w:p>
        </w:tc>
        <w:tc>
          <w:tcPr>
            <w:tcW w:type="dxa" w:w="30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Ce verifica</w:t>
            </w:r>
          </w:p>
        </w:tc>
        <w:tc>
          <w:tcPr>
            <w:tcW w:type="dxa" w:w="10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Prioritate</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Siguranta generala produs audio/video/IT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62368-1:2020</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Supracurent, izolatie, temperaturi, arcuri electrice</w:t>
            </w:r>
          </w:p>
        </w:tc>
        <w:tc>
          <w:tcPr>
            <w:tcW w:type="dxa" w:w="10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Temperatura suprafata contact piele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EN ISO 13732-1</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Max 43°C continuu pe suprafata inelului</w:t>
            </w:r>
          </w:p>
        </w:tc>
        <w:tc>
          <w:tcPr>
            <w:tcW w:type="dxa" w:w="10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Protectie la soc electric</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62368-1</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Izolatie intre circuit si utilizator</w:t>
            </w:r>
          </w:p>
        </w:tc>
        <w:tc>
          <w:tcPr>
            <w:tcW w:type="dxa" w:w="10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Testare cicluri incarcare/descarcare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62368-1</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Comportament la incarcare repetata</w:t>
            </w:r>
          </w:p>
        </w:tc>
        <w:tc>
          <w:tcPr>
            <w:tcW w:type="dxa" w:w="10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Scurtcircuit extern baterie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62368-1</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Reactia sistemului la scurtcircuit</w:t>
            </w:r>
          </w:p>
        </w:tc>
      </w:tr>
    </w:tbl>
    <w:p>
      <w:pPr>
        <w:spacing w:after="50" w:before="50"/>
      </w:pPr>
      <w:r>
        <w:t xml:space="preserve"/>
      </w:r>
    </w:p>
    <w:p>
      <w:pPr>
        <w:pBdr>
          <w:top w:val="single" w:color="A32D2D" w:sz="3" w:space="3"/>
          <w:bottom w:val="single" w:color="A32D2D" w:sz="3" w:space="3"/>
          <w:left w:val="single" w:color="A32D2D" w:sz="10" w:space="8"/>
          <w:right w:val="single" w:color="A32D2D" w:sz="3" w:space="3"/>
        </w:pBdr>
        <w:spacing w:after="110" w:before="110"/>
        <w:ind w:left="260"/>
      </w:pPr>
      <w:r>
        <w:rPr>
          <w:rFonts w:ascii="Arial" w:cs="Arial" w:eastAsia="Arial" w:hAnsi="Arial"/>
          <w:b/>
          <w:bCs/>
          <w:color w:val="A32D2D"/>
          <w:sz w:val="19"/>
          <w:szCs w:val="19"/>
        </w:rPr>
        <w:t xml:space="preserve">CRITIC: Temperatura suprafetei inelului este critica — inelul sta permanent pe deget. LED-urile MAXM86161 si cipul BQ25180 genereaza caldura transferata prin aur direct pe piele. Limita EN ISO 13732-1 este 43°C pentru contact continuu. Trebuie masurat pe deget real, nu in laborator izolat.</w:t>
      </w:r>
    </w:p>
    <w:p>
      <w:pPr>
        <w:spacing w:after="50" w:before="50"/>
      </w:pPr>
      <w:r>
        <w:t xml:space="preserve"/>
      </w:r>
    </w:p>
    <w:p>
      <w:pPr>
        <w:pStyle w:val="Heading2"/>
        <w:pBdr>
          <w:bottom w:val="single" w:color="2C5F8A" w:sz="3" w:space="3"/>
        </w:pBdr>
        <w:spacing w:after="120" w:before="260"/>
      </w:pPr>
      <w:r>
        <w:rPr>
          <w:rFonts w:ascii="Arial" w:cs="Arial" w:eastAsia="Arial" w:hAnsi="Arial"/>
          <w:b/>
          <w:bCs/>
          <w:color w:val="2C5F8A"/>
          <w:sz w:val="26"/>
          <w:szCs w:val="26"/>
        </w:rPr>
        <w:t xml:space="preserve">3.3 Siguranta Baterie LiPo</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026"/>
      </w:tblGrid>
      <w:tr>
        <w:trPr>
          <w:tblHeader/>
        </w:trPr>
        <w:tc>
          <w:tcPr>
            <w:tcW w:type="dxa" w:w="2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Test</w:t>
            </w:r>
          </w:p>
        </w:tc>
        <w:tc>
          <w:tcPr>
            <w:tcW w:type="dxa" w:w="18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Standard</w:t>
            </w:r>
          </w:p>
        </w:tc>
        <w:tc>
          <w:tcPr>
            <w:tcW w:type="dxa" w:w="2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Cine efectueaza</w:t>
            </w:r>
          </w:p>
        </w:tc>
        <w:tc>
          <w:tcPr>
            <w:tcW w:type="dxa" w:w="20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Observatie</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Transport aerian sigur</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UN 38.3</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Grepow — deja certificat</w:t>
            </w:r>
          </w:p>
        </w:tc>
        <w:tc>
          <w:tcPr>
            <w:tcW w:type="dxa" w:w="20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Reutilizabil pentru produsul final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Cicluri de viata (500 cicluri)</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62133-2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Laborator independent</w:t>
            </w:r>
          </w:p>
        </w:tc>
        <w:tc>
          <w:tcPr>
            <w:tcW w:type="dxa" w:w="20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Pe celula finala in inelul complet</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Abuz mecanic (zdrobire, perforare)</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62133-2</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Laborator independent</w:t>
            </w:r>
          </w:p>
        </w:tc>
        <w:tc>
          <w:tcPr>
            <w:tcW w:type="dxa" w:w="20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Cu PCM integrat activ</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Abuz termic (130°C, scurtcircuit)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62133-2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Laborator independent</w:t>
            </w:r>
          </w:p>
        </w:tc>
        <w:tc>
          <w:tcPr>
            <w:tcW w:type="dxa" w:w="20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Verificare PCM si BQ25180</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Supracarcare cu PCM defect</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62133-2</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Laborator independent</w:t>
            </w:r>
          </w:p>
        </w:tc>
        <w:tc>
          <w:tcPr>
            <w:tcW w:type="dxa" w:w="20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Test FARA protectie activa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Descarcare fortata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62133-2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Laborator independent</w:t>
            </w:r>
          </w:p>
        </w:tc>
        <w:tc>
          <w:tcPr>
            <w:tcW w:type="dxa" w:w="20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Sub tensiunea minima VSYSMIN</w:t>
            </w:r>
          </w:p>
        </w:tc>
      </w:tr>
    </w:tbl>
    <w:p>
      <w:pPr>
        <w:spacing w:after="50" w:before="50"/>
      </w:pPr>
      <w:r>
        <w:t xml:space="preserve"/>
      </w:r>
    </w:p>
    <w:p>
      <w:pPr>
        <w:pBdr>
          <w:left w:val="single" w:color="0F6E56" w:sz="8" w:space="8"/>
        </w:pBdr>
        <w:spacing w:after="90" w:before="90"/>
        <w:ind w:left="260"/>
      </w:pPr>
      <w:r>
        <w:rPr>
          <w:rFonts w:ascii="Arial" w:cs="Arial" w:eastAsia="Arial" w:hAnsi="Arial"/>
          <w:i/>
          <w:iCs/>
          <w:color w:val="0A4A3A"/>
          <w:sz w:val="19"/>
          <w:szCs w:val="19"/>
        </w:rPr>
        <w:t xml:space="preserve">Certificarea IEC 62133-2 a bateriei Grepow acopera celula izolata. Testarea trebuie repetata pe ansamblul complet: baterie + BQ25180 + FPC + carcasa aur — pentru ca BQ25180 este parte din sistemul de protectie final.</w:t>
      </w:r>
    </w:p>
    <w:p>
      <w:pPr>
        <w:spacing w:after="50" w:before="50"/>
      </w:pPr>
      <w:r>
        <w:t xml:space="preserve"/>
      </w:r>
    </w:p>
    <w:p>
      <w:pPr>
        <w:pStyle w:val="Heading2"/>
        <w:pBdr>
          <w:bottom w:val="single" w:color="2C5F8A" w:sz="3" w:space="3"/>
        </w:pBdr>
        <w:spacing w:after="120" w:before="260"/>
      </w:pPr>
      <w:r>
        <w:rPr>
          <w:rFonts w:ascii="Arial" w:cs="Arial" w:eastAsia="Arial" w:hAnsi="Arial"/>
          <w:b/>
          <w:bCs/>
          <w:color w:val="2C5F8A"/>
          <w:sz w:val="26"/>
          <w:szCs w:val="26"/>
        </w:rPr>
        <w:t xml:space="preserve">3.4 RoHS si REACH — Materiale</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1426"/>
      </w:tblGrid>
      <w:tr>
        <w:trPr>
          <w:tblHeader/>
        </w:trPr>
        <w:tc>
          <w:tcPr>
            <w:tcW w:type="dxa" w:w="20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Test</w:t>
            </w:r>
          </w:p>
        </w:tc>
        <w:tc>
          <w:tcPr>
            <w:tcW w:type="dxa" w:w="2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Standard</w:t>
            </w:r>
          </w:p>
        </w:tc>
        <w:tc>
          <w:tcPr>
            <w:tcW w:type="dxa" w:w="26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Ce verifica</w:t>
            </w:r>
          </w:p>
        </w:tc>
        <w:tc>
          <w:tcPr>
            <w:tcW w:type="dxa" w:w="14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Metoda</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Screening RoHS complet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EN IEC 63000 + IEC 62321</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Pb, Cd, Hg, Cr6+, PBB, PBDE, DEHP pe FPC</w:t>
            </w:r>
          </w:p>
        </w:tc>
        <w:tc>
          <w:tcPr>
            <w:tcW w:type="dxa" w:w="1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XRF + digestie acida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Eliberare nichel din aliaj aur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EN 1811:2011+A1:2015</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Max 0.5 µg/cm2/saptamana contact piele</w:t>
            </w:r>
          </w:p>
        </w:tc>
        <w:tc>
          <w:tcPr>
            <w:tcW w:type="dxa" w:w="1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Simulare transpiratie artificiala</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SVHC REACH (&gt;0.1% w/w)</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REACH Art. 33 + Anexa XVII</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Substante de interes in materiale</w:t>
            </w:r>
          </w:p>
        </w:tc>
        <w:tc>
          <w:tcPr>
            <w:tcW w:type="dxa" w:w="1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Declaratie furnizor + analiza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Biocompatibilitate contact piele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ISO 10993-10</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Citotoxicitate, sensibilizare</w:t>
            </w:r>
          </w:p>
        </w:tc>
        <w:tc>
          <w:tcPr>
            <w:tcW w:type="dxa" w:w="1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Aplicabil pentru materiale noi</w:t>
            </w:r>
          </w:p>
        </w:tc>
      </w:tr>
    </w:tbl>
    <w:p>
      <w:pPr>
        <w:spacing w:after="50" w:before="50"/>
      </w:pPr>
      <w:r>
        <w:t xml:space="preserve"/>
      </w:r>
    </w:p>
    <w:p>
      <w:pPr>
        <w:pBdr>
          <w:top w:val="single" w:color="A32D2D" w:sz="3" w:space="3"/>
          <w:bottom w:val="single" w:color="A32D2D" w:sz="3" w:space="3"/>
          <w:left w:val="single" w:color="A32D2D" w:sz="10" w:space="8"/>
          <w:right w:val="single" w:color="A32D2D" w:sz="3" w:space="3"/>
        </w:pBdr>
        <w:spacing w:after="110" w:before="110"/>
        <w:ind w:left="260"/>
      </w:pPr>
      <w:r>
        <w:rPr>
          <w:rFonts w:ascii="Arial" w:cs="Arial" w:eastAsia="Arial" w:hAnsi="Arial"/>
          <w:b/>
          <w:bCs/>
          <w:color w:val="A32D2D"/>
          <w:sz w:val="19"/>
          <w:szCs w:val="19"/>
        </w:rPr>
        <w:t xml:space="preserve">CRITIC: Nichelul in aliajul de aur: Regulamentul EU 2023/2055 limiteaza eliberarea de nichel la 0.5 µg/cm2/saptamana pentru produse in contact prelungit cu pielea. Aurul 14K si 18K contin aliaje cu nichel. Testul EN 1811 este OBLIGATORIU inainte de lansare.</w:t>
      </w:r>
    </w:p>
    <w:p>
      <w:pPr>
        <w:spacing w:after="50" w:before="50"/>
      </w:pPr>
      <w:r>
        <w:t xml:space="preserve"/>
      </w:r>
    </w:p>
    <w:p>
      <w:pPr>
        <w:pStyle w:val="Heading2"/>
        <w:pBdr>
          <w:bottom w:val="single" w:color="2C5F8A" w:sz="3" w:space="3"/>
        </w:pBdr>
        <w:spacing w:after="120" w:before="260"/>
      </w:pPr>
      <w:r>
        <w:rPr>
          <w:rFonts w:ascii="Arial" w:cs="Arial" w:eastAsia="Arial" w:hAnsi="Arial"/>
          <w:b/>
          <w:bCs/>
          <w:color w:val="2C5F8A"/>
          <w:sz w:val="26"/>
          <w:szCs w:val="26"/>
        </w:rPr>
        <w:t xml:space="preserve">3.5 Testari Mecanice si Rezistenta</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1626"/>
      </w:tblGrid>
      <w:tr>
        <w:trPr>
          <w:tblHeader/>
        </w:trPr>
        <w:tc>
          <w:tcPr>
            <w:tcW w:type="dxa" w:w="2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Test</w:t>
            </w:r>
          </w:p>
        </w:tc>
        <w:tc>
          <w:tcPr>
            <w:tcW w:type="dxa" w:w="18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Standard</w:t>
            </w:r>
          </w:p>
        </w:tc>
        <w:tc>
          <w:tcPr>
            <w:tcW w:type="dxa" w:w="26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Parametru</w:t>
            </w:r>
          </w:p>
        </w:tc>
        <w:tc>
          <w:tcPr>
            <w:tcW w:type="dxa" w:w="16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Prioritate</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Rezistenta la cadere</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60068-2-31</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1.5m pe suprafata dura, 6 directii</w:t>
            </w:r>
          </w:p>
        </w:tc>
        <w:tc>
          <w:tcPr>
            <w:tcW w:type="dxa" w:w="16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Rezistenta la vibratii</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60068-2-6</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10-500 Hz, 1.5mm amplitudine</w:t>
            </w:r>
          </w:p>
        </w:tc>
        <w:tc>
          <w:tcPr>
            <w:tcW w:type="dxa" w:w="16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Protectie la apa IP67/IP68</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60529</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1m adancime/30 min · 1.5m/30 min</w:t>
            </w:r>
          </w:p>
        </w:tc>
        <w:tc>
          <w:tcPr>
            <w:tcW w:type="dxa" w:w="16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Rezistenta la praf IP6X</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60529</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Fara depunere praf in interior</w:t>
            </w:r>
          </w:p>
        </w:tc>
        <w:tc>
          <w:tcPr>
            <w:tcW w:type="dxa" w:w="1626"/>
            <w:tcBorders>
              <w:top w:val="single" w:color="CCCCCC" w:sz="1"/>
              <w:left w:val="single" w:color="CCCCCC" w:sz="1"/>
              <w:bottom w:val="single" w:color="CCCCCC" w:sz="1"/>
              <w:right w:val="single" w:color="CCCCCC" w:sz="1"/>
            </w:tcBorders>
            <w:shd w:fill="FFECEC" w:val="clear"/>
            <w:tcMar>
              <w:top w:type="dxa" w:w="90"/>
              <w:left w:type="dxa" w:w="140"/>
              <w:bottom w:type="dxa" w:w="90"/>
              <w:right w:type="dxa" w:w="140"/>
            </w:tcMar>
          </w:tcPr>
          <w:p>
            <w:r>
              <w:rPr>
                <w:rFonts w:ascii="Arial" w:cs="Arial" w:eastAsia="Arial" w:hAnsi="Arial"/>
                <w:b w:val="false"/>
                <w:bCs w:val="false"/>
                <w:color w:val="444441"/>
                <w:sz w:val="19"/>
                <w:szCs w:val="19"/>
              </w:rPr>
              <w:t xml:space="preserve">OBLIGATORIU</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Flexie FPC la indoire</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IPC-2223</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10.000 cicluri la R=5mm raza</w:t>
            </w:r>
          </w:p>
        </w:tc>
        <w:tc>
          <w:tcPr>
            <w:tcW w:type="dxa" w:w="1626"/>
            <w:tcBorders>
              <w:top w:val="single" w:color="CCCCCC" w:sz="1"/>
              <w:left w:val="single" w:color="CCCCCC" w:sz="1"/>
              <w:bottom w:val="single" w:color="CCCCCC" w:sz="1"/>
              <w:right w:val="single" w:color="CCCCCC" w:sz="1"/>
            </w:tcBorders>
            <w:shd w:fill="FFF3CD" w:val="clear"/>
            <w:tcMar>
              <w:top w:type="dxa" w:w="90"/>
              <w:left w:type="dxa" w:w="140"/>
              <w:bottom w:type="dxa" w:w="90"/>
              <w:right w:type="dxa" w:w="140"/>
            </w:tcMar>
          </w:tcPr>
          <w:p>
            <w:r>
              <w:rPr>
                <w:rFonts w:ascii="Arial" w:cs="Arial" w:eastAsia="Arial" w:hAnsi="Arial"/>
                <w:b w:val="false"/>
                <w:bCs w:val="false"/>
                <w:color w:val="444441"/>
                <w:sz w:val="19"/>
                <w:szCs w:val="19"/>
              </w:rPr>
              <w:t xml:space="preserve">Important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Cicluri termice strat multistrat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-20°C/+70°C</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100 cicluri, tranzitie 3°C/min</w:t>
            </w:r>
          </w:p>
        </w:tc>
        <w:tc>
          <w:tcPr>
            <w:tcW w:type="dxa" w:w="1626"/>
            <w:tcBorders>
              <w:top w:val="single" w:color="CCCCCC" w:sz="1"/>
              <w:left w:val="single" w:color="CCCCCC" w:sz="1"/>
              <w:bottom w:val="single" w:color="CCCCCC" w:sz="1"/>
              <w:right w:val="single" w:color="CCCCCC" w:sz="1"/>
            </w:tcBorders>
            <w:shd w:fill="FFF3CD" w:val="clear"/>
            <w:tcMar>
              <w:top w:type="dxa" w:w="90"/>
              <w:left w:type="dxa" w:w="140"/>
              <w:bottom w:type="dxa" w:w="90"/>
              <w:right w:type="dxa" w:w="140"/>
            </w:tcMar>
          </w:tcPr>
          <w:p>
            <w:r>
              <w:rPr>
                <w:rFonts w:ascii="Arial" w:cs="Arial" w:eastAsia="Arial" w:hAnsi="Arial"/>
                <w:b w:val="false"/>
                <w:bCs w:val="false"/>
                <w:color w:val="444441"/>
                <w:sz w:val="19"/>
                <w:szCs w:val="19"/>
              </w:rPr>
              <w:t xml:space="preserve">Important</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Coroziune carcasa aur</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ISO 4540</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Salt spray 48h, rezistenta acizi</w:t>
            </w:r>
          </w:p>
        </w:tc>
        <w:tc>
          <w:tcPr>
            <w:tcW w:type="dxa" w:w="1626"/>
            <w:tcBorders>
              <w:top w:val="single" w:color="CCCCCC" w:sz="1"/>
              <w:left w:val="single" w:color="CCCCCC" w:sz="1"/>
              <w:bottom w:val="single" w:color="CCCCCC" w:sz="1"/>
              <w:right w:val="single" w:color="CCCCCC" w:sz="1"/>
            </w:tcBorders>
            <w:shd w:fill="FFF3CD" w:val="clear"/>
            <w:tcMar>
              <w:top w:type="dxa" w:w="90"/>
              <w:left w:type="dxa" w:w="140"/>
              <w:bottom w:type="dxa" w:w="90"/>
              <w:right w:type="dxa" w:w="140"/>
            </w:tcMar>
          </w:tcPr>
          <w:p>
            <w:r>
              <w:rPr>
                <w:rFonts w:ascii="Arial" w:cs="Arial" w:eastAsia="Arial" w:hAnsi="Arial"/>
                <w:b w:val="false"/>
                <w:bCs w:val="false"/>
                <w:color w:val="444441"/>
                <w:sz w:val="19"/>
                <w:szCs w:val="19"/>
              </w:rPr>
              <w:t xml:space="preserve">Recomandat</w:t>
            </w:r>
          </w:p>
        </w:tc>
      </w:tr>
    </w:tbl>
    <w:p>
      <w:pPr>
        <w:spacing w:after="50" w:before="50"/>
      </w:pPr>
      <w:r>
        <w:t xml:space="preserve"/>
      </w:r>
    </w:p>
    <w:p>
      <w:r>
        <w:br w:type="page"/>
      </w:r>
    </w:p>
    <w:p>
      <w:pPr>
        <w:pStyle w:val="Heading1"/>
        <w:spacing w:after="160" w:before="380"/>
      </w:pPr>
      <w:r>
        <w:rPr>
          <w:rFonts w:ascii="Arial" w:cs="Arial" w:eastAsia="Arial" w:hAnsi="Arial"/>
          <w:b/>
          <w:bCs/>
          <w:color w:val="1F3A5F"/>
          <w:sz w:val="32"/>
          <w:szCs w:val="32"/>
        </w:rPr>
        <w:t xml:space="preserve">4. Valorificarea Certificarilor Existente ale Componentelor</w:t>
      </w:r>
    </w:p>
    <w:p>
      <w:pPr>
        <w:spacing w:after="70" w:before="70"/>
      </w:pPr>
      <w:r>
        <w:rPr>
          <w:rFonts w:ascii="Arial" w:cs="Arial" w:eastAsia="Arial" w:hAnsi="Arial"/>
          <w:color w:val="444441"/>
          <w:sz w:val="21"/>
          <w:szCs w:val="21"/>
        </w:rPr>
        <w:t xml:space="preserve">Componentele livrate cu certificari proprii reduc volumul de testare dar nu elimina obligatiile producatorului pentru produsul final. Regula esentiala: certificarea unui component izolat NU se transfera automat la produsul asamblat.</w:t>
      </w:r>
    </w:p>
    <w:p>
      <w:pPr>
        <w:spacing w:after="50" w:before="50"/>
      </w:pPr>
      <w:r>
        <w:t xml:space="preserve"/>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426"/>
      </w:tblGrid>
      <w:tr>
        <w:trPr>
          <w:tblHeader/>
        </w:trPr>
        <w:tc>
          <w:tcPr>
            <w:tcW w:type="dxa" w:w="18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Componenta</w:t>
            </w:r>
          </w:p>
        </w:tc>
        <w:tc>
          <w:tcPr>
            <w:tcW w:type="dxa" w:w="20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Certificare existenta</w:t>
            </w:r>
          </w:p>
        </w:tc>
        <w:tc>
          <w:tcPr>
            <w:tcW w:type="dxa" w:w="20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Ce acopera</w:t>
            </w:r>
          </w:p>
        </w:tc>
        <w:tc>
          <w:tcPr>
            <w:tcW w:type="dxa" w:w="24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Ce NU acopera — trebuie retestat</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Nordic nRF52832 (modul)</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RED, FCC, IC, CE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Modulul RF izolat in spatiu liber</w:t>
            </w:r>
          </w:p>
        </w:tc>
        <w:tc>
          <w:tcPr>
            <w:tcW w:type="dxa" w:w="2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Inelul complet cu carcasa aur — mediu RF complet diferit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Baterie Grepow NeoRRow</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UN 38.3, IEC 62133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Celula izolata — transport si siguranta</w:t>
            </w:r>
          </w:p>
        </w:tc>
        <w:tc>
          <w:tcPr>
            <w:tcW w:type="dxa" w:w="2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Ansamblul complet cu BQ25180 + FPC + carcasa</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BQ25180</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LVD partial, RoHS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Cipul izolat</w:t>
            </w:r>
          </w:p>
        </w:tc>
        <w:tc>
          <w:tcPr>
            <w:tcW w:type="dxa" w:w="2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Sistemul de incarcare complet in inel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MAXM86161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RoHS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Componentul izolat</w:t>
            </w:r>
          </w:p>
        </w:tc>
        <w:tc>
          <w:tcPr>
            <w:tcW w:type="dxa" w:w="2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Performanta optica prin fereastra safir in inel</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Componente pasive 0402</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RoHS, REACH</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Materiale — Pb, Cd, etc.</w:t>
            </w:r>
          </w:p>
        </w:tc>
        <w:tc>
          <w:tcPr>
            <w:tcW w:type="dxa" w:w="2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Comportamentul in ansamblul final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FPC (substrat poliimida)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UL94 V-0, RoHS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Inflamabilitate material</w:t>
            </w:r>
          </w:p>
        </w:tc>
        <w:tc>
          <w:tcPr>
            <w:tcW w:type="dxa" w:w="2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Ansamblul multistrat complet</w:t>
            </w:r>
          </w:p>
        </w:tc>
      </w:tr>
    </w:tbl>
    <w:p>
      <w:pPr>
        <w:spacing w:after="50" w:before="50"/>
      </w:pPr>
      <w:r>
        <w:t xml:space="preserve"/>
      </w:r>
    </w:p>
    <w:p>
      <w:pPr>
        <w:pBdr>
          <w:left w:val="single" w:color="0F6E56" w:sz="8" w:space="8"/>
        </w:pBdr>
        <w:spacing w:after="90" w:before="90"/>
        <w:ind w:left="260"/>
      </w:pPr>
      <w:r>
        <w:rPr>
          <w:rFonts w:ascii="Arial" w:cs="Arial" w:eastAsia="Arial" w:hAnsi="Arial"/>
          <w:i/>
          <w:iCs/>
          <w:color w:val="0A4A3A"/>
          <w:sz w:val="19"/>
          <w:szCs w:val="19"/>
        </w:rPr>
        <w:t xml:space="preserve">Strategia corecta: colectati toate declaratiile de conformitate ale componentelor si includeti-le in dosarul tehnic CE. Acestea demonstreaza due diligence si pot reduce timpul de evaluare la laboratorul notificat, chiar daca nu elimina testele pe produsul final.</w:t>
      </w:r>
    </w:p>
    <w:p>
      <w:pPr>
        <w:spacing w:after="50" w:before="50"/>
      </w:pPr>
      <w:r>
        <w:t xml:space="preserve"/>
      </w:r>
    </w:p>
    <w:p>
      <w:r>
        <w:br w:type="page"/>
      </w:r>
    </w:p>
    <w:p>
      <w:pPr>
        <w:pStyle w:val="Heading1"/>
        <w:spacing w:after="160" w:before="380"/>
      </w:pPr>
      <w:r>
        <w:rPr>
          <w:rFonts w:ascii="Arial" w:cs="Arial" w:eastAsia="Arial" w:hAnsi="Arial"/>
          <w:b/>
          <w:bCs/>
          <w:color w:val="1F3A5F"/>
          <w:sz w:val="32"/>
          <w:szCs w:val="32"/>
        </w:rPr>
        <w:t xml:space="preserve">5. Strategia de Reducere a Costurilor prin Laboratoare Universitare</w:t>
      </w:r>
    </w:p>
    <w:p>
      <w:pPr>
        <w:spacing w:after="70" w:before="70"/>
      </w:pPr>
      <w:r>
        <w:rPr>
          <w:rFonts w:ascii="Arial" w:cs="Arial" w:eastAsia="Arial" w:hAnsi="Arial"/>
          <w:color w:val="444441"/>
          <w:sz w:val="21"/>
          <w:szCs w:val="21"/>
        </w:rPr>
        <w:t xml:space="preserve">Universitatile tehnice din Romania dispun de laboratoare acreditate partial sau complet, cu tarife semnificativ mai mici decat laboratoarele comerciale notificate. Strategia optima este utilizarea lor pentru pre-testare si validare tehnica inainte de certificarea oficiala.</w:t>
      </w:r>
    </w:p>
    <w:p>
      <w:pPr>
        <w:spacing w:after="50" w:before="50"/>
      </w:pPr>
      <w:r>
        <w:t xml:space="preserve"/>
      </w:r>
    </w:p>
    <w:p>
      <w:pPr>
        <w:pStyle w:val="Heading2"/>
        <w:pBdr>
          <w:bottom w:val="single" w:color="2C5F8A" w:sz="3" w:space="3"/>
        </w:pBdr>
        <w:spacing w:after="120" w:before="260"/>
      </w:pPr>
      <w:r>
        <w:rPr>
          <w:rFonts w:ascii="Arial" w:cs="Arial" w:eastAsia="Arial" w:hAnsi="Arial"/>
          <w:b/>
          <w:bCs/>
          <w:color w:val="2C5F8A"/>
          <w:sz w:val="26"/>
          <w:szCs w:val="26"/>
        </w:rPr>
        <w:t xml:space="preserve">5.1 Universitati Recomandate per Categorie de Test</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1626"/>
      </w:tblGrid>
      <w:tr>
        <w:trPr>
          <w:tblHeader/>
        </w:trPr>
        <w:tc>
          <w:tcPr>
            <w:tcW w:type="dxa" w:w="20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Categorie test</w:t>
            </w:r>
          </w:p>
        </w:tc>
        <w:tc>
          <w:tcPr>
            <w:tcW w:type="dxa" w:w="24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Universitate / Institut</w:t>
            </w:r>
          </w:p>
        </w:tc>
        <w:tc>
          <w:tcPr>
            <w:tcW w:type="dxa" w:w="2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Departament</w:t>
            </w:r>
          </w:p>
        </w:tc>
        <w:tc>
          <w:tcPr>
            <w:tcW w:type="dxa" w:w="16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Contact</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EMC — emisii radiate si conduse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Universitatea Politehnica Bucuresti (UPB)</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Departamentul de Electronica si Telecomunicatii — Laborator EMC</w:t>
            </w:r>
          </w:p>
        </w:tc>
        <w:tc>
          <w:tcPr>
            <w:tcW w:type="dxa" w:w="16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electronica.pub.ro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RF — masuratori antena BLE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Universitatea Tehnica Cluj-Napoca (UTCN)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Departamentul de Electronica — Lab. Masuratori RF</w:t>
            </w:r>
          </w:p>
        </w:tc>
        <w:tc>
          <w:tcPr>
            <w:tcW w:type="dxa" w:w="16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utcluj.ro</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RF — testari wireless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Universitatea Tehnica Iasi (TUIASI)</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Departamentul de Telecomunicatii — Lab. Antene RF</w:t>
            </w:r>
          </w:p>
        </w:tc>
        <w:tc>
          <w:tcPr>
            <w:tcW w:type="dxa" w:w="16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tuiasi.ro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Materiale RoHS / REACH / Nichel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Universitatea Politehnica Bucuresti</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Facultatea de Chimie Aplicata si Stiinta Materialelor</w:t>
            </w:r>
          </w:p>
        </w:tc>
        <w:tc>
          <w:tcPr>
            <w:tcW w:type="dxa" w:w="16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upb.ro</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Spectroscopie XRF (RoHS screening)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Universitatea Babes-Bolyai Cluj</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Centrul de Spectroscopie — analiza metale grele</w:t>
            </w:r>
          </w:p>
        </w:tc>
        <w:tc>
          <w:tcPr>
            <w:tcW w:type="dxa" w:w="16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ubbcluj.ro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Siguranta electrica + baterii</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INCD ICPE-CA Bucuresti</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Institut national — tarife semi-academice</w:t>
            </w:r>
          </w:p>
        </w:tc>
        <w:tc>
          <w:tcPr>
            <w:tcW w:type="dxa" w:w="16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icpe-ca.ro</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Testari mecanice + vibratii</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INCD INSEMEX Petrosani</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Institut national — soc, vibratii, medii extreme</w:t>
            </w:r>
          </w:p>
        </w:tc>
        <w:tc>
          <w:tcPr>
            <w:tcW w:type="dxa" w:w="16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insemex.ro</w:t>
            </w:r>
          </w:p>
        </w:tc>
      </w:tr>
    </w:tbl>
    <w:p>
      <w:pPr>
        <w:spacing w:after="50" w:before="50"/>
      </w:pPr>
      <w:r>
        <w:t xml:space="preserve"/>
      </w:r>
    </w:p>
    <w:p>
      <w:pPr>
        <w:pStyle w:val="Heading2"/>
        <w:pBdr>
          <w:bottom w:val="single" w:color="2C5F8A" w:sz="3" w:space="3"/>
        </w:pBdr>
        <w:spacing w:after="120" w:before="260"/>
      </w:pPr>
      <w:r>
        <w:rPr>
          <w:rFonts w:ascii="Arial" w:cs="Arial" w:eastAsia="Arial" w:hAnsi="Arial"/>
          <w:b/>
          <w:bCs/>
          <w:color w:val="2C5F8A"/>
          <w:sz w:val="26"/>
          <w:szCs w:val="26"/>
        </w:rPr>
        <w:t xml:space="preserve">5.2 Comparatie Costuri — Laborator Comercial vs. Universitar</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626"/>
      </w:tblGrid>
      <w:tr>
        <w:trPr>
          <w:tblHeader/>
        </w:trPr>
        <w:tc>
          <w:tcPr>
            <w:tcW w:type="dxa" w:w="2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Categorie test</w:t>
            </w:r>
          </w:p>
        </w:tc>
        <w:tc>
          <w:tcPr>
            <w:tcW w:type="dxa" w:w="2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Laborator comercial notificat</w:t>
            </w:r>
          </w:p>
        </w:tc>
        <w:tc>
          <w:tcPr>
            <w:tcW w:type="dxa" w:w="2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Laborator universitar / RENAR</w:t>
            </w:r>
          </w:p>
        </w:tc>
        <w:tc>
          <w:tcPr>
            <w:tcW w:type="dxa" w:w="16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Economie estimata</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EMC complet (EN 55032 + EN 61000)</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5.000 – 10.000 EUR</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1.000 – 3.000 EUR</w:t>
            </w:r>
          </w:p>
        </w:tc>
        <w:tc>
          <w:tcPr>
            <w:tcW w:type="dxa" w:w="16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60–70%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RED / RF (ETSI EN 300 328)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5.000 – 8.000 EUR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1.500 – 3.000 EUR</w:t>
            </w:r>
          </w:p>
        </w:tc>
        <w:tc>
          <w:tcPr>
            <w:tcW w:type="dxa" w:w="16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50–65%</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Siguranta electrica (IEC 62368-1)</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3.000 – 5.000 EUR</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800 – 2.000 EUR</w:t>
            </w:r>
          </w:p>
        </w:tc>
        <w:tc>
          <w:tcPr>
            <w:tcW w:type="dxa" w:w="16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55–70%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Baterie (IEC 62133-2)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2.000 – 4.000 EUR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700 – 1.800 EUR</w:t>
            </w:r>
          </w:p>
        </w:tc>
        <w:tc>
          <w:tcPr>
            <w:tcW w:type="dxa" w:w="16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55–65%</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RoHS + REACH + Nichel EN 1811</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800 – 1.500 EUR</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200 – 600 EUR</w:t>
            </w:r>
          </w:p>
        </w:tc>
        <w:tc>
          <w:tcPr>
            <w:tcW w:type="dxa" w:w="16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60–70%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Mecanice + IP67/68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1.500 – 3.000 EUR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500 – 1.500 EUR</w:t>
            </w:r>
          </w:p>
        </w:tc>
        <w:tc>
          <w:tcPr>
            <w:tcW w:type="dxa" w:w="16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50–60%</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TOTAL estimat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17.300 – 31.500 EUR</w:t>
            </w:r>
          </w:p>
        </w:tc>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4.700 – 11.900 EUR</w:t>
            </w:r>
          </w:p>
        </w:tc>
        <w:tc>
          <w:tcPr>
            <w:tcW w:type="dxa" w:w="16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~65% economie</w:t>
            </w:r>
          </w:p>
        </w:tc>
      </w:tr>
    </w:tbl>
    <w:p>
      <w:pPr>
        <w:spacing w:after="50" w:before="50"/>
      </w:pPr>
      <w:r>
        <w:t xml:space="preserve"/>
      </w:r>
    </w:p>
    <w:p>
      <w:pPr>
        <w:pBdr>
          <w:top w:val="single" w:color="A32D2D" w:sz="3" w:space="3"/>
          <w:bottom w:val="single" w:color="A32D2D" w:sz="3" w:space="3"/>
          <w:left w:val="single" w:color="A32D2D" w:sz="10" w:space="8"/>
          <w:right w:val="single" w:color="A32D2D" w:sz="3" w:space="3"/>
        </w:pBdr>
        <w:spacing w:after="110" w:before="110"/>
        <w:ind w:left="260"/>
      </w:pPr>
      <w:r>
        <w:rPr>
          <w:rFonts w:ascii="Arial" w:cs="Arial" w:eastAsia="Arial" w:hAnsi="Arial"/>
          <w:b/>
          <w:bCs/>
          <w:color w:val="A32D2D"/>
          <w:sz w:val="19"/>
          <w:szCs w:val="19"/>
        </w:rPr>
        <w:t xml:space="preserve">CRITIC: Verificati obligatoriu daca laboratorul universitar ales are acreditare RENAR pentru standardul specific necesar. Un raport fara acreditare RENAR nu are valoare legala pentru dosarul CE. Intrebati explicit pentru EN 300 328 (RED) si EN 55032 (EMC).</w:t>
      </w:r>
    </w:p>
    <w:p>
      <w:pPr>
        <w:spacing w:after="50" w:before="50"/>
      </w:pPr>
      <w:r>
        <w:t xml:space="preserve"/>
      </w:r>
    </w:p>
    <w:p>
      <w:pPr>
        <w:pStyle w:val="Heading2"/>
        <w:pBdr>
          <w:bottom w:val="single" w:color="2C5F8A" w:sz="3" w:space="3"/>
        </w:pBdr>
        <w:spacing w:after="120" w:before="260"/>
      </w:pPr>
      <w:r>
        <w:rPr>
          <w:rFonts w:ascii="Arial" w:cs="Arial" w:eastAsia="Arial" w:hAnsi="Arial"/>
          <w:b/>
          <w:bCs/>
          <w:color w:val="2C5F8A"/>
          <w:sz w:val="26"/>
          <w:szCs w:val="26"/>
        </w:rPr>
        <w:t xml:space="preserve">5.3 Strategia in Doua Faze — Pre-testare si Certificare</w:t>
      </w:r>
    </w:p>
    <w:p>
      <w:pPr>
        <w:spacing w:after="70" w:before="70"/>
      </w:pPr>
      <w:r>
        <w:rPr>
          <w:rFonts w:ascii="Arial" w:cs="Arial" w:eastAsia="Arial" w:hAnsi="Arial"/>
          <w:color w:val="444441"/>
          <w:sz w:val="21"/>
          <w:szCs w:val="21"/>
        </w:rPr>
        <w:t xml:space="preserve">Aceasta strategie este recomandata pentru reducerea riscului financiar si identificarea problemelor tehnice inainte de testele oficiale costisitoare.</w:t>
      </w:r>
    </w:p>
    <w:p>
      <w:pPr>
        <w:spacing w:after="50" w:before="50"/>
      </w:pPr>
      <w:r>
        <w:t xml:space="preserve"/>
      </w:r>
    </w:p>
    <w:p>
      <w:pPr>
        <w:pStyle w:val="Heading3"/>
        <w:spacing w:after="90" w:before="200"/>
      </w:pPr>
      <w:r>
        <w:rPr>
          <w:rFonts w:ascii="Arial" w:cs="Arial" w:eastAsia="Arial" w:hAnsi="Arial"/>
          <w:b/>
          <w:bCs/>
          <w:color w:val="3A7ABF"/>
          <w:sz w:val="22"/>
          <w:szCs w:val="22"/>
        </w:rPr>
        <w:t xml:space="preserve">Faza 1 — Pre-testare la Universitati (2–4 luni)</w:t>
      </w:r>
    </w:p>
    <w:p>
      <w:pPr>
        <w:spacing w:after="70" w:before="70"/>
      </w:pPr>
      <w:r>
        <w:rPr>
          <w:rFonts w:ascii="Arial" w:cs="Arial" w:eastAsia="Arial" w:hAnsi="Arial"/>
          <w:color w:val="444441"/>
          <w:sz w:val="21"/>
          <w:szCs w:val="21"/>
        </w:rPr>
        <w:t xml:space="preserve">Obiectiv: identificarea si corectarea problemelor tehnice inainte de a plati laboratorul notificat.</w:t>
      </w:r>
    </w:p>
    <w:p>
      <w:pPr>
        <w:pStyle w:val="ListParagraph"/>
        <w:numPr>
          <w:ilvl w:val="0"/>
          <w:numId w:val="2"/>
        </w:numPr>
        <w:spacing w:after="45" w:before="45"/>
      </w:pPr>
      <w:r>
        <w:rPr>
          <w:rFonts w:ascii="Arial" w:cs="Arial" w:eastAsia="Arial" w:hAnsi="Arial"/>
          <w:color w:val="444441"/>
          <w:sz w:val="21"/>
          <w:szCs w:val="21"/>
        </w:rPr>
        <w:t xml:space="preserve">Contactati UPB sau UTCN si propuneti o colaborare tehnica sau un contract de servicii</w:t>
      </w:r>
    </w:p>
    <w:p>
      <w:pPr>
        <w:pStyle w:val="ListParagraph"/>
        <w:numPr>
          <w:ilvl w:val="0"/>
          <w:numId w:val="2"/>
        </w:numPr>
        <w:spacing w:after="45" w:before="45"/>
      </w:pPr>
      <w:r>
        <w:rPr>
          <w:rFonts w:ascii="Arial" w:cs="Arial" w:eastAsia="Arial" w:hAnsi="Arial"/>
          <w:color w:val="444441"/>
          <w:sz w:val="21"/>
          <w:szCs w:val="21"/>
        </w:rPr>
        <w:t xml:space="preserve">Prezentati inelul complet asamblat — nu componente izolate</w:t>
      </w:r>
    </w:p>
    <w:p>
      <w:pPr>
        <w:pStyle w:val="ListParagraph"/>
        <w:numPr>
          <w:ilvl w:val="0"/>
          <w:numId w:val="2"/>
        </w:numPr>
        <w:spacing w:after="45" w:before="45"/>
      </w:pPr>
      <w:r>
        <w:rPr>
          <w:rFonts w:ascii="Arial" w:cs="Arial" w:eastAsia="Arial" w:hAnsi="Arial"/>
          <w:color w:val="444441"/>
          <w:sz w:val="21"/>
          <w:szCs w:val="21"/>
        </w:rPr>
        <w:t xml:space="preserve">Solicitati masuratori informale EMC — identificati eventualele emisii parazite</w:t>
      </w:r>
    </w:p>
    <w:p>
      <w:pPr>
        <w:pStyle w:val="ListParagraph"/>
        <w:numPr>
          <w:ilvl w:val="0"/>
          <w:numId w:val="2"/>
        </w:numPr>
        <w:spacing w:after="45" w:before="45"/>
      </w:pPr>
      <w:r>
        <w:rPr>
          <w:rFonts w:ascii="Arial" w:cs="Arial" w:eastAsia="Arial" w:hAnsi="Arial"/>
          <w:color w:val="444441"/>
          <w:sz w:val="21"/>
          <w:szCs w:val="21"/>
        </w:rPr>
        <w:t xml:space="preserve">Testati temperatura suprafetei pe deget real in conditii de utilizare normala</w:t>
      </w:r>
    </w:p>
    <w:p>
      <w:pPr>
        <w:pStyle w:val="ListParagraph"/>
        <w:numPr>
          <w:ilvl w:val="0"/>
          <w:numId w:val="2"/>
        </w:numPr>
        <w:spacing w:after="45" w:before="45"/>
      </w:pPr>
      <w:r>
        <w:rPr>
          <w:rFonts w:ascii="Arial" w:cs="Arial" w:eastAsia="Arial" w:hAnsi="Arial"/>
          <w:color w:val="444441"/>
          <w:sz w:val="21"/>
          <w:szCs w:val="21"/>
        </w:rPr>
        <w:t xml:space="preserve">Pre-testati ESD pe carcasa de aur cu simulator simplu</w:t>
      </w:r>
    </w:p>
    <w:p>
      <w:pPr>
        <w:pStyle w:val="ListParagraph"/>
        <w:numPr>
          <w:ilvl w:val="0"/>
          <w:numId w:val="2"/>
        </w:numPr>
        <w:spacing w:after="45" w:before="45"/>
      </w:pPr>
      <w:r>
        <w:rPr>
          <w:rFonts w:ascii="Arial" w:cs="Arial" w:eastAsia="Arial" w:hAnsi="Arial"/>
          <w:color w:val="444441"/>
          <w:sz w:val="21"/>
          <w:szCs w:val="21"/>
        </w:rPr>
        <w:t xml:space="preserve">Validati performanta RF a antenei ceramice in carcasa de aur cu VNA</w:t>
      </w:r>
    </w:p>
    <w:p>
      <w:pPr>
        <w:pStyle w:val="ListParagraph"/>
        <w:numPr>
          <w:ilvl w:val="0"/>
          <w:numId w:val="2"/>
        </w:numPr>
        <w:spacing w:after="45" w:before="45"/>
      </w:pPr>
      <w:r>
        <w:rPr>
          <w:rFonts w:ascii="Arial" w:cs="Arial" w:eastAsia="Arial" w:hAnsi="Arial"/>
          <w:color w:val="444441"/>
          <w:sz w:val="21"/>
          <w:szCs w:val="21"/>
        </w:rPr>
        <w:t xml:space="preserve">Cost estimat: 500–2.000 EUR sau colaborare academica fara cost direct</w:t>
      </w:r>
    </w:p>
    <w:p>
      <w:pPr>
        <w:spacing w:after="50" w:before="50"/>
      </w:pPr>
      <w:r>
        <w:t xml:space="preserve"/>
      </w:r>
    </w:p>
    <w:p>
      <w:pPr>
        <w:pStyle w:val="Heading3"/>
        <w:spacing w:after="90" w:before="200"/>
      </w:pPr>
      <w:r>
        <w:rPr>
          <w:rFonts w:ascii="Arial" w:cs="Arial" w:eastAsia="Arial" w:hAnsi="Arial"/>
          <w:b/>
          <w:bCs/>
          <w:color w:val="3A7ABF"/>
          <w:sz w:val="22"/>
          <w:szCs w:val="22"/>
        </w:rPr>
        <w:t xml:space="preserve">Faza 2 — Certificare Oficiala la Laborator Notificat (2–3 luni)</w:t>
      </w:r>
    </w:p>
    <w:p>
      <w:pPr>
        <w:spacing w:after="70" w:before="70"/>
      </w:pPr>
      <w:r>
        <w:rPr>
          <w:rFonts w:ascii="Arial" w:cs="Arial" w:eastAsia="Arial" w:hAnsi="Arial"/>
          <w:color w:val="444441"/>
          <w:sz w:val="21"/>
          <w:szCs w:val="21"/>
        </w:rPr>
        <w:t xml:space="preserve">Obiectiv: obtinerea rapoartelor cu valoare legala pentru dosarul CE.</w:t>
      </w:r>
    </w:p>
    <w:p>
      <w:pPr>
        <w:pStyle w:val="ListParagraph"/>
        <w:numPr>
          <w:ilvl w:val="0"/>
          <w:numId w:val="2"/>
        </w:numPr>
        <w:spacing w:after="45" w:before="45"/>
      </w:pPr>
      <w:r>
        <w:rPr>
          <w:rFonts w:ascii="Arial" w:cs="Arial" w:eastAsia="Arial" w:hAnsi="Arial"/>
          <w:color w:val="444441"/>
          <w:sz w:val="21"/>
          <w:szCs w:val="21"/>
        </w:rPr>
        <w:t xml:space="preserve">Depuneti produsul la laborator notificat (TUV, SGS, Bureau Veritas, Intertek)</w:t>
      </w:r>
    </w:p>
    <w:p>
      <w:pPr>
        <w:pStyle w:val="ListParagraph"/>
        <w:numPr>
          <w:ilvl w:val="0"/>
          <w:numId w:val="2"/>
        </w:numPr>
        <w:spacing w:after="45" w:before="45"/>
      </w:pPr>
      <w:r>
        <w:rPr>
          <w:rFonts w:ascii="Arial" w:cs="Arial" w:eastAsia="Arial" w:hAnsi="Arial"/>
          <w:color w:val="444441"/>
          <w:sz w:val="21"/>
          <w:szCs w:val="21"/>
        </w:rPr>
        <w:t xml:space="preserve">Dupa pre-testarea din faza 1, sansele de reusire din prima incercare sunt &gt;90%</w:t>
      </w:r>
    </w:p>
    <w:p>
      <w:pPr>
        <w:pStyle w:val="ListParagraph"/>
        <w:numPr>
          <w:ilvl w:val="0"/>
          <w:numId w:val="2"/>
        </w:numPr>
        <w:spacing w:after="45" w:before="45"/>
      </w:pPr>
      <w:r>
        <w:rPr>
          <w:rFonts w:ascii="Arial" w:cs="Arial" w:eastAsia="Arial" w:hAnsi="Arial"/>
          <w:color w:val="444441"/>
          <w:sz w:val="21"/>
          <w:szCs w:val="21"/>
        </w:rPr>
        <w:t xml:space="preserve">Evitati costurile iteratiilor suplimentare — fiecare repetare costa 30–50% din testul initial</w:t>
      </w:r>
    </w:p>
    <w:p>
      <w:pPr>
        <w:pStyle w:val="ListParagraph"/>
        <w:numPr>
          <w:ilvl w:val="0"/>
          <w:numId w:val="2"/>
        </w:numPr>
        <w:spacing w:after="45" w:before="45"/>
      </w:pPr>
      <w:r>
        <w:rPr>
          <w:rFonts w:ascii="Arial" w:cs="Arial" w:eastAsia="Arial" w:hAnsi="Arial"/>
          <w:color w:val="444441"/>
          <w:sz w:val="21"/>
          <w:szCs w:val="21"/>
        </w:rPr>
        <w:t xml:space="preserve">Obtineti rapoartele de test acreditate pentru toate standardele aplicabile</w:t>
      </w:r>
    </w:p>
    <w:p>
      <w:pPr>
        <w:spacing w:after="50" w:before="50"/>
      </w:pPr>
      <w:r>
        <w:t xml:space="preserve"/>
      </w:r>
    </w:p>
    <w:p>
      <w:pPr>
        <w:pBdr>
          <w:left w:val="single" w:color="0F6E56" w:sz="8" w:space="8"/>
        </w:pBdr>
        <w:spacing w:after="90" w:before="90"/>
        <w:ind w:left="260"/>
      </w:pPr>
      <w:r>
        <w:rPr>
          <w:rFonts w:ascii="Arial" w:cs="Arial" w:eastAsia="Arial" w:hAnsi="Arial"/>
          <w:i/>
          <w:iCs/>
          <w:color w:val="0A4A3A"/>
          <w:sz w:val="19"/>
          <w:szCs w:val="19"/>
        </w:rPr>
        <w:t xml:space="preserve">Colaborarea cu o universitate poate lua forma unui proiect de cercetare aplicata — studenti masteranzi sau doctoranzi pot rula o parte din testele de pre-validare ca parte din activitatea lor academica, reducand costul la aproape zero.</w:t>
      </w:r>
    </w:p>
    <w:p>
      <w:pPr>
        <w:spacing w:after="50" w:before="50"/>
      </w:pPr>
      <w:r>
        <w:t xml:space="preserve"/>
      </w:r>
    </w:p>
    <w:p>
      <w:r>
        <w:br w:type="page"/>
      </w:r>
    </w:p>
    <w:p>
      <w:pPr>
        <w:pStyle w:val="Heading1"/>
        <w:spacing w:after="160" w:before="380"/>
      </w:pPr>
      <w:r>
        <w:rPr>
          <w:rFonts w:ascii="Arial" w:cs="Arial" w:eastAsia="Arial" w:hAnsi="Arial"/>
          <w:b/>
          <w:bCs/>
          <w:color w:val="1F3A5F"/>
          <w:sz w:val="32"/>
          <w:szCs w:val="32"/>
        </w:rPr>
        <w:t xml:space="preserve">6. Ordinea Recomandata a Testelor si Planul de Certificare</w:t>
      </w:r>
    </w:p>
    <w:p>
      <w:pPr>
        <w:spacing w:after="50" w:before="5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1800"/>
        <w:gridCol w:w="1200"/>
        <w:gridCol w:w="1426"/>
      </w:tblGrid>
      <w:tr>
        <w:trPr>
          <w:tblHeader/>
        </w:trPr>
        <w:tc>
          <w:tcPr>
            <w:tcW w:type="dxa" w:w="6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Etapa</w:t>
            </w:r>
          </w:p>
        </w:tc>
        <w:tc>
          <w:tcPr>
            <w:tcW w:type="dxa" w:w="24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Test / Activitate</w:t>
            </w:r>
          </w:p>
        </w:tc>
        <w:tc>
          <w:tcPr>
            <w:tcW w:type="dxa" w:w="18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Standard</w:t>
            </w:r>
          </w:p>
        </w:tc>
        <w:tc>
          <w:tcPr>
            <w:tcW w:type="dxa" w:w="18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Unde</w:t>
            </w:r>
          </w:p>
        </w:tc>
        <w:tc>
          <w:tcPr>
            <w:tcW w:type="dxa" w:w="12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Durata</w:t>
            </w:r>
          </w:p>
        </w:tc>
        <w:tc>
          <w:tcPr>
            <w:tcW w:type="dxa" w:w="14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Cost estimat</w:t>
            </w:r>
          </w:p>
        </w:tc>
      </w:tr>
      <w:tr>
        <w:tc>
          <w:tcPr>
            <w:tcW w:type="dxa" w:w="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1</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RoHS screening XRF + REACH SVHC</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EN IEC 63000</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UBB Cluj / UPB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2–3 sapt</w:t>
            </w:r>
          </w:p>
        </w:tc>
        <w:tc>
          <w:tcPr>
            <w:tcW w:type="dxa" w:w="1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200–600 EUR</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Test nichel release EN 1811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EN 1811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UPB Chimie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2–3 sapt</w:t>
            </w:r>
          </w:p>
        </w:tc>
        <w:tc>
          <w:tcPr>
            <w:tcW w:type="dxa" w:w="1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300–800 EUR</w:t>
            </w:r>
          </w:p>
        </w:tc>
      </w:tr>
      <w:tr>
        <w:tc>
          <w:tcPr>
            <w:tcW w:type="dxa" w:w="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3</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Pre-testare EMC informala</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EN 55032</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UPB / UTCN</w:t>
            </w:r>
          </w:p>
        </w:tc>
        <w:tc>
          <w:tcPr>
            <w:tcW w:type="dxa" w:w="1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1–2 sapt</w:t>
            </w:r>
          </w:p>
        </w:tc>
        <w:tc>
          <w:tcPr>
            <w:tcW w:type="dxa" w:w="1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300–800 EUR</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Tuning antena VNA — per marime inel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ETSI EN 300 328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UTCN / TUIASI</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1–2 sapt</w:t>
            </w:r>
          </w:p>
        </w:tc>
        <w:tc>
          <w:tcPr>
            <w:tcW w:type="dxa" w:w="1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200–500 EUR</w:t>
            </w:r>
          </w:p>
        </w:tc>
      </w:tr>
      <w:tr>
        <w:tc>
          <w:tcPr>
            <w:tcW w:type="dxa" w:w="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5</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Temperatura suprafata pe deget real</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EN ISO 13732-1</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Intern + UPB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1 sapt</w:t>
            </w:r>
          </w:p>
        </w:tc>
        <w:tc>
          <w:tcPr>
            <w:tcW w:type="dxa" w:w="1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100–300 EUR</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Pre-testare siguranta electrica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62368-1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ICPE-CA</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2–3 sapt</w:t>
            </w:r>
          </w:p>
        </w:tc>
        <w:tc>
          <w:tcPr>
            <w:tcW w:type="dxa" w:w="1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500–1.500 EUR</w:t>
            </w:r>
          </w:p>
        </w:tc>
      </w:tr>
      <w:tr>
        <w:tc>
          <w:tcPr>
            <w:tcW w:type="dxa" w:w="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7</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Pre-testare baterie</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62133-2</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ICPE-CA</w:t>
            </w:r>
          </w:p>
        </w:tc>
        <w:tc>
          <w:tcPr>
            <w:tcW w:type="dxa" w:w="1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3–4 sapt</w:t>
            </w:r>
          </w:p>
        </w:tc>
        <w:tc>
          <w:tcPr>
            <w:tcW w:type="dxa" w:w="1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700–1.800 EUR</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Testari mecanice + IP67/68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60068 + IEC 60529</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INSEMEX / ICPE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2–3 sapt</w:t>
            </w:r>
          </w:p>
        </w:tc>
        <w:tc>
          <w:tcPr>
            <w:tcW w:type="dxa" w:w="1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500–1.500 EUR</w:t>
            </w:r>
          </w:p>
        </w:tc>
      </w:tr>
      <w:tr>
        <w:tc>
          <w:tcPr>
            <w:tcW w:type="dxa" w:w="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9</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CERTIFICARE OFICIALA — EMC + RED</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EN 55032 + EN 300 328</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TUV / SGS / Intertek</w:t>
            </w:r>
          </w:p>
        </w:tc>
        <w:tc>
          <w:tcPr>
            <w:tcW w:type="dxa" w:w="1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4–6 sapt</w:t>
            </w:r>
          </w:p>
        </w:tc>
        <w:tc>
          <w:tcPr>
            <w:tcW w:type="dxa" w:w="1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6.000–12.000 EUR</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CERTIFICARE OFICIALA — LVD + Baterie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IEC 62368-1 + IEC 62133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TUV / SGS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4–6 sapt</w:t>
            </w:r>
          </w:p>
        </w:tc>
        <w:tc>
          <w:tcPr>
            <w:tcW w:type="dxa" w:w="1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4.000–8.000 EUR</w:t>
            </w:r>
          </w:p>
        </w:tc>
      </w:tr>
      <w:tr>
        <w:tc>
          <w:tcPr>
            <w:tcW w:type="dxa" w:w="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11</w:t>
            </w:r>
          </w:p>
        </w:tc>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Dosar tehnic CE + Declaratie conformitate</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RED Art. 10</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Intern (producator)</w:t>
            </w:r>
          </w:p>
        </w:tc>
        <w:tc>
          <w:tcPr>
            <w:tcW w:type="dxa" w:w="1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2–3 sapt</w:t>
            </w:r>
          </w:p>
        </w:tc>
        <w:tc>
          <w:tcPr>
            <w:tcW w:type="dxa" w:w="1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0 EUR (intern)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Aplicare marcaj CE + notificare piata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Regulament CE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Intern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1 sapt</w:t>
            </w:r>
          </w:p>
        </w:tc>
        <w:tc>
          <w:tcPr>
            <w:tcW w:type="dxa" w:w="1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0 EUR</w:t>
            </w:r>
          </w:p>
        </w:tc>
      </w:tr>
    </w:tbl>
    <w:p>
      <w:pPr>
        <w:spacing w:after="50" w:before="5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626"/>
      </w:tblGrid>
      <w:tr>
        <w:trPr>
          <w:tblHeader/>
        </w:trPr>
        <w:tc>
          <w:tcPr>
            <w:tcW w:type="dxa" w:w="18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Faza</w:t>
            </w:r>
          </w:p>
        </w:tc>
        <w:tc>
          <w:tcPr>
            <w:tcW w:type="dxa" w:w="30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Activitati</w:t>
            </w:r>
          </w:p>
        </w:tc>
        <w:tc>
          <w:tcPr>
            <w:tcW w:type="dxa" w:w="18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Durata totala</w:t>
            </w:r>
          </w:p>
        </w:tc>
        <w:tc>
          <w:tcPr>
            <w:tcW w:type="dxa" w:w="26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Cost total estimat</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Pre-testare (Faze 1–8)</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Universitati + ICPE-CA + INSEMEX</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3–5 luni (paralel)</w:t>
            </w:r>
          </w:p>
        </w:tc>
        <w:tc>
          <w:tcPr>
            <w:tcW w:type="dxa" w:w="26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2.800 – 7.800 EUR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Certificare oficiala (Faze 9–10)</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Laborator notificat TUV/SGS/Intertek</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2–3 luni</w:t>
            </w:r>
          </w:p>
        </w:tc>
        <w:tc>
          <w:tcPr>
            <w:tcW w:type="dxa" w:w="26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10.000 – 20.000 EUR</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Documentatie (Faze 11–12)</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Intern — dosar tehnic + declaratie</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1 luna</w:t>
            </w:r>
          </w:p>
        </w:tc>
        <w:tc>
          <w:tcPr>
            <w:tcW w:type="dxa" w:w="26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0 EUR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TOTAL GENERAL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Strategie completa optimizata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5–8 luni total</w:t>
            </w:r>
          </w:p>
        </w:tc>
        <w:tc>
          <w:tcPr>
            <w:tcW w:type="dxa" w:w="26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12.800 – 27.800 EUR</w:t>
            </w:r>
          </w:p>
        </w:tc>
      </w:tr>
    </w:tbl>
    <w:p>
      <w:pPr>
        <w:spacing w:after="50" w:before="50"/>
      </w:pPr>
      <w:r>
        <w:t xml:space="preserve"/>
      </w:r>
    </w:p>
    <w:p>
      <w:pPr>
        <w:pBdr>
          <w:left w:val="single" w:color="0F6E56" w:sz="8" w:space="8"/>
        </w:pBdr>
        <w:spacing w:after="90" w:before="90"/>
        <w:ind w:left="260"/>
      </w:pPr>
      <w:r>
        <w:rPr>
          <w:rFonts w:ascii="Arial" w:cs="Arial" w:eastAsia="Arial" w:hAnsi="Arial"/>
          <w:i/>
          <w:iCs/>
          <w:color w:val="0A4A3A"/>
          <w:sz w:val="19"/>
          <w:szCs w:val="19"/>
        </w:rPr>
        <w:t xml:space="preserve">Comparatie: fara strategia de pre-testare universitara, costul total ar fi 17.000–31.500 EUR cu risc ridicat de retest la laboratorul notificat. Strategia propusa economiseste 4.000–10.000 EUR si reduce riscul de esec la certificarea finala.</w:t>
      </w:r>
    </w:p>
    <w:p>
      <w:pPr>
        <w:spacing w:after="50" w:before="50"/>
      </w:pPr>
      <w:r>
        <w:t xml:space="preserve"/>
      </w:r>
    </w:p>
    <w:p>
      <w:r>
        <w:br w:type="page"/>
      </w:r>
    </w:p>
    <w:p>
      <w:pPr>
        <w:pStyle w:val="Heading1"/>
        <w:spacing w:after="160" w:before="380"/>
      </w:pPr>
      <w:r>
        <w:rPr>
          <w:rFonts w:ascii="Arial" w:cs="Arial" w:eastAsia="Arial" w:hAnsi="Arial"/>
          <w:b/>
          <w:bCs/>
          <w:color w:val="1F3A5F"/>
          <w:sz w:val="32"/>
          <w:szCs w:val="32"/>
        </w:rPr>
        <w:t xml:space="preserve">7. Continutul Dosarului Tehnic CE</w:t>
      </w:r>
    </w:p>
    <w:p>
      <w:pPr>
        <w:spacing w:after="70" w:before="70"/>
      </w:pPr>
      <w:r>
        <w:rPr>
          <w:rFonts w:ascii="Arial" w:cs="Arial" w:eastAsia="Arial" w:hAnsi="Arial"/>
          <w:color w:val="444441"/>
          <w:sz w:val="21"/>
          <w:szCs w:val="21"/>
        </w:rPr>
        <w:t xml:space="preserve">Producatorul este responsabil de intocmirea si pastrarea dosarului tehnic CE timp de minimum 10 ani de la lansarea produsului. Dosarul nu se trimite autoritatilor — se pastreaza si se pune la dispozitie la cerere.</w:t>
      </w:r>
    </w:p>
    <w:p>
      <w:pPr>
        <w:spacing w:after="50" w:before="50"/>
      </w:pPr>
      <w:r>
        <w:t xml:space="preserve"/>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426"/>
      </w:tblGrid>
      <w:tr>
        <w:trPr>
          <w:tblHeader/>
        </w:trPr>
        <w:tc>
          <w:tcPr>
            <w:tcW w:type="dxa" w:w="24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Sectiune dosar</w:t>
            </w:r>
          </w:p>
        </w:tc>
        <w:tc>
          <w:tcPr>
            <w:tcW w:type="dxa" w:w="34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Documente necesare</w:t>
            </w:r>
          </w:p>
        </w:tc>
        <w:tc>
          <w:tcPr>
            <w:tcW w:type="dxa" w:w="24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Sursa</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Descriere generala produs</w:t>
            </w:r>
          </w:p>
        </w:tc>
        <w:tc>
          <w:tcPr>
            <w:tcW w:type="dxa" w:w="3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Fise tehnice, fotografii, descriere functionala</w:t>
            </w:r>
          </w:p>
        </w:tc>
        <w:tc>
          <w:tcPr>
            <w:tcW w:type="dxa" w:w="2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Intern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Schema electrica completa</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Altium .SchDoc + PDF schema</w:t>
            </w:r>
          </w:p>
        </w:tc>
        <w:tc>
          <w:tcPr>
            <w:tcW w:type="dxa" w:w="2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Intern — Altium</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Lista componente (BOM)</w:t>
            </w:r>
          </w:p>
        </w:tc>
        <w:tc>
          <w:tcPr>
            <w:tcW w:type="dxa" w:w="3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BOM complet cu MPN, furnizor, certificari</w:t>
            </w:r>
          </w:p>
        </w:tc>
        <w:tc>
          <w:tcPr>
            <w:tcW w:type="dxa" w:w="2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Intern — Excel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Descriere structura multistrat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Ordinea straturilor, materiale, procedura asamblare</w:t>
            </w:r>
          </w:p>
        </w:tc>
        <w:tc>
          <w:tcPr>
            <w:tcW w:type="dxa" w:w="2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Intern</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Rapoarte de test acreditate</w:t>
            </w:r>
          </w:p>
        </w:tc>
        <w:tc>
          <w:tcPr>
            <w:tcW w:type="dxa" w:w="3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Toate rapoartele de la laboratoarele notificate</w:t>
            </w:r>
          </w:p>
        </w:tc>
        <w:tc>
          <w:tcPr>
            <w:tcW w:type="dxa" w:w="2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Laborator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Declaratii conformitate componente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CE/RoHS/REACH ale componentelor principale</w:t>
            </w:r>
          </w:p>
        </w:tc>
        <w:tc>
          <w:tcPr>
            <w:tcW w:type="dxa" w:w="2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Furnizori</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Analiza de risc (FMEA)</w:t>
            </w:r>
          </w:p>
        </w:tc>
        <w:tc>
          <w:tcPr>
            <w:tcW w:type="dxa" w:w="3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Failure Mode and Effects Analysis — interfete critice</w:t>
            </w:r>
          </w:p>
        </w:tc>
        <w:tc>
          <w:tcPr>
            <w:tcW w:type="dxa" w:w="2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Intern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Manual utilizator</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Instructiuni utilizare, avertismente, date contact producator</w:t>
            </w:r>
          </w:p>
        </w:tc>
        <w:tc>
          <w:tcPr>
            <w:tcW w:type="dxa" w:w="2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Intern</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Declaratia de Conformitate EU</w:t>
            </w:r>
          </w:p>
        </w:tc>
        <w:tc>
          <w:tcPr>
            <w:tcW w:type="dxa" w:w="3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Semnata de producator sau reprezentant autorizat EU</w:t>
            </w:r>
          </w:p>
        </w:tc>
        <w:tc>
          <w:tcPr>
            <w:tcW w:type="dxa" w:w="24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Intern — semnat</w:t>
            </w:r>
          </w:p>
        </w:tc>
      </w:tr>
    </w:tbl>
    <w:p>
      <w:pPr>
        <w:spacing w:after="50" w:before="50"/>
      </w:pPr>
      <w:r>
        <w:t xml:space="preserve"/>
      </w:r>
    </w:p>
    <w:p>
      <w:pPr>
        <w:pStyle w:val="Heading2"/>
        <w:pBdr>
          <w:bottom w:val="single" w:color="2C5F8A" w:sz="3" w:space="3"/>
        </w:pBdr>
        <w:spacing w:after="120" w:before="260"/>
      </w:pPr>
      <w:r>
        <w:rPr>
          <w:rFonts w:ascii="Arial" w:cs="Arial" w:eastAsia="Arial" w:hAnsi="Arial"/>
          <w:b/>
          <w:bCs/>
          <w:color w:val="2C5F8A"/>
          <w:sz w:val="26"/>
          <w:szCs w:val="26"/>
        </w:rPr>
        <w:t xml:space="preserve">7.1 Declaratia de Conformitate EU — Elemente Obligatorii</w:t>
      </w:r>
    </w:p>
    <w:p>
      <w:pPr>
        <w:pStyle w:val="ListParagraph"/>
        <w:numPr>
          <w:ilvl w:val="0"/>
          <w:numId w:val="2"/>
        </w:numPr>
        <w:spacing w:after="45" w:before="45"/>
      </w:pPr>
      <w:r>
        <w:rPr>
          <w:rFonts w:ascii="Arial" w:cs="Arial" w:eastAsia="Arial" w:hAnsi="Arial"/>
          <w:color w:val="444441"/>
          <w:sz w:val="21"/>
          <w:szCs w:val="21"/>
        </w:rPr>
        <w:t xml:space="preserve">Numele si adresa completa a producatorului sau reprezentantului autorizat</w:t>
      </w:r>
    </w:p>
    <w:p>
      <w:pPr>
        <w:pStyle w:val="ListParagraph"/>
        <w:numPr>
          <w:ilvl w:val="0"/>
          <w:numId w:val="2"/>
        </w:numPr>
        <w:spacing w:after="45" w:before="45"/>
      </w:pPr>
      <w:r>
        <w:rPr>
          <w:rFonts w:ascii="Arial" w:cs="Arial" w:eastAsia="Arial" w:hAnsi="Arial"/>
          <w:color w:val="444441"/>
          <w:sz w:val="21"/>
          <w:szCs w:val="21"/>
        </w:rPr>
        <w:t xml:space="preserve">Descrierea produsului: model, numar articol, lot sau serie</w:t>
      </w:r>
    </w:p>
    <w:p>
      <w:pPr>
        <w:pStyle w:val="ListParagraph"/>
        <w:numPr>
          <w:ilvl w:val="0"/>
          <w:numId w:val="2"/>
        </w:numPr>
        <w:spacing w:after="45" w:before="45"/>
      </w:pPr>
      <w:r>
        <w:rPr>
          <w:rFonts w:ascii="Arial" w:cs="Arial" w:eastAsia="Arial" w:hAnsi="Arial"/>
          <w:color w:val="444441"/>
          <w:sz w:val="21"/>
          <w:szCs w:val="21"/>
        </w:rPr>
        <w:t xml:space="preserve">Lista directivelor si standardelor armonizate aplicabile</w:t>
      </w:r>
    </w:p>
    <w:p>
      <w:pPr>
        <w:pStyle w:val="ListParagraph"/>
        <w:numPr>
          <w:ilvl w:val="0"/>
          <w:numId w:val="2"/>
        </w:numPr>
        <w:spacing w:after="45" w:before="45"/>
      </w:pPr>
      <w:r>
        <w:rPr>
          <w:rFonts w:ascii="Arial" w:cs="Arial" w:eastAsia="Arial" w:hAnsi="Arial"/>
          <w:color w:val="444441"/>
          <w:sz w:val="21"/>
          <w:szCs w:val="21"/>
        </w:rPr>
        <w:t xml:space="preserve">Referinte la rapoartele de test (numar raport, laborator, data)</w:t>
      </w:r>
    </w:p>
    <w:p>
      <w:pPr>
        <w:pStyle w:val="ListParagraph"/>
        <w:numPr>
          <w:ilvl w:val="0"/>
          <w:numId w:val="2"/>
        </w:numPr>
        <w:spacing w:after="45" w:before="45"/>
      </w:pPr>
      <w:r>
        <w:rPr>
          <w:rFonts w:ascii="Arial" w:cs="Arial" w:eastAsia="Arial" w:hAnsi="Arial"/>
          <w:color w:val="444441"/>
          <w:sz w:val="21"/>
          <w:szCs w:val="21"/>
        </w:rPr>
        <w:t xml:space="preserve">Semnatura si data — persoana responsabila legal in cadrul companiei</w:t>
      </w:r>
    </w:p>
    <w:p>
      <w:pPr>
        <w:spacing w:after="50" w:before="50"/>
      </w:pPr>
      <w:r>
        <w:t xml:space="preserve"/>
      </w:r>
    </w:p>
    <w:p>
      <w:pPr>
        <w:pBdr>
          <w:top w:val="single" w:color="BA7517" w:sz="3" w:space="3"/>
          <w:bottom w:val="single" w:color="BA7517" w:sz="3" w:space="3"/>
          <w:left w:val="single" w:color="BA7517" w:sz="10" w:space="8"/>
          <w:right w:val="single" w:color="BA7517" w:sz="3" w:space="3"/>
        </w:pBdr>
        <w:spacing w:after="110" w:before="110"/>
        <w:ind w:left="260"/>
      </w:pPr>
      <w:r>
        <w:rPr>
          <w:rFonts w:ascii="Arial" w:cs="Arial" w:eastAsia="Arial" w:hAnsi="Arial"/>
          <w:i/>
          <w:iCs/>
          <w:color w:val="7A4F00"/>
          <w:sz w:val="19"/>
          <w:szCs w:val="19"/>
        </w:rPr>
        <w:t xml:space="preserve">⚠  Reprezentant autorizat EU: daca producatorul nu are sediu in UE, trebuie desemnat un reprezentant autorizat cu sediu in UE inainte de plasarea pe piata. Acesta isi asuma responsabilitatea legala pentru produsul pe piata UE.</w:t>
      </w:r>
    </w:p>
    <w:p>
      <w:pPr>
        <w:spacing w:after="50" w:before="50"/>
      </w:pPr>
      <w:r>
        <w:t xml:space="preserve"/>
      </w:r>
    </w:p>
    <w:p>
      <w:r>
        <w:br w:type="page"/>
      </w:r>
    </w:p>
    <w:p>
      <w:pPr>
        <w:pStyle w:val="Heading1"/>
        <w:spacing w:after="160" w:before="380"/>
      </w:pPr>
      <w:r>
        <w:rPr>
          <w:rFonts w:ascii="Arial" w:cs="Arial" w:eastAsia="Arial" w:hAnsi="Arial"/>
          <w:b/>
          <w:bCs/>
          <w:color w:val="1F3A5F"/>
          <w:sz w:val="32"/>
          <w:szCs w:val="32"/>
        </w:rPr>
        <w:t xml:space="preserve">8. Rezumat Executiv si Recomandari Finale</w:t>
      </w:r>
    </w:p>
    <w:p>
      <w:pPr>
        <w:spacing w:after="50" w:before="50"/>
      </w:pPr>
      <w:r>
        <w:t xml:space="preserve"/>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226"/>
      </w:tblGrid>
      <w:tr>
        <w:trPr>
          <w:tblHeader/>
        </w:trPr>
        <w:tc>
          <w:tcPr>
            <w:tcW w:type="dxa" w:w="16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Prioritate</w:t>
            </w:r>
          </w:p>
        </w:tc>
        <w:tc>
          <w:tcPr>
            <w:tcW w:type="dxa" w:w="3400"/>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Actiune imediata</w:t>
            </w:r>
          </w:p>
        </w:tc>
        <w:tc>
          <w:tcPr>
            <w:tcW w:type="dxa" w:w="3226"/>
            <w:tcBorders>
              <w:top w:val="single" w:color="2C5F8A" w:sz="2"/>
              <w:left w:val="single" w:color="2C5F8A" w:sz="2"/>
              <w:bottom w:val="single" w:color="2C5F8A" w:sz="2"/>
              <w:right w:val="single" w:color="2C5F8A" w:sz="2"/>
            </w:tcBorders>
            <w:shd w:fill="1F3A5F" w:val="clear"/>
            <w:tcMar>
              <w:top w:type="dxa" w:w="90"/>
              <w:left w:type="dxa" w:w="140"/>
              <w:bottom w:type="dxa" w:w="90"/>
              <w:right w:type="dxa" w:w="140"/>
            </w:tcMar>
          </w:tcPr>
          <w:p>
            <w:r>
              <w:rPr>
                <w:rFonts w:ascii="Arial" w:cs="Arial" w:eastAsia="Arial" w:hAnsi="Arial"/>
                <w:b/>
                <w:bCs/>
                <w:color w:val="FFFFFF"/>
                <w:sz w:val="19"/>
                <w:szCs w:val="19"/>
              </w:rPr>
              <w:t xml:space="preserve">Motivatie</w:t>
            </w:r>
          </w:p>
        </w:tc>
      </w:tr>
      <w:tr>
        <w:tc>
          <w:tcPr>
            <w:tcW w:type="dxa" w:w="1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1 — URGENT</w:t>
            </w:r>
          </w:p>
        </w:tc>
        <w:tc>
          <w:tcPr>
            <w:tcW w:type="dxa" w:w="3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Testati eliberarea de nichel (EN 1811) pe aliajul de aur ales</w:t>
            </w:r>
          </w:p>
        </w:tc>
        <w:tc>
          <w:tcPr>
            <w:tcW w:type="dxa" w:w="32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Blocheaza legal vanzarea daca nu e conform EU 2023/2055</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2 — URGENT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Validati temperatura suprafata inelului pe deget real</w:t>
            </w:r>
          </w:p>
        </w:tc>
        <w:tc>
          <w:tcPr>
            <w:tcW w:type="dxa" w:w="3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Limita 43°C poate fi depasita cu LED-uri active — risc recall</w:t>
            </w:r>
          </w:p>
        </w:tc>
      </w:tr>
      <w:tr>
        <w:tc>
          <w:tcPr>
            <w:tcW w:type="dxa" w:w="1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3 — IMPORTANT</w:t>
            </w:r>
          </w:p>
        </w:tc>
        <w:tc>
          <w:tcPr>
            <w:tcW w:type="dxa" w:w="3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Contactati UPB si UTCN pentru colaborare pre-testare</w:t>
            </w:r>
          </w:p>
        </w:tc>
        <w:tc>
          <w:tcPr>
            <w:tcW w:type="dxa" w:w="32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Economisiti 4.000-10.000 EUR si reduceti riscul la certificare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4 — IMPORTANT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Tuning VNA antena per marime de inel</w:t>
            </w:r>
          </w:p>
        </w:tc>
        <w:tc>
          <w:tcPr>
            <w:tcW w:type="dxa" w:w="3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Fiecare marime este un mediu RF diferit — RED esueaza fara tuning</w:t>
            </w:r>
          </w:p>
        </w:tc>
      </w:tr>
      <w:tr>
        <w:tc>
          <w:tcPr>
            <w:tcW w:type="dxa" w:w="1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5 — PLANIFICAT</w:t>
            </w:r>
          </w:p>
        </w:tc>
        <w:tc>
          <w:tcPr>
            <w:tcW w:type="dxa" w:w="3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Bugetati 13.000–28.000 EUR si 6–8 luni pentru certificare completa</w:t>
            </w:r>
          </w:p>
        </w:tc>
        <w:tc>
          <w:tcPr>
            <w:tcW w:type="dxa" w:w="3226"/>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444441"/>
                <w:sz w:val="19"/>
                <w:szCs w:val="19"/>
              </w:rPr>
              <w:t xml:space="preserve">Estimare realista pentru planificarea financiara</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6 — INTERN</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Incepeti dosarul tehnic CE de la primul prototip</w:t>
            </w:r>
          </w:p>
        </w:tc>
        <w:tc>
          <w:tcPr>
            <w:tcW w:type="dxa" w:w="3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44441"/>
                <w:sz w:val="19"/>
                <w:szCs w:val="19"/>
              </w:rPr>
              <w:t xml:space="preserve">Documentatia retroactiva este dificila si incompleta</w:t>
            </w:r>
          </w:p>
        </w:tc>
      </w:tr>
    </w:tbl>
    <w:p>
      <w:pPr>
        <w:spacing w:after="50" w:before="50"/>
      </w:pPr>
      <w:r>
        <w:t xml:space="preserve"/>
      </w:r>
    </w:p>
    <w:p>
      <w:pPr>
        <w:pBdr>
          <w:left w:val="single" w:color="0F6E56" w:sz="8" w:space="8"/>
        </w:pBdr>
        <w:spacing w:after="90" w:before="90"/>
        <w:ind w:left="260"/>
      </w:pPr>
      <w:r>
        <w:rPr>
          <w:rFonts w:ascii="Arial" w:cs="Arial" w:eastAsia="Arial" w:hAnsi="Arial"/>
          <w:i/>
          <w:iCs/>
          <w:color w:val="0A4A3A"/>
          <w:sz w:val="19"/>
          <w:szCs w:val="19"/>
        </w:rPr>
        <w:t xml:space="preserve">Recomandare finala: stabiliti un parteneriat cu UPB sau UTCN de la inceputul proiectului. Dincolo de reducerea costurilor de testare, universitatile pot oferi consultanta tehnica, acces la echipamente de masura (VNA, anechoic chamber), si pot coautora publicatii tehnice care cresc credibilitatea produsului pe piata.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3" w:space="2"/>
      </w:pBdr>
      <w:tabs>
        <w:tab w:val="right" w:pos="9026"/>
      </w:tabs>
    </w:pPr>
    <w:r>
      <w:rPr>
        <w:rFonts w:ascii="Arial" w:cs="Arial" w:eastAsia="Arial" w:hAnsi="Arial"/>
        <w:color w:val="888880"/>
        <w:sz w:val="16"/>
        <w:szCs w:val="16"/>
      </w:rPr>
      <w:t xml:space="preserve">Pagina </w:t>
    </w:r>
    <w:fldSimple w:instr="[object Object]"/>
    <w:r>
      <w:rPr>
        <w:rFonts w:ascii="Arial" w:cs="Arial" w:eastAsia="Arial" w:hAnsi="Arial"/>
        <w:color w:val="888880"/>
        <w:sz w:val="16"/>
        <w:szCs w:val="16"/>
      </w:rPr>
      <w:t xml:space="preserve"> din </w:t>
    </w:r>
    <w:fldSimple w:instr="[object Object]"/>
    <w:r>
      <w:rPr>
        <w:rFonts w:ascii="Arial" w:cs="Arial" w:eastAsia="Arial" w:hAnsi="Arial"/>
        <w:color w:val="888880"/>
        <w:sz w:val="16"/>
        <w:szCs w:val="16"/>
      </w:rPr>
      <w:t xml:space="preserve">	© 2025 — Proiect Inel Smart Bijuterie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3" w:space="2"/>
      </w:pBdr>
    </w:pPr>
    <w:r>
      <w:rPr>
        <w:rFonts w:ascii="Arial" w:cs="Arial" w:eastAsia="Arial" w:hAnsi="Arial"/>
        <w:color w:val="2C5F8A"/>
        <w:sz w:val="16"/>
        <w:szCs w:val="16"/>
      </w:rPr>
      <w:t xml:space="preserve">Raport Certificare CE — Inel Smart Bijuterie V1</w:t>
    </w:r>
    <w:r>
      <w:rPr>
        <w:rFonts w:ascii="Arial" w:cs="Arial" w:eastAsia="Arial" w:hAnsi="Arial"/>
        <w:color w:val="888880"/>
        <w:sz w:val="16"/>
        <w:szCs w:val="16"/>
      </w:rPr>
      <w:t xml:space="preserve">   |   Confidential — Draft V1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8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C5F8A"/>
      <w:sz w:val="26"/>
      <w:szCs w:val="26"/>
    </w:rPr>
  </w:style>
  <w:style w:type="paragraph" w:styleId="Heading3">
    <w:name w:val="Heading 3"/>
    <w:basedOn w:val="Normal"/>
    <w:next w:val="Normal"/>
    <w:qFormat/>
    <w:pPr>
      <w:spacing w:after="90" w:before="200"/>
      <w:outlineLvl w:val="2"/>
    </w:pPr>
    <w:rPr>
      <w:rFonts w:ascii="Arial" w:cs="Arial" w:eastAsia="Arial" w:hAnsi="Arial"/>
      <w:b/>
      <w:bCs/>
      <w:color w:val="3A7A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2026-04-22T09:11:08.199Z</dcterms:created>
  <dcterms:modified xsi:type="dcterms:W3CDTF">2026-04-22T09:11:08.200Z</dcterms:modified>
</cp:coreProperties>
</file>

<file path=docProps/custom.xml><?xml version="1.0" encoding="utf-8"?>
<Properties xmlns="http://schemas.openxmlformats.org/officeDocument/2006/custom-properties" xmlns:vt="http://schemas.openxmlformats.org/officeDocument/2006/docPropsVTypes"/>
</file>