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7A68"/>
          <w:spacing w:val="60"/>
          <w:sz w:val="22"/>
          <w:szCs w:val="22"/>
        </w:rPr>
        <w:t xml:space="preserve">PROJECT REPORT</w:t>
      </w:r>
    </w:p>
    <w:p>
      <w:pPr>
        <w:spacing w:after="0" w:before="240"/>
        <w:jc w:val="center"/>
      </w:pPr>
      <w:r>
        <w:rPr>
          <w:b/>
          <w:bCs/>
          <w:color w:val="1E2830"/>
          <w:sz w:val="48"/>
          <w:szCs w:val="48"/>
        </w:rPr>
        <w:t xml:space="preserve">Virtual Water Analysis Laboratory</w:t>
      </w:r>
    </w:p>
    <w:p>
      <w:pPr>
        <w:spacing w:after="240" w:before="60"/>
        <w:jc w:val="center"/>
      </w:pPr>
      <w:r>
        <w:rPr>
          <w:color w:val="4A5560"/>
          <w:sz w:val="26"/>
          <w:szCs w:val="26"/>
        </w:rPr>
        <w:t xml:space="preserve">An Interactive 3D Chemistry Simulator for Engineering Practicals</w:t>
      </w:r>
    </w:p>
    <w:p>
      <w:pPr>
        <w:pBdr>
          <w:bottom w:val="single" w:color="1F7A68" w:sz="6" w:space="1"/>
        </w:pBdr>
        <w:spacing w:after="120" w:before="120"/>
      </w:pPr>
      <w:r>
        <w:t xml:space="preserve"/>
      </w:r>
    </w:p>
    <w:p>
      <w:pPr>
        <w:spacing w:after="0" w:before="200"/>
        <w:jc w:val="center"/>
      </w:pPr>
      <w:r>
        <w:rPr>
          <w:i/>
          <w:iCs/>
          <w:color w:val="4A5560"/>
          <w:sz w:val="21"/>
          <w:szCs w:val="21"/>
        </w:rPr>
        <w:t xml:space="preserve">Built with HTML5, CSS3, JavaScript (ES Modules), Three.js and WebGL</w:t>
      </w:r>
    </w:p>
    <w:p>
      <w:pPr>
        <w:spacing w:after="0" w:before="1400"/>
        <w:jc w:val="center"/>
      </w:pPr>
      <w:r>
        <w:rPr>
          <w:color w:val="4A5560"/>
          <w:sz w:val="20"/>
          <w:szCs w:val="20"/>
        </w:rPr>
        <w:t xml:space="preserve">Submitted by</w:t>
      </w:r>
    </w:p>
    <w:p>
      <w:pPr>
        <w:spacing w:after="0" w:before="120"/>
        <w:jc w:val="center"/>
      </w:pPr>
      <w:r>
        <w:rPr>
          <w:sz w:val="22"/>
          <w:szCs w:val="22"/>
        </w:rPr>
        <w:t xml:space="preserve">________________________________</w:t>
      </w:r>
    </w:p>
    <w:p>
      <w:pPr>
        <w:spacing w:after="0" w:before="60"/>
        <w:jc w:val="center"/>
      </w:pPr>
      <w:r>
        <w:rPr>
          <w:color w:val="4A5560"/>
          <w:sz w:val="18"/>
          <w:szCs w:val="18"/>
        </w:rPr>
        <w:t xml:space="preserve">Name · Enrolment No. · Branch · Semester</w:t>
      </w:r>
    </w:p>
    <w:p>
      <w:pPr>
        <w:spacing w:after="0" w:before="600"/>
        <w:jc w:val="center"/>
      </w:pPr>
      <w:r>
        <w:rPr>
          <w:color w:val="4A5560"/>
          <w:sz w:val="20"/>
          <w:szCs w:val="20"/>
        </w:rPr>
        <w:t xml:space="preserve">Under the guidance of</w:t>
      </w:r>
    </w:p>
    <w:p>
      <w:pPr>
        <w:spacing w:after="0" w:before="120"/>
        <w:jc w:val="center"/>
      </w:pPr>
      <w:r>
        <w:rPr>
          <w:sz w:val="22"/>
          <w:szCs w:val="22"/>
        </w:rPr>
        <w:t xml:space="preserve">________________________________</w:t>
      </w:r>
    </w:p>
    <w:p>
      <w:pPr>
        <w:spacing w:after="0" w:before="60"/>
        <w:jc w:val="center"/>
      </w:pPr>
      <w:r>
        <w:rPr>
          <w:color w:val="4A5560"/>
          <w:sz w:val="18"/>
          <w:szCs w:val="18"/>
        </w:rPr>
        <w:t xml:space="preserve">Department of Applied / Engineering Chemistry</w:t>
      </w:r>
    </w:p>
    <w:p>
      <w:pPr>
        <w:spacing w:after="0" w:before="900"/>
        <w:jc w:val="center"/>
      </w:pPr>
      <w:r>
        <w:rPr>
          <w:color w:val="4A5560"/>
          <w:sz w:val="20"/>
          <w:szCs w:val="20"/>
        </w:rPr>
        <w:t xml:space="preserve">Session 2026</w:t>
      </w:r>
    </w:p>
    <w:p>
      <w:r>
        <w:br w:type="page"/>
      </w:r>
    </w:p>
    <w:p>
      <w:pPr>
        <w:sectPr>
          <w:pgSz w:w="11906" w:h="16838" w:orient="portrait"/>
          <w:pgMar w:top="1440" w:right="1440" w:bottom="1440" w:left="1440" w:header="708" w:footer="708" w:gutter="0"/>
          <w:pgNumType/>
          <w:docGrid w:linePitch="360"/>
        </w:sectPr>
      </w:pPr>
    </w:p>
    <w:p>
      <w:pPr>
        <w:pStyle w:val="Heading1"/>
        <w:spacing w:after="160" w:before="360"/>
      </w:pPr>
      <w:r>
        <w:rPr>
          <w:b/>
          <w:bCs/>
          <w:color w:val="1F7A68"/>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b/>
          <w:bCs/>
          <w:color w:val="1F7A68"/>
          <w:sz w:val="30"/>
          <w:szCs w:val="30"/>
        </w:rPr>
        <w:t xml:space="preserve">1. Abstract</w:t>
      </w:r>
    </w:p>
    <w:p>
      <w:pPr>
        <w:spacing w:after="120" w:line="300"/>
      </w:pPr>
      <w:r>
        <w:rPr>
          <w:sz w:val="22"/>
          <w:szCs w:val="22"/>
        </w:rPr>
        <w:t xml:space="preserve">This project is a browser-based three-dimensional virtual laboratory that reproduces the water analysis practicals of a first-year engineering chemistry course. Rather than presenting a static animation or a slideshow of pre-recorded steps, it models the bench itself: a burette clamped over a conical flask, reagent bottles, a pipette, a magnetic stirrer and four digital instruments, all of which respond to being clicked.</w:t>
      </w:r>
    </w:p>
    <w:p>
      <w:pPr>
        <w:spacing w:after="120" w:line="300"/>
      </w:pPr>
      <w:r>
        <w:rPr>
          <w:sz w:val="22"/>
          <w:szCs w:val="22"/>
        </w:rPr>
        <w:t xml:space="preserve">Ten experiments are supported, from pH measurement and EDTA hardness titration to mixed alkalinity and the argentometric determination of chloride. In every one of them the reported result is derived from the volume of titrant the student actually delivered through the stopcock — the software holds the true composition of each water sample and the stoichiometry needed to reach the end point, but never a stored answer. A student who over-shoots the end point gets a high result, exactly as in a real laboratory.</w:t>
      </w:r>
    </w:p>
    <w:p>
      <w:pPr>
        <w:spacing w:after="120" w:line="300"/>
      </w:pPr>
      <w:r>
        <w:rPr>
          <w:sz w:val="22"/>
          <w:szCs w:val="22"/>
        </w:rPr>
        <w:t xml:space="preserve">The application is written in plain HTML, CSS and JavaScript using the Three.js WebGL library, and is split across fifteen ES modules so that rendering, chemistry, state management and user interface remain independent of one another. It requires no installation, no build step and no server-side component.</w:t>
      </w:r>
    </w:p>
    <w:p>
      <w:pPr>
        <w:pStyle w:val="Heading1"/>
        <w:spacing w:after="160" w:before="360"/>
      </w:pPr>
      <w:r>
        <w:rPr>
          <w:b/>
          <w:bCs/>
          <w:color w:val="1F7A68"/>
          <w:sz w:val="30"/>
          <w:szCs w:val="30"/>
        </w:rPr>
        <w:t xml:space="preserve">2. Introduction</w:t>
      </w:r>
    </w:p>
    <w:p>
      <w:pPr>
        <w:pStyle w:val="Heading2"/>
        <w:spacing w:after="120" w:before="260"/>
      </w:pPr>
      <w:r>
        <w:rPr>
          <w:b/>
          <w:bCs/>
          <w:color w:val="1E2830"/>
          <w:sz w:val="25"/>
          <w:szCs w:val="25"/>
        </w:rPr>
        <w:t xml:space="preserve">2.1 Motivation</w:t>
      </w:r>
    </w:p>
    <w:p>
      <w:pPr>
        <w:spacing w:after="120" w:line="300"/>
      </w:pPr>
      <w:r>
        <w:rPr>
          <w:sz w:val="22"/>
          <w:szCs w:val="22"/>
        </w:rPr>
        <w:t xml:space="preserve">Water analysis is one of the few practical subjects in which the chemistry, the apparatus handling and the arithmetic are all equally important, and all three are easy to get wrong. Laboratory time is limited, glassware is expensive, silver nitrate and EDTA are not, and a student who ruins a titration usually has no chance to repeat it before the viva.</w:t>
      </w:r>
    </w:p>
    <w:p>
      <w:pPr>
        <w:spacing w:after="120" w:line="300"/>
      </w:pPr>
      <w:r>
        <w:rPr>
          <w:sz w:val="22"/>
          <w:szCs w:val="22"/>
        </w:rPr>
        <w:t xml:space="preserve">A virtual laboratory does not replace the real bench, but it removes the cost of a mistake. A student can run the hardness titration ten times before the practical, learn what the wine-red to steel-blue transition actually looks like, discover that adding the indicator before the buffer gives a poor end point, and arrive at the real laboratory already knowing the sequence.</w:t>
      </w:r>
    </w:p>
    <w:p>
      <w:pPr>
        <w:pStyle w:val="Heading2"/>
        <w:spacing w:after="120" w:before="260"/>
      </w:pPr>
      <w:r>
        <w:rPr>
          <w:b/>
          <w:bCs/>
          <w:color w:val="1E2830"/>
          <w:sz w:val="25"/>
          <w:szCs w:val="25"/>
        </w:rPr>
        <w:t xml:space="preserve">2.2 Objectives</w:t>
      </w:r>
    </w:p>
    <w:p>
      <w:pPr>
        <w:pStyle w:val="ListParagraph"/>
        <w:numPr>
          <w:ilvl w:val="0"/>
          <w:numId w:val="2"/>
        </w:numPr>
        <w:spacing w:after="80" w:line="300"/>
      </w:pPr>
      <w:r>
        <w:rPr>
          <w:sz w:val="22"/>
          <w:szCs w:val="22"/>
        </w:rPr>
        <w:t xml:space="preserve">To construct a realistic three-dimensional laboratory environment viewed from a natural standing position, with correct spatial relationships between apparatus — in particular a burette mounted vertically on a stand with the titration flask directly beneath its delivery tip.</w:t>
      </w:r>
    </w:p>
    <w:p>
      <w:pPr>
        <w:pStyle w:val="ListParagraph"/>
        <w:numPr>
          <w:ilvl w:val="0"/>
          <w:numId w:val="2"/>
        </w:numPr>
        <w:spacing w:after="80" w:line="300"/>
      </w:pPr>
      <w:r>
        <w:rPr>
          <w:sz w:val="22"/>
          <w:szCs w:val="22"/>
        </w:rPr>
        <w:t xml:space="preserve">To make every piece of apparatus genuinely interactive, so that progress comes from operating the equipment rather than from pressing a "Next" button.</w:t>
      </w:r>
    </w:p>
    <w:p>
      <w:pPr>
        <w:pStyle w:val="ListParagraph"/>
        <w:numPr>
          <w:ilvl w:val="0"/>
          <w:numId w:val="2"/>
        </w:numPr>
        <w:spacing w:after="80" w:line="300"/>
      </w:pPr>
      <w:r>
        <w:rPr>
          <w:sz w:val="22"/>
          <w:szCs w:val="22"/>
        </w:rPr>
        <w:t xml:space="preserve">To animate the physical processes — pipette filling, burette delivery, falling drops, swirling, gradual indicator colour change — at a believable speed, so that a titration takes the time a titration takes.</w:t>
      </w:r>
    </w:p>
    <w:p>
      <w:pPr>
        <w:pStyle w:val="ListParagraph"/>
        <w:numPr>
          <w:ilvl w:val="0"/>
          <w:numId w:val="2"/>
        </w:numPr>
        <w:spacing w:after="80" w:line="300"/>
      </w:pPr>
      <w:r>
        <w:rPr>
          <w:sz w:val="22"/>
          <w:szCs w:val="22"/>
        </w:rPr>
        <w:t xml:space="preserve">To compute all results from a separate chemistry engine using the standard textbook formulae, with the substitution shown step by step.</w:t>
      </w:r>
    </w:p>
    <w:p>
      <w:pPr>
        <w:pStyle w:val="ListParagraph"/>
        <w:numPr>
          <w:ilvl w:val="0"/>
          <w:numId w:val="2"/>
        </w:numPr>
        <w:spacing w:after="80" w:line="300"/>
      </w:pPr>
      <w:r>
        <w:rPr>
          <w:sz w:val="22"/>
          <w:szCs w:val="22"/>
        </w:rPr>
        <w:t xml:space="preserve">To enforce correct laboratory procedure through an explicit experiment state machine that rejects out-of-order actions with a specific, instructive message.</w:t>
      </w:r>
    </w:p>
    <w:p>
      <w:pPr>
        <w:pStyle w:val="ListParagraph"/>
        <w:numPr>
          <w:ilvl w:val="0"/>
          <w:numId w:val="2"/>
        </w:numPr>
        <w:spacing w:after="80" w:line="300"/>
      </w:pPr>
      <w:r>
        <w:rPr>
          <w:sz w:val="22"/>
          <w:szCs w:val="22"/>
        </w:rPr>
        <w:t xml:space="preserve">To keep the codebase modular, readable and configurable, so that it can be extended with further experiments by editing data rather than logic.</w:t>
      </w:r>
    </w:p>
    <w:p>
      <w:pPr>
        <w:pStyle w:val="Heading2"/>
        <w:spacing w:after="120" w:before="260"/>
      </w:pPr>
      <w:r>
        <w:rPr>
          <w:b/>
          <w:bCs/>
          <w:color w:val="1E2830"/>
          <w:sz w:val="25"/>
          <w:szCs w:val="25"/>
        </w:rPr>
        <w:t xml:space="preserve">2.3 Scope</w:t>
      </w:r>
    </w:p>
    <w:p>
      <w:pPr>
        <w:spacing w:after="120" w:line="300"/>
      </w:pPr>
      <w:r>
        <w:rPr>
          <w:sz w:val="22"/>
          <w:szCs w:val="22"/>
        </w:rPr>
        <w:t xml:space="preserve">The simulator covers the determination of pH, total hardness, acidity and alkalinity (including the mixed alkalinity of hydroxide, carbonate and bicarbonate), chloride, electrical conductivity, total dissolved solids and turbidity, together with the preparation of standard hard water. It deliberately does not attempt molecular-level simulation, spectroscopy, or instrumental methods requiring apparatus a first-year laboratory does not have.</w:t>
      </w:r>
    </w:p>
    <w:p>
      <w:r>
        <w:br w:type="page"/>
      </w:r>
    </w:p>
    <w:p>
      <w:pPr>
        <w:pStyle w:val="Heading1"/>
        <w:spacing w:after="160" w:before="360"/>
      </w:pPr>
      <w:r>
        <w:rPr>
          <w:b/>
          <w:bCs/>
          <w:color w:val="1F7A68"/>
          <w:sz w:val="30"/>
          <w:szCs w:val="30"/>
        </w:rPr>
        <w:t xml:space="preserve">3. System Requirements and Technology</w:t>
      </w:r>
    </w:p>
    <w:p>
      <w:pPr>
        <w:pStyle w:val="Heading2"/>
        <w:spacing w:after="120" w:before="260"/>
      </w:pPr>
      <w:r>
        <w:rPr>
          <w:b/>
          <w:bCs/>
          <w:color w:val="1E2830"/>
          <w:sz w:val="25"/>
          <w:szCs w:val="25"/>
        </w:rPr>
        <w:t xml:space="preserve">3.1 Technology stack</w:t>
      </w:r>
    </w:p>
    <w:tbl>
      <w:tblPr>
        <w:tblW w:type="dxa" w:w="9360"/>
        <w:tblBorders>
          <w:top w:val="single" w:color="C3CDCB" w:sz="4"/>
          <w:left w:val="single" w:color="C3CDCB" w:sz="4"/>
          <w:bottom w:val="single" w:color="C3CDCB" w:sz="4"/>
          <w:right w:val="single" w:color="C3CDCB" w:sz="4"/>
          <w:insideH w:val="single" w:color="D8E0DE" w:sz="2"/>
          <w:insideV w:val="single" w:color="D8E0DE" w:sz="2"/>
        </w:tblBorders>
      </w:tblPr>
      <w:tblGrid>
        <w:gridCol w:w="1700"/>
        <w:gridCol w:w="3300"/>
        <w:gridCol w:w="4360"/>
      </w:tblGrid>
      <w:tr>
        <w:trPr>
          <w:tblHeader/>
        </w:trPr>
        <w:tc>
          <w:tcPr>
            <w:tcW w:type="dxa" w:w="1700"/>
            <w:shd w:fill="E4EEEB" w:color="auto" w:val="clear"/>
            <w:tcMar>
              <w:top w:type="dxa" w:w="90"/>
              <w:left w:type="dxa" w:w="120"/>
              <w:bottom w:type="dxa" w:w="90"/>
              <w:right w:type="dxa" w:w="120"/>
            </w:tcMar>
          </w:tcPr>
          <w:p>
            <w:pPr>
              <w:spacing w:after="0" w:line="260"/>
            </w:pPr>
            <w:r>
              <w:rPr>
                <w:b/>
                <w:bCs/>
                <w:color w:val="1E2830"/>
                <w:sz w:val="20"/>
                <w:szCs w:val="20"/>
              </w:rPr>
              <w:t xml:space="preserve">Layer</w:t>
            </w:r>
          </w:p>
        </w:tc>
        <w:tc>
          <w:tcPr>
            <w:tcW w:type="dxa" w:w="3300"/>
            <w:shd w:fill="E4EEEB" w:color="auto" w:val="clear"/>
            <w:tcMar>
              <w:top w:type="dxa" w:w="90"/>
              <w:left w:type="dxa" w:w="120"/>
              <w:bottom w:type="dxa" w:w="90"/>
              <w:right w:type="dxa" w:w="120"/>
            </w:tcMar>
          </w:tcPr>
          <w:p>
            <w:pPr>
              <w:spacing w:after="0" w:line="260"/>
            </w:pPr>
            <w:r>
              <w:rPr>
                <w:b/>
                <w:bCs/>
                <w:color w:val="1E2830"/>
                <w:sz w:val="20"/>
                <w:szCs w:val="20"/>
              </w:rPr>
              <w:t xml:space="preserve">Technology</w:t>
            </w:r>
          </w:p>
        </w:tc>
        <w:tc>
          <w:tcPr>
            <w:tcW w:type="dxa" w:w="4360"/>
            <w:shd w:fill="E4EEEB" w:color="auto" w:val="clear"/>
            <w:tcMar>
              <w:top w:type="dxa" w:w="90"/>
              <w:left w:type="dxa" w:w="120"/>
              <w:bottom w:type="dxa" w:w="90"/>
              <w:right w:type="dxa" w:w="120"/>
            </w:tcMar>
          </w:tcPr>
          <w:p>
            <w:pPr>
              <w:spacing w:after="0" w:line="260"/>
            </w:pPr>
            <w:r>
              <w:rPr>
                <w:b/>
                <w:bCs/>
                <w:color w:val="1E2830"/>
                <w:sz w:val="20"/>
                <w:szCs w:val="20"/>
              </w:rPr>
              <w:t xml:space="preserve">Role in the project</w:t>
            </w:r>
          </w:p>
        </w:tc>
      </w:tr>
      <w:tr>
        <w:tc>
          <w:tcPr>
            <w:tcW w:type="dxa" w:w="1700"/>
            <w:tcMar>
              <w:top w:type="dxa" w:w="90"/>
              <w:left w:type="dxa" w:w="120"/>
              <w:bottom w:type="dxa" w:w="90"/>
              <w:right w:type="dxa" w:w="120"/>
            </w:tcMar>
          </w:tcPr>
          <w:p>
            <w:pPr>
              <w:spacing w:after="0" w:line="260"/>
            </w:pPr>
            <w:r>
              <w:rPr>
                <w:color w:val="2B3640"/>
                <w:sz w:val="20"/>
                <w:szCs w:val="20"/>
              </w:rPr>
              <w:t xml:space="preserve">Structure</w:t>
            </w:r>
          </w:p>
        </w:tc>
        <w:tc>
          <w:tcPr>
            <w:tcW w:type="dxa" w:w="3300"/>
            <w:tcMar>
              <w:top w:type="dxa" w:w="90"/>
              <w:left w:type="dxa" w:w="120"/>
              <w:bottom w:type="dxa" w:w="90"/>
              <w:right w:type="dxa" w:w="120"/>
            </w:tcMar>
          </w:tcPr>
          <w:p>
            <w:pPr>
              <w:spacing w:after="0" w:line="260"/>
            </w:pPr>
            <w:r>
              <w:rPr>
                <w:color w:val="2B3640"/>
                <w:sz w:val="20"/>
                <w:szCs w:val="20"/>
              </w:rPr>
              <w:t xml:space="preserve">HTML5</w:t>
            </w:r>
          </w:p>
        </w:tc>
        <w:tc>
          <w:tcPr>
            <w:tcW w:type="dxa" w:w="4360"/>
            <w:tcMar>
              <w:top w:type="dxa" w:w="90"/>
              <w:left w:type="dxa" w:w="120"/>
              <w:bottom w:type="dxa" w:w="90"/>
              <w:right w:type="dxa" w:w="120"/>
            </w:tcMar>
          </w:tcPr>
          <w:p>
            <w:pPr>
              <w:spacing w:after="0" w:line="260"/>
            </w:pPr>
            <w:r>
              <w:rPr>
                <w:color w:val="2B3640"/>
                <w:sz w:val="20"/>
                <w:szCs w:val="20"/>
              </w:rPr>
              <w:t xml:space="preserve">Panel layout, import map, canvas host</w:t>
            </w:r>
          </w:p>
        </w:tc>
      </w:tr>
      <w:tr>
        <w:tc>
          <w:tcPr>
            <w:tcW w:type="dxa" w:w="1700"/>
            <w:shd w:fill="F6F8F8" w:color="auto" w:val="clear"/>
            <w:tcMar>
              <w:top w:type="dxa" w:w="90"/>
              <w:left w:type="dxa" w:w="120"/>
              <w:bottom w:type="dxa" w:w="90"/>
              <w:right w:type="dxa" w:w="120"/>
            </w:tcMar>
          </w:tcPr>
          <w:p>
            <w:pPr>
              <w:spacing w:after="0" w:line="260"/>
            </w:pPr>
            <w:r>
              <w:rPr>
                <w:color w:val="2B3640"/>
                <w:sz w:val="20"/>
                <w:szCs w:val="20"/>
              </w:rPr>
              <w:t xml:space="preserve">Presentation</w:t>
            </w:r>
          </w:p>
        </w:tc>
        <w:tc>
          <w:tcPr>
            <w:tcW w:type="dxa" w:w="3300"/>
            <w:shd w:fill="F6F8F8" w:color="auto" w:val="clear"/>
            <w:tcMar>
              <w:top w:type="dxa" w:w="90"/>
              <w:left w:type="dxa" w:w="120"/>
              <w:bottom w:type="dxa" w:w="90"/>
              <w:right w:type="dxa" w:w="120"/>
            </w:tcMar>
          </w:tcPr>
          <w:p>
            <w:pPr>
              <w:spacing w:after="0" w:line="260"/>
            </w:pPr>
            <w:r>
              <w:rPr>
                <w:color w:val="2B3640"/>
                <w:sz w:val="20"/>
                <w:szCs w:val="20"/>
              </w:rPr>
              <w:t xml:space="preserve">CSS3 (Grid, custom properties)</w:t>
            </w:r>
          </w:p>
        </w:tc>
        <w:tc>
          <w:tcPr>
            <w:tcW w:type="dxa" w:w="4360"/>
            <w:shd w:fill="F6F8F8" w:color="auto" w:val="clear"/>
            <w:tcMar>
              <w:top w:type="dxa" w:w="90"/>
              <w:left w:type="dxa" w:w="120"/>
              <w:bottom w:type="dxa" w:w="90"/>
              <w:right w:type="dxa" w:w="120"/>
            </w:tcMar>
          </w:tcPr>
          <w:p>
            <w:pPr>
              <w:spacing w:after="0" w:line="260"/>
            </w:pPr>
            <w:r>
              <w:rPr>
                <w:color w:val="2B3640"/>
                <w:sz w:val="20"/>
                <w:szCs w:val="20"/>
              </w:rPr>
              <w:t xml:space="preserve">Four-region responsive layout, light laboratory theme</w:t>
            </w:r>
          </w:p>
        </w:tc>
      </w:tr>
      <w:tr>
        <w:tc>
          <w:tcPr>
            <w:tcW w:type="dxa" w:w="1700"/>
            <w:tcMar>
              <w:top w:type="dxa" w:w="90"/>
              <w:left w:type="dxa" w:w="120"/>
              <w:bottom w:type="dxa" w:w="90"/>
              <w:right w:type="dxa" w:w="120"/>
            </w:tcMar>
          </w:tcPr>
          <w:p>
            <w:pPr>
              <w:spacing w:after="0" w:line="260"/>
            </w:pPr>
            <w:r>
              <w:rPr>
                <w:color w:val="2B3640"/>
                <w:sz w:val="20"/>
                <w:szCs w:val="20"/>
              </w:rPr>
              <w:t xml:space="preserve">Logic</w:t>
            </w:r>
          </w:p>
        </w:tc>
        <w:tc>
          <w:tcPr>
            <w:tcW w:type="dxa" w:w="3300"/>
            <w:tcMar>
              <w:top w:type="dxa" w:w="90"/>
              <w:left w:type="dxa" w:w="120"/>
              <w:bottom w:type="dxa" w:w="90"/>
              <w:right w:type="dxa" w:w="120"/>
            </w:tcMar>
          </w:tcPr>
          <w:p>
            <w:pPr>
              <w:spacing w:after="0" w:line="260"/>
            </w:pPr>
            <w:r>
              <w:rPr>
                <w:color w:val="2B3640"/>
                <w:sz w:val="20"/>
                <w:szCs w:val="20"/>
              </w:rPr>
              <w:t xml:space="preserve">JavaScript ES2020 modules</w:t>
            </w:r>
          </w:p>
        </w:tc>
        <w:tc>
          <w:tcPr>
            <w:tcW w:type="dxa" w:w="4360"/>
            <w:tcMar>
              <w:top w:type="dxa" w:w="90"/>
              <w:left w:type="dxa" w:w="120"/>
              <w:bottom w:type="dxa" w:w="90"/>
              <w:right w:type="dxa" w:w="120"/>
            </w:tcMar>
          </w:tcPr>
          <w:p>
            <w:pPr>
              <w:spacing w:after="0" w:line="260"/>
            </w:pPr>
            <w:r>
              <w:rPr>
                <w:color w:val="2B3640"/>
                <w:sz w:val="20"/>
                <w:szCs w:val="20"/>
              </w:rPr>
              <w:t xml:space="preserve">All application behaviour; no framework</w:t>
            </w:r>
          </w:p>
        </w:tc>
      </w:tr>
      <w:tr>
        <w:tc>
          <w:tcPr>
            <w:tcW w:type="dxa" w:w="1700"/>
            <w:shd w:fill="F6F8F8" w:color="auto" w:val="clear"/>
            <w:tcMar>
              <w:top w:type="dxa" w:w="90"/>
              <w:left w:type="dxa" w:w="120"/>
              <w:bottom w:type="dxa" w:w="90"/>
              <w:right w:type="dxa" w:w="120"/>
            </w:tcMar>
          </w:tcPr>
          <w:p>
            <w:pPr>
              <w:spacing w:after="0" w:line="260"/>
            </w:pPr>
            <w:r>
              <w:rPr>
                <w:color w:val="2B3640"/>
                <w:sz w:val="20"/>
                <w:szCs w:val="20"/>
              </w:rPr>
              <w:t xml:space="preserve">3D rendering</w:t>
            </w:r>
          </w:p>
        </w:tc>
        <w:tc>
          <w:tcPr>
            <w:tcW w:type="dxa" w:w="3300"/>
            <w:shd w:fill="F6F8F8" w:color="auto" w:val="clear"/>
            <w:tcMar>
              <w:top w:type="dxa" w:w="90"/>
              <w:left w:type="dxa" w:w="120"/>
              <w:bottom w:type="dxa" w:w="90"/>
              <w:right w:type="dxa" w:w="120"/>
            </w:tcMar>
          </w:tcPr>
          <w:p>
            <w:pPr>
              <w:spacing w:after="0" w:line="260"/>
            </w:pPr>
            <w:r>
              <w:rPr>
                <w:color w:val="2B3640"/>
                <w:sz w:val="20"/>
                <w:szCs w:val="20"/>
              </w:rPr>
              <w:t xml:space="preserve">Three.js r160</w:t>
            </w:r>
          </w:p>
        </w:tc>
        <w:tc>
          <w:tcPr>
            <w:tcW w:type="dxa" w:w="4360"/>
            <w:shd w:fill="F6F8F8" w:color="auto" w:val="clear"/>
            <w:tcMar>
              <w:top w:type="dxa" w:w="90"/>
              <w:left w:type="dxa" w:w="120"/>
              <w:bottom w:type="dxa" w:w="90"/>
              <w:right w:type="dxa" w:w="120"/>
            </w:tcMar>
          </w:tcPr>
          <w:p>
            <w:pPr>
              <w:spacing w:after="0" w:line="260"/>
            </w:pPr>
            <w:r>
              <w:rPr>
                <w:color w:val="2B3640"/>
                <w:sz w:val="20"/>
                <w:szCs w:val="20"/>
              </w:rPr>
              <w:t xml:space="preserve">Scene graph, materials, shadows, WebGL abstraction</w:t>
            </w:r>
          </w:p>
        </w:tc>
      </w:tr>
      <w:tr>
        <w:tc>
          <w:tcPr>
            <w:tcW w:type="dxa" w:w="1700"/>
            <w:tcMar>
              <w:top w:type="dxa" w:w="90"/>
              <w:left w:type="dxa" w:w="120"/>
              <w:bottom w:type="dxa" w:w="90"/>
              <w:right w:type="dxa" w:w="120"/>
            </w:tcMar>
          </w:tcPr>
          <w:p>
            <w:pPr>
              <w:spacing w:after="0" w:line="260"/>
            </w:pPr>
            <w:r>
              <w:rPr>
                <w:color w:val="2B3640"/>
                <w:sz w:val="20"/>
                <w:szCs w:val="20"/>
              </w:rPr>
              <w:t xml:space="preserve">Navigation</w:t>
            </w:r>
          </w:p>
        </w:tc>
        <w:tc>
          <w:tcPr>
            <w:tcW w:type="dxa" w:w="3300"/>
            <w:tcMar>
              <w:top w:type="dxa" w:w="90"/>
              <w:left w:type="dxa" w:w="120"/>
              <w:bottom w:type="dxa" w:w="90"/>
              <w:right w:type="dxa" w:w="120"/>
            </w:tcMar>
          </w:tcPr>
          <w:p>
            <w:pPr>
              <w:spacing w:after="0" w:line="260"/>
            </w:pPr>
            <w:r>
              <w:rPr>
                <w:color w:val="2B3640"/>
                <w:sz w:val="20"/>
                <w:szCs w:val="20"/>
              </w:rPr>
              <w:t xml:space="preserve">OrbitControls</w:t>
            </w:r>
          </w:p>
        </w:tc>
        <w:tc>
          <w:tcPr>
            <w:tcW w:type="dxa" w:w="4360"/>
            <w:tcMar>
              <w:top w:type="dxa" w:w="90"/>
              <w:left w:type="dxa" w:w="120"/>
              <w:bottom w:type="dxa" w:w="90"/>
              <w:right w:type="dxa" w:w="120"/>
            </w:tcMar>
          </w:tcPr>
          <w:p>
            <w:pPr>
              <w:spacing w:after="0" w:line="260"/>
            </w:pPr>
            <w:r>
              <w:rPr>
                <w:color w:val="2B3640"/>
                <w:sz w:val="20"/>
                <w:szCs w:val="20"/>
              </w:rPr>
              <w:t xml:space="preserve">Constrained orbit, pan and zoom around the bench</w:t>
            </w:r>
          </w:p>
        </w:tc>
      </w:tr>
      <w:tr>
        <w:tc>
          <w:tcPr>
            <w:tcW w:type="dxa" w:w="1700"/>
            <w:shd w:fill="F6F8F8" w:color="auto" w:val="clear"/>
            <w:tcMar>
              <w:top w:type="dxa" w:w="90"/>
              <w:left w:type="dxa" w:w="120"/>
              <w:bottom w:type="dxa" w:w="90"/>
              <w:right w:type="dxa" w:w="120"/>
            </w:tcMar>
          </w:tcPr>
          <w:p>
            <w:pPr>
              <w:spacing w:after="0" w:line="260"/>
            </w:pPr>
            <w:r>
              <w:rPr>
                <w:color w:val="2B3640"/>
                <w:sz w:val="20"/>
                <w:szCs w:val="20"/>
              </w:rPr>
              <w:t xml:space="preserve">Graphics API</w:t>
            </w:r>
          </w:p>
        </w:tc>
        <w:tc>
          <w:tcPr>
            <w:tcW w:type="dxa" w:w="3300"/>
            <w:shd w:fill="F6F8F8" w:color="auto" w:val="clear"/>
            <w:tcMar>
              <w:top w:type="dxa" w:w="90"/>
              <w:left w:type="dxa" w:w="120"/>
              <w:bottom w:type="dxa" w:w="90"/>
              <w:right w:type="dxa" w:w="120"/>
            </w:tcMar>
          </w:tcPr>
          <w:p>
            <w:pPr>
              <w:spacing w:after="0" w:line="260"/>
            </w:pPr>
            <w:r>
              <w:rPr>
                <w:color w:val="2B3640"/>
                <w:sz w:val="20"/>
                <w:szCs w:val="20"/>
              </w:rPr>
              <w:t xml:space="preserve">WebGL 2</w:t>
            </w:r>
          </w:p>
        </w:tc>
        <w:tc>
          <w:tcPr>
            <w:tcW w:type="dxa" w:w="4360"/>
            <w:shd w:fill="F6F8F8" w:color="auto" w:val="clear"/>
            <w:tcMar>
              <w:top w:type="dxa" w:w="90"/>
              <w:left w:type="dxa" w:w="120"/>
              <w:bottom w:type="dxa" w:w="90"/>
              <w:right w:type="dxa" w:w="120"/>
            </w:tcMar>
          </w:tcPr>
          <w:p>
            <w:pPr>
              <w:spacing w:after="0" w:line="260"/>
            </w:pPr>
            <w:r>
              <w:rPr>
                <w:color w:val="2B3640"/>
                <w:sz w:val="20"/>
                <w:szCs w:val="20"/>
              </w:rPr>
              <w:t xml:space="preserve">Hardware-accelerated rasterisation in the browser</w:t>
            </w:r>
          </w:p>
        </w:tc>
      </w:tr>
      <w:tr>
        <w:tc>
          <w:tcPr>
            <w:tcW w:type="dxa" w:w="1700"/>
            <w:tcMar>
              <w:top w:type="dxa" w:w="90"/>
              <w:left w:type="dxa" w:w="120"/>
              <w:bottom w:type="dxa" w:w="90"/>
              <w:right w:type="dxa" w:w="120"/>
            </w:tcMar>
          </w:tcPr>
          <w:p>
            <w:pPr>
              <w:spacing w:after="0" w:line="260"/>
            </w:pPr>
            <w:r>
              <w:rPr>
                <w:color w:val="2B3640"/>
                <w:sz w:val="20"/>
                <w:szCs w:val="20"/>
              </w:rPr>
              <w:t xml:space="preserve">Typography</w:t>
            </w:r>
          </w:p>
        </w:tc>
        <w:tc>
          <w:tcPr>
            <w:tcW w:type="dxa" w:w="3300"/>
            <w:tcMar>
              <w:top w:type="dxa" w:w="90"/>
              <w:left w:type="dxa" w:w="120"/>
              <w:bottom w:type="dxa" w:w="90"/>
              <w:right w:type="dxa" w:w="120"/>
            </w:tcMar>
          </w:tcPr>
          <w:p>
            <w:pPr>
              <w:spacing w:after="0" w:line="260"/>
            </w:pPr>
            <w:r>
              <w:rPr>
                <w:color w:val="2B3640"/>
                <w:sz w:val="20"/>
                <w:szCs w:val="20"/>
              </w:rPr>
              <w:t xml:space="preserve">IBM Plex Sans / Mono</w:t>
            </w:r>
          </w:p>
        </w:tc>
        <w:tc>
          <w:tcPr>
            <w:tcW w:type="dxa" w:w="4360"/>
            <w:tcMar>
              <w:top w:type="dxa" w:w="90"/>
              <w:left w:type="dxa" w:w="120"/>
              <w:bottom w:type="dxa" w:w="90"/>
              <w:right w:type="dxa" w:w="120"/>
            </w:tcMar>
          </w:tcPr>
          <w:p>
            <w:pPr>
              <w:spacing w:after="0" w:line="260"/>
            </w:pPr>
            <w:r>
              <w:rPr>
                <w:color w:val="2B3640"/>
                <w:sz w:val="20"/>
                <w:szCs w:val="20"/>
              </w:rPr>
              <w:t xml:space="preserve">Interface text and instrument readouts</w:t>
            </w:r>
          </w:p>
        </w:tc>
      </w:tr>
    </w:tbl>
    <w:p>
      <w:pPr>
        <w:spacing w:after="200" w:before="80"/>
      </w:pPr>
      <w:r>
        <w:rPr>
          <w:i/>
          <w:iCs/>
          <w:color w:val="4A5560"/>
          <w:sz w:val="18"/>
          <w:szCs w:val="18"/>
        </w:rPr>
        <w:t xml:space="preserve">Table 3.1 — Technologies used and their responsibilities.</w:t>
      </w:r>
    </w:p>
    <w:p>
      <w:pPr>
        <w:pStyle w:val="Heading2"/>
        <w:spacing w:after="120" w:before="260"/>
      </w:pPr>
      <w:r>
        <w:rPr>
          <w:b/>
          <w:bCs/>
          <w:color w:val="1E2830"/>
          <w:sz w:val="25"/>
          <w:szCs w:val="25"/>
        </w:rPr>
        <w:t xml:space="preserve">3.2 Requirements to run</w:t>
      </w:r>
    </w:p>
    <w:p>
      <w:pPr>
        <w:pStyle w:val="ListParagraph"/>
        <w:numPr>
          <w:ilvl w:val="0"/>
          <w:numId w:val="3"/>
        </w:numPr>
        <w:spacing w:after="80" w:line="300"/>
      </w:pPr>
      <w:r>
        <w:rPr>
          <w:sz w:val="22"/>
          <w:szCs w:val="22"/>
        </w:rPr>
        <w:t xml:space="preserve">A browser supporting WebGL 2: current versions of Chrome, Edge, Firefox or Safari.</w:t>
      </w:r>
    </w:p>
    <w:p>
      <w:pPr>
        <w:pStyle w:val="ListParagraph"/>
        <w:numPr>
          <w:ilvl w:val="0"/>
          <w:numId w:val="3"/>
        </w:numPr>
        <w:spacing w:after="80" w:line="300"/>
      </w:pPr>
      <w:r>
        <w:rPr>
          <w:sz w:val="22"/>
          <w:szCs w:val="22"/>
        </w:rPr>
        <w:t xml:space="preserve">Hardware graphics acceleration enabled (the default on virtually all machines).</w:t>
      </w:r>
    </w:p>
    <w:p>
      <w:pPr>
        <w:pStyle w:val="ListParagraph"/>
        <w:numPr>
          <w:ilvl w:val="0"/>
          <w:numId w:val="3"/>
        </w:numPr>
        <w:spacing w:after="80" w:line="300"/>
      </w:pPr>
      <w:r>
        <w:rPr>
          <w:sz w:val="22"/>
          <w:szCs w:val="22"/>
        </w:rPr>
        <w:t xml:space="preserve">An internet connection on first load, for the Three.js CDN module and the web fonts. The application can be made fully offline by downloading the library and repointing the import map.</w:t>
      </w:r>
    </w:p>
    <w:p>
      <w:pPr>
        <w:pStyle w:val="ListParagraph"/>
        <w:numPr>
          <w:ilvl w:val="0"/>
          <w:numId w:val="3"/>
        </w:numPr>
        <w:spacing w:after="80" w:line="300"/>
      </w:pPr>
      <w:r>
        <w:rPr>
          <w:sz w:val="22"/>
          <w:szCs w:val="22"/>
        </w:rPr>
        <w:t xml:space="preserve">For the modular version, any static file server — the Live Server extension for VS Code, or python -m http.server. Browsers refuse to load ES modules over the file:// protocol. A single-file build (standalone.html) is provided for use without a server.</w:t>
      </w:r>
    </w:p>
    <w:p>
      <w:pPr>
        <w:pStyle w:val="Heading1"/>
        <w:spacing w:after="160" w:before="360"/>
      </w:pPr>
      <w:r>
        <w:rPr>
          <w:b/>
          <w:bCs/>
          <w:color w:val="1F7A68"/>
          <w:sz w:val="30"/>
          <w:szCs w:val="30"/>
        </w:rPr>
        <w:t xml:space="preserve">4. System Architecture</w:t>
      </w:r>
    </w:p>
    <w:p>
      <w:pPr>
        <w:pStyle w:val="Heading2"/>
        <w:spacing w:after="120" w:before="260"/>
      </w:pPr>
      <w:r>
        <w:rPr>
          <w:b/>
          <w:bCs/>
          <w:color w:val="1E2830"/>
          <w:sz w:val="25"/>
          <w:szCs w:val="25"/>
        </w:rPr>
        <w:t xml:space="preserve">4.1 Design principle</w:t>
      </w:r>
    </w:p>
    <w:p>
      <w:pPr>
        <w:spacing w:after="120" w:line="300"/>
      </w:pPr>
      <w:r>
        <w:rPr>
          <w:sz w:val="22"/>
          <w:szCs w:val="22"/>
        </w:rPr>
        <w:t xml:space="preserve">The guiding rule is that each module owns one concern and communicates through plain data. The chemistry engine has no knowledge of the scene graph and could be unit-tested in isolation; the user interface never manipulates a Three.js object; the scene modules never compute a concentration. All tunable quantities — reagent strengths, sample compositions, flow rates, glassware capacities, experiment procedures — are collected in a single data module, so adding an experiment or changing a reagent concentration is a data edit rather than a code change.</w:t>
      </w:r>
    </w:p>
    <w:p>
      <w:pPr>
        <w:pStyle w:val="Heading2"/>
        <w:spacing w:after="120" w:before="260"/>
      </w:pPr>
      <w:r>
        <w:rPr>
          <w:b/>
          <w:bCs/>
          <w:color w:val="1E2830"/>
          <w:sz w:val="25"/>
          <w:szCs w:val="25"/>
        </w:rPr>
        <w:t xml:space="preserve">4.2 Module structure</w:t>
      </w:r>
    </w:p>
    <w:tbl>
      <w:tblPr>
        <w:tblW w:type="dxa" w:w="9360"/>
        <w:tblBorders>
          <w:top w:val="single" w:color="C3CDCB" w:sz="4"/>
          <w:left w:val="single" w:color="C3CDCB" w:sz="4"/>
          <w:bottom w:val="single" w:color="C3CDCB" w:sz="4"/>
          <w:right w:val="single" w:color="C3CDCB" w:sz="4"/>
          <w:insideH w:val="single" w:color="D8E0DE" w:sz="2"/>
          <w:insideV w:val="single" w:color="D8E0DE" w:sz="2"/>
        </w:tblBorders>
      </w:tblPr>
      <w:tblGrid>
        <w:gridCol w:w="2500"/>
        <w:gridCol w:w="6860"/>
      </w:tblGrid>
      <w:tr>
        <w:trPr>
          <w:tblHeader/>
        </w:trPr>
        <w:tc>
          <w:tcPr>
            <w:tcW w:type="dxa" w:w="2500"/>
            <w:shd w:fill="E4EEEB" w:color="auto" w:val="clear"/>
            <w:tcMar>
              <w:top w:type="dxa" w:w="90"/>
              <w:left w:type="dxa" w:w="120"/>
              <w:bottom w:type="dxa" w:w="90"/>
              <w:right w:type="dxa" w:w="120"/>
            </w:tcMar>
          </w:tcPr>
          <w:p>
            <w:pPr>
              <w:spacing w:after="0" w:line="260"/>
            </w:pPr>
            <w:r>
              <w:rPr>
                <w:b/>
                <w:bCs/>
                <w:color w:val="1E2830"/>
                <w:sz w:val="20"/>
                <w:szCs w:val="20"/>
              </w:rPr>
              <w:t xml:space="preserve">Module</w:t>
            </w:r>
          </w:p>
        </w:tc>
        <w:tc>
          <w:tcPr>
            <w:tcW w:type="dxa" w:w="6860"/>
            <w:shd w:fill="E4EEEB" w:color="auto" w:val="clear"/>
            <w:tcMar>
              <w:top w:type="dxa" w:w="90"/>
              <w:left w:type="dxa" w:w="120"/>
              <w:bottom w:type="dxa" w:w="90"/>
              <w:right w:type="dxa" w:w="120"/>
            </w:tcMar>
          </w:tcPr>
          <w:p>
            <w:pPr>
              <w:spacing w:after="0" w:line="260"/>
            </w:pPr>
            <w:r>
              <w:rPr>
                <w:b/>
                <w:bCs/>
                <w:color w:val="1E2830"/>
                <w:sz w:val="20"/>
                <w:szCs w:val="20"/>
              </w:rPr>
              <w:t xml:space="preserve">Responsibility</w:t>
            </w:r>
          </w:p>
        </w:tc>
      </w:tr>
      <w:tr>
        <w:tc>
          <w:tcPr>
            <w:tcW w:type="dxa" w:w="2500"/>
            <w:tcMar>
              <w:top w:type="dxa" w:w="90"/>
              <w:left w:type="dxa" w:w="120"/>
              <w:bottom w:type="dxa" w:w="90"/>
              <w:right w:type="dxa" w:w="120"/>
            </w:tcMar>
          </w:tcPr>
          <w:p>
            <w:pPr>
              <w:spacing w:after="0" w:line="260"/>
            </w:pPr>
            <w:r>
              <w:rPr>
                <w:color w:val="2B3640"/>
                <w:sz w:val="20"/>
                <w:szCs w:val="20"/>
              </w:rPr>
              <w:t xml:space="preserve">index.html</w:t>
            </w:r>
          </w:p>
        </w:tc>
        <w:tc>
          <w:tcPr>
            <w:tcW w:type="dxa" w:w="6860"/>
            <w:tcMar>
              <w:top w:type="dxa" w:w="90"/>
              <w:left w:type="dxa" w:w="120"/>
              <w:bottom w:type="dxa" w:w="90"/>
              <w:right w:type="dxa" w:w="120"/>
            </w:tcMar>
          </w:tcPr>
          <w:p>
            <w:pPr>
              <w:spacing w:after="0" w:line="260"/>
            </w:pPr>
            <w:r>
              <w:rPr>
                <w:color w:val="2B3640"/>
                <w:sz w:val="20"/>
                <w:szCs w:val="20"/>
              </w:rPr>
              <w:t xml:space="preserve">Markup, import map, four-region panel layout</w:t>
            </w:r>
          </w:p>
        </w:tc>
      </w:tr>
      <w:tr>
        <w:tc>
          <w:tcPr>
            <w:tcW w:type="dxa" w:w="2500"/>
            <w:shd w:fill="F6F8F8" w:color="auto" w:val="clear"/>
            <w:tcMar>
              <w:top w:type="dxa" w:w="90"/>
              <w:left w:type="dxa" w:w="120"/>
              <w:bottom w:type="dxa" w:w="90"/>
              <w:right w:type="dxa" w:w="120"/>
            </w:tcMar>
          </w:tcPr>
          <w:p>
            <w:pPr>
              <w:spacing w:after="0" w:line="260"/>
            </w:pPr>
            <w:r>
              <w:rPr>
                <w:color w:val="2B3640"/>
                <w:sz w:val="20"/>
                <w:szCs w:val="20"/>
              </w:rPr>
              <w:t xml:space="preserve">style.css</w:t>
            </w:r>
          </w:p>
        </w:tc>
        <w:tc>
          <w:tcPr>
            <w:tcW w:type="dxa" w:w="6860"/>
            <w:shd w:fill="F6F8F8" w:color="auto" w:val="clear"/>
            <w:tcMar>
              <w:top w:type="dxa" w:w="90"/>
              <w:left w:type="dxa" w:w="120"/>
              <w:bottom w:type="dxa" w:w="90"/>
              <w:right w:type="dxa" w:w="120"/>
            </w:tcMar>
          </w:tcPr>
          <w:p>
            <w:pPr>
              <w:spacing w:after="0" w:line="260"/>
            </w:pPr>
            <w:r>
              <w:rPr>
                <w:color w:val="2B3640"/>
                <w:sz w:val="20"/>
                <w:szCs w:val="20"/>
              </w:rPr>
              <w:t xml:space="preserve">Complete stylesheet, responsive breakpoints, reduced-motion rules</w:t>
            </w:r>
          </w:p>
        </w:tc>
      </w:tr>
      <w:tr>
        <w:tc>
          <w:tcPr>
            <w:tcW w:type="dxa" w:w="2500"/>
            <w:tcMar>
              <w:top w:type="dxa" w:w="90"/>
              <w:left w:type="dxa" w:w="120"/>
              <w:bottom w:type="dxa" w:w="90"/>
              <w:right w:type="dxa" w:w="120"/>
            </w:tcMar>
          </w:tcPr>
          <w:p>
            <w:pPr>
              <w:spacing w:after="0" w:line="260"/>
            </w:pPr>
            <w:r>
              <w:rPr>
                <w:color w:val="2B3640"/>
                <w:sz w:val="20"/>
                <w:szCs w:val="20"/>
              </w:rPr>
              <w:t xml:space="preserve">js/main.js</w:t>
            </w:r>
          </w:p>
        </w:tc>
        <w:tc>
          <w:tcPr>
            <w:tcW w:type="dxa" w:w="6860"/>
            <w:tcMar>
              <w:top w:type="dxa" w:w="90"/>
              <w:left w:type="dxa" w:w="120"/>
              <w:bottom w:type="dxa" w:w="90"/>
              <w:right w:type="dxa" w:w="120"/>
            </w:tcMar>
          </w:tcPr>
          <w:p>
            <w:pPr>
              <w:spacing w:after="0" w:line="260"/>
            </w:pPr>
            <w:r>
              <w:rPr>
                <w:color w:val="2B3640"/>
                <w:sz w:val="20"/>
                <w:szCs w:val="20"/>
              </w:rPr>
              <w:t xml:space="preserve">Bootstrap: instantiates every subsystem and drives the render loop</w:t>
            </w:r>
          </w:p>
        </w:tc>
      </w:tr>
      <w:tr>
        <w:tc>
          <w:tcPr>
            <w:tcW w:type="dxa" w:w="2500"/>
            <w:shd w:fill="F6F8F8" w:color="auto" w:val="clear"/>
            <w:tcMar>
              <w:top w:type="dxa" w:w="90"/>
              <w:left w:type="dxa" w:w="120"/>
              <w:bottom w:type="dxa" w:w="90"/>
              <w:right w:type="dxa" w:w="120"/>
            </w:tcMar>
          </w:tcPr>
          <w:p>
            <w:pPr>
              <w:spacing w:after="0" w:line="260"/>
            </w:pPr>
            <w:r>
              <w:rPr>
                <w:color w:val="2B3640"/>
                <w:sz w:val="20"/>
                <w:szCs w:val="20"/>
              </w:rPr>
              <w:t xml:space="preserve">js/scene.js</w:t>
            </w:r>
          </w:p>
        </w:tc>
        <w:tc>
          <w:tcPr>
            <w:tcW w:type="dxa" w:w="6860"/>
            <w:shd w:fill="F6F8F8" w:color="auto" w:val="clear"/>
            <w:tcMar>
              <w:top w:type="dxa" w:w="90"/>
              <w:left w:type="dxa" w:w="120"/>
              <w:bottom w:type="dxa" w:w="90"/>
              <w:right w:type="dxa" w:w="120"/>
            </w:tcMar>
          </w:tcPr>
          <w:p>
            <w:pPr>
              <w:spacing w:after="0" w:line="260"/>
            </w:pPr>
            <w:r>
              <w:rPr>
                <w:color w:val="2B3640"/>
                <w:sz w:val="20"/>
                <w:szCs w:val="20"/>
              </w:rPr>
              <w:t xml:space="preserve">Renderer configuration, tone mapping, room and ceiling lighting, shadow maps</w:t>
            </w:r>
          </w:p>
        </w:tc>
      </w:tr>
      <w:tr>
        <w:tc>
          <w:tcPr>
            <w:tcW w:type="dxa" w:w="2500"/>
            <w:tcMar>
              <w:top w:type="dxa" w:w="90"/>
              <w:left w:type="dxa" w:w="120"/>
              <w:bottom w:type="dxa" w:w="90"/>
              <w:right w:type="dxa" w:w="120"/>
            </w:tcMar>
          </w:tcPr>
          <w:p>
            <w:pPr>
              <w:spacing w:after="0" w:line="260"/>
            </w:pPr>
            <w:r>
              <w:rPr>
                <w:color w:val="2B3640"/>
                <w:sz w:val="20"/>
                <w:szCs w:val="20"/>
              </w:rPr>
              <w:t xml:space="preserve">js/camera.js</w:t>
            </w:r>
          </w:p>
        </w:tc>
        <w:tc>
          <w:tcPr>
            <w:tcW w:type="dxa" w:w="6860"/>
            <w:tcMar>
              <w:top w:type="dxa" w:w="90"/>
              <w:left w:type="dxa" w:w="120"/>
              <w:bottom w:type="dxa" w:w="90"/>
              <w:right w:type="dxa" w:w="120"/>
            </w:tcMar>
          </w:tcPr>
          <w:p>
            <w:pPr>
              <w:spacing w:after="0" w:line="260"/>
            </w:pPr>
            <w:r>
              <w:rPr>
                <w:color w:val="2B3640"/>
                <w:sz w:val="20"/>
                <w:szCs w:val="20"/>
              </w:rPr>
              <w:t xml:space="preserve">Perspective camera and the named view presets with smooth fly-to transitions</w:t>
            </w:r>
          </w:p>
        </w:tc>
      </w:tr>
      <w:tr>
        <w:tc>
          <w:tcPr>
            <w:tcW w:type="dxa" w:w="2500"/>
            <w:shd w:fill="F6F8F8" w:color="auto" w:val="clear"/>
            <w:tcMar>
              <w:top w:type="dxa" w:w="90"/>
              <w:left w:type="dxa" w:w="120"/>
              <w:bottom w:type="dxa" w:w="90"/>
              <w:right w:type="dxa" w:w="120"/>
            </w:tcMar>
          </w:tcPr>
          <w:p>
            <w:pPr>
              <w:spacing w:after="0" w:line="260"/>
            </w:pPr>
            <w:r>
              <w:rPr>
                <w:color w:val="2B3640"/>
                <w:sz w:val="20"/>
                <w:szCs w:val="20"/>
              </w:rPr>
              <w:t xml:space="preserve">js/controls.js</w:t>
            </w:r>
          </w:p>
        </w:tc>
        <w:tc>
          <w:tcPr>
            <w:tcW w:type="dxa" w:w="6860"/>
            <w:shd w:fill="F6F8F8" w:color="auto" w:val="clear"/>
            <w:tcMar>
              <w:top w:type="dxa" w:w="90"/>
              <w:left w:type="dxa" w:w="120"/>
              <w:bottom w:type="dxa" w:w="90"/>
              <w:right w:type="dxa" w:w="120"/>
            </w:tcMar>
          </w:tcPr>
          <w:p>
            <w:pPr>
              <w:spacing w:after="0" w:line="260"/>
            </w:pPr>
            <w:r>
              <w:rPr>
                <w:color w:val="2B3640"/>
                <w:sz w:val="20"/>
                <w:szCs w:val="20"/>
              </w:rPr>
              <w:t xml:space="preserve">OrbitControls with clamped polar angle and pan bounds</w:t>
            </w:r>
          </w:p>
        </w:tc>
      </w:tr>
      <w:tr>
        <w:tc>
          <w:tcPr>
            <w:tcW w:type="dxa" w:w="2500"/>
            <w:tcMar>
              <w:top w:type="dxa" w:w="90"/>
              <w:left w:type="dxa" w:w="120"/>
              <w:bottom w:type="dxa" w:w="90"/>
              <w:right w:type="dxa" w:w="120"/>
            </w:tcMar>
          </w:tcPr>
          <w:p>
            <w:pPr>
              <w:spacing w:after="0" w:line="260"/>
            </w:pPr>
            <w:r>
              <w:rPr>
                <w:color w:val="2B3640"/>
                <w:sz w:val="20"/>
                <w:szCs w:val="20"/>
              </w:rPr>
              <w:t xml:space="preserve">js/laboratory.js</w:t>
            </w:r>
          </w:p>
        </w:tc>
        <w:tc>
          <w:tcPr>
            <w:tcW w:type="dxa" w:w="6860"/>
            <w:tcMar>
              <w:top w:type="dxa" w:w="90"/>
              <w:left w:type="dxa" w:w="120"/>
              <w:bottom w:type="dxa" w:w="90"/>
              <w:right w:type="dxa" w:w="120"/>
            </w:tcMar>
          </w:tcPr>
          <w:p>
            <w:pPr>
              <w:spacing w:after="0" w:line="260"/>
            </w:pPr>
            <w:r>
              <w:rPr>
                <w:color w:val="2B3640"/>
                <w:sz w:val="20"/>
                <w:szCs w:val="20"/>
              </w:rPr>
              <w:t xml:space="preserve">Assembles the room: floor, walls, bench, shelving, sink and the four work stations</w:t>
            </w:r>
          </w:p>
        </w:tc>
      </w:tr>
      <w:tr>
        <w:tc>
          <w:tcPr>
            <w:tcW w:type="dxa" w:w="2500"/>
            <w:shd w:fill="F6F8F8" w:color="auto" w:val="clear"/>
            <w:tcMar>
              <w:top w:type="dxa" w:w="90"/>
              <w:left w:type="dxa" w:w="120"/>
              <w:bottom w:type="dxa" w:w="90"/>
              <w:right w:type="dxa" w:w="120"/>
            </w:tcMar>
          </w:tcPr>
          <w:p>
            <w:pPr>
              <w:spacing w:after="0" w:line="260"/>
            </w:pPr>
            <w:r>
              <w:rPr>
                <w:color w:val="2B3640"/>
                <w:sz w:val="20"/>
                <w:szCs w:val="20"/>
              </w:rPr>
              <w:t xml:space="preserve">js/glassware.js</w:t>
            </w:r>
          </w:p>
        </w:tc>
        <w:tc>
          <w:tcPr>
            <w:tcW w:type="dxa" w:w="6860"/>
            <w:shd w:fill="F6F8F8" w:color="auto" w:val="clear"/>
            <w:tcMar>
              <w:top w:type="dxa" w:w="90"/>
              <w:left w:type="dxa" w:w="120"/>
              <w:bottom w:type="dxa" w:w="90"/>
              <w:right w:type="dxa" w:w="120"/>
            </w:tcMar>
          </w:tcPr>
          <w:p>
            <w:pPr>
              <w:spacing w:after="0" w:line="260"/>
            </w:pPr>
            <w:r>
              <w:rPr>
                <w:color w:val="2B3640"/>
                <w:sz w:val="20"/>
                <w:szCs w:val="20"/>
              </w:rPr>
              <w:t xml:space="preserve">Procedural burette, pipette, flasks, beakers, cylinders, bottles; shared glass materials, liquid volumes, graduation and label textures</w:t>
            </w:r>
          </w:p>
        </w:tc>
      </w:tr>
      <w:tr>
        <w:tc>
          <w:tcPr>
            <w:tcW w:type="dxa" w:w="2500"/>
            <w:tcMar>
              <w:top w:type="dxa" w:w="90"/>
              <w:left w:type="dxa" w:w="120"/>
              <w:bottom w:type="dxa" w:w="90"/>
              <w:right w:type="dxa" w:w="120"/>
            </w:tcMar>
          </w:tcPr>
          <w:p>
            <w:pPr>
              <w:spacing w:after="0" w:line="260"/>
            </w:pPr>
            <w:r>
              <w:rPr>
                <w:color w:val="2B3640"/>
                <w:sz w:val="20"/>
                <w:szCs w:val="20"/>
              </w:rPr>
              <w:t xml:space="preserve">js/equipment.js</w:t>
            </w:r>
          </w:p>
        </w:tc>
        <w:tc>
          <w:tcPr>
            <w:tcW w:type="dxa" w:w="6860"/>
            <w:tcMar>
              <w:top w:type="dxa" w:w="90"/>
              <w:left w:type="dxa" w:w="120"/>
              <w:bottom w:type="dxa" w:w="90"/>
              <w:right w:type="dxa" w:w="120"/>
            </w:tcMar>
          </w:tcPr>
          <w:p>
            <w:pPr>
              <w:spacing w:after="0" w:line="260"/>
            </w:pPr>
            <w:r>
              <w:rPr>
                <w:color w:val="2B3640"/>
                <w:sz w:val="20"/>
                <w:szCs w:val="20"/>
              </w:rPr>
              <w:t xml:space="preserve">pH meter, conductivity meter, turbidity meter, analytical balance, stirrer, thermometer, stopwatch and their canvas-rendered digital displays</w:t>
            </w:r>
          </w:p>
        </w:tc>
      </w:tr>
      <w:tr>
        <w:tc>
          <w:tcPr>
            <w:tcW w:type="dxa" w:w="2500"/>
            <w:shd w:fill="F6F8F8" w:color="auto" w:val="clear"/>
            <w:tcMar>
              <w:top w:type="dxa" w:w="90"/>
              <w:left w:type="dxa" w:w="120"/>
              <w:bottom w:type="dxa" w:w="90"/>
              <w:right w:type="dxa" w:w="120"/>
            </w:tcMar>
          </w:tcPr>
          <w:p>
            <w:pPr>
              <w:spacing w:after="0" w:line="260"/>
            </w:pPr>
            <w:r>
              <w:rPr>
                <w:color w:val="2B3640"/>
                <w:sz w:val="20"/>
                <w:szCs w:val="20"/>
              </w:rPr>
              <w:t xml:space="preserve">js/chemicals.js</w:t>
            </w:r>
          </w:p>
        </w:tc>
        <w:tc>
          <w:tcPr>
            <w:tcW w:type="dxa" w:w="6860"/>
            <w:shd w:fill="F6F8F8" w:color="auto" w:val="clear"/>
            <w:tcMar>
              <w:top w:type="dxa" w:w="90"/>
              <w:left w:type="dxa" w:w="120"/>
              <w:bottom w:type="dxa" w:w="90"/>
              <w:right w:type="dxa" w:w="120"/>
            </w:tcMar>
          </w:tcPr>
          <w:p>
            <w:pPr>
              <w:spacing w:after="0" w:line="260"/>
            </w:pPr>
            <w:r>
              <w:rPr>
                <w:color w:val="2B3640"/>
                <w:sz w:val="20"/>
                <w:szCs w:val="20"/>
              </w:rPr>
              <w:t xml:space="preserve">Indicator colour model and the solution object carried by each vessel</w:t>
            </w:r>
          </w:p>
        </w:tc>
      </w:tr>
      <w:tr>
        <w:tc>
          <w:tcPr>
            <w:tcW w:type="dxa" w:w="2500"/>
            <w:tcMar>
              <w:top w:type="dxa" w:w="90"/>
              <w:left w:type="dxa" w:w="120"/>
              <w:bottom w:type="dxa" w:w="90"/>
              <w:right w:type="dxa" w:w="120"/>
            </w:tcMar>
          </w:tcPr>
          <w:p>
            <w:pPr>
              <w:spacing w:after="0" w:line="260"/>
            </w:pPr>
            <w:r>
              <w:rPr>
                <w:color w:val="2B3640"/>
                <w:sz w:val="20"/>
                <w:szCs w:val="20"/>
              </w:rPr>
              <w:t xml:space="preserve">js/animations.js</w:t>
            </w:r>
          </w:p>
        </w:tc>
        <w:tc>
          <w:tcPr>
            <w:tcW w:type="dxa" w:w="6860"/>
            <w:tcMar>
              <w:top w:type="dxa" w:w="90"/>
              <w:left w:type="dxa" w:w="120"/>
              <w:bottom w:type="dxa" w:w="90"/>
              <w:right w:type="dxa" w:w="120"/>
            </w:tcMar>
          </w:tcPr>
          <w:p>
            <w:pPr>
              <w:spacing w:after="0" w:line="260"/>
            </w:pPr>
            <w:r>
              <w:rPr>
                <w:color w:val="2B3640"/>
                <w:sz w:val="20"/>
                <w:szCs w:val="20"/>
              </w:rPr>
              <w:t xml:space="preserve">Promise-based tween engine, droplet pool, pour stream, swirling, stirring, meter stabilisation</w:t>
            </w:r>
          </w:p>
        </w:tc>
      </w:tr>
      <w:tr>
        <w:tc>
          <w:tcPr>
            <w:tcW w:type="dxa" w:w="2500"/>
            <w:shd w:fill="F6F8F8" w:color="auto" w:val="clear"/>
            <w:tcMar>
              <w:top w:type="dxa" w:w="90"/>
              <w:left w:type="dxa" w:w="120"/>
              <w:bottom w:type="dxa" w:w="90"/>
              <w:right w:type="dxa" w:w="120"/>
            </w:tcMar>
          </w:tcPr>
          <w:p>
            <w:pPr>
              <w:spacing w:after="0" w:line="260"/>
            </w:pPr>
            <w:r>
              <w:rPr>
                <w:color w:val="2B3640"/>
                <w:sz w:val="20"/>
                <w:szCs w:val="20"/>
              </w:rPr>
              <w:t xml:space="preserve">js/interaction.js</w:t>
            </w:r>
          </w:p>
        </w:tc>
        <w:tc>
          <w:tcPr>
            <w:tcW w:type="dxa" w:w="6860"/>
            <w:shd w:fill="F6F8F8" w:color="auto" w:val="clear"/>
            <w:tcMar>
              <w:top w:type="dxa" w:w="90"/>
              <w:left w:type="dxa" w:w="120"/>
              <w:bottom w:type="dxa" w:w="90"/>
              <w:right w:type="dxa" w:w="120"/>
            </w:tcMar>
          </w:tcPr>
          <w:p>
            <w:pPr>
              <w:spacing w:after="0" w:line="260"/>
            </w:pPr>
            <w:r>
              <w:rPr>
                <w:color w:val="2B3640"/>
                <w:sz w:val="20"/>
                <w:szCs w:val="20"/>
              </w:rPr>
              <w:t xml:space="preserve">Raycasting, hover and selection feedback, keyboard shortcuts, and the mapping from a clicked object to an experiment action</w:t>
            </w:r>
          </w:p>
        </w:tc>
      </w:tr>
      <w:tr>
        <w:tc>
          <w:tcPr>
            <w:tcW w:type="dxa" w:w="2500"/>
            <w:tcMar>
              <w:top w:type="dxa" w:w="90"/>
              <w:left w:type="dxa" w:w="120"/>
              <w:bottom w:type="dxa" w:w="90"/>
              <w:right w:type="dxa" w:w="120"/>
            </w:tcMar>
          </w:tcPr>
          <w:p>
            <w:pPr>
              <w:spacing w:after="0" w:line="260"/>
            </w:pPr>
            <w:r>
              <w:rPr>
                <w:color w:val="2B3640"/>
                <w:sz w:val="20"/>
                <w:szCs w:val="20"/>
              </w:rPr>
              <w:t xml:space="preserve">js/experiments.js</w:t>
            </w:r>
          </w:p>
        </w:tc>
        <w:tc>
          <w:tcPr>
            <w:tcW w:type="dxa" w:w="6860"/>
            <w:tcMar>
              <w:top w:type="dxa" w:w="90"/>
              <w:left w:type="dxa" w:w="120"/>
              <w:bottom w:type="dxa" w:w="90"/>
              <w:right w:type="dxa" w:w="120"/>
            </w:tcMar>
          </w:tcPr>
          <w:p>
            <w:pPr>
              <w:spacing w:after="0" w:line="260"/>
            </w:pPr>
            <w:r>
              <w:rPr>
                <w:color w:val="2B3640"/>
                <w:sz w:val="20"/>
                <w:szCs w:val="20"/>
              </w:rPr>
              <w:t xml:space="preserve">The experiment state machine: action validation, procedure enforcement, and the choreography of each operation</w:t>
            </w:r>
          </w:p>
        </w:tc>
      </w:tr>
      <w:tr>
        <w:tc>
          <w:tcPr>
            <w:tcW w:type="dxa" w:w="2500"/>
            <w:shd w:fill="F6F8F8" w:color="auto" w:val="clear"/>
            <w:tcMar>
              <w:top w:type="dxa" w:w="90"/>
              <w:left w:type="dxa" w:w="120"/>
              <w:bottom w:type="dxa" w:w="90"/>
              <w:right w:type="dxa" w:w="120"/>
            </w:tcMar>
          </w:tcPr>
          <w:p>
            <w:pPr>
              <w:spacing w:after="0" w:line="260"/>
            </w:pPr>
            <w:r>
              <w:rPr>
                <w:color w:val="2B3640"/>
                <w:sz w:val="20"/>
                <w:szCs w:val="20"/>
              </w:rPr>
              <w:t xml:space="preserve">js/calculations.js</w:t>
            </w:r>
          </w:p>
        </w:tc>
        <w:tc>
          <w:tcPr>
            <w:tcW w:type="dxa" w:w="6860"/>
            <w:shd w:fill="F6F8F8" w:color="auto" w:val="clear"/>
            <w:tcMar>
              <w:top w:type="dxa" w:w="90"/>
              <w:left w:type="dxa" w:w="120"/>
              <w:bottom w:type="dxa" w:w="90"/>
              <w:right w:type="dxa" w:w="120"/>
            </w:tcMar>
          </w:tcPr>
          <w:p>
            <w:pPr>
              <w:spacing w:after="0" w:line="260"/>
            </w:pPr>
            <w:r>
              <w:rPr>
                <w:color w:val="2B3640"/>
                <w:sz w:val="20"/>
                <w:szCs w:val="20"/>
              </w:rPr>
              <w:t xml:space="preserve">Pure chemistry engine — formulae, classifications and result construction</w:t>
            </w:r>
          </w:p>
        </w:tc>
      </w:tr>
      <w:tr>
        <w:tc>
          <w:tcPr>
            <w:tcW w:type="dxa" w:w="2500"/>
            <w:tcMar>
              <w:top w:type="dxa" w:w="90"/>
              <w:left w:type="dxa" w:w="120"/>
              <w:bottom w:type="dxa" w:w="90"/>
              <w:right w:type="dxa" w:w="120"/>
            </w:tcMar>
          </w:tcPr>
          <w:p>
            <w:pPr>
              <w:spacing w:after="0" w:line="260"/>
            </w:pPr>
            <w:r>
              <w:rPr>
                <w:color w:val="2B3640"/>
                <w:sz w:val="20"/>
                <w:szCs w:val="20"/>
              </w:rPr>
              <w:t xml:space="preserve">js/data.js</w:t>
            </w:r>
          </w:p>
        </w:tc>
        <w:tc>
          <w:tcPr>
            <w:tcW w:type="dxa" w:w="6860"/>
            <w:tcMar>
              <w:top w:type="dxa" w:w="90"/>
              <w:left w:type="dxa" w:w="120"/>
              <w:bottom w:type="dxa" w:w="90"/>
              <w:right w:type="dxa" w:w="120"/>
            </w:tcMar>
          </w:tcPr>
          <w:p>
            <w:pPr>
              <w:spacing w:after="0" w:line="260"/>
            </w:pPr>
            <w:r>
              <w:rPr>
                <w:color w:val="2B3640"/>
                <w:sz w:val="20"/>
                <w:szCs w:val="20"/>
              </w:rPr>
              <w:t xml:space="preserve">CONFIG constants, reagent database, water samples with true properties, and the ten experiment definitions</w:t>
            </w:r>
          </w:p>
        </w:tc>
      </w:tr>
      <w:tr>
        <w:tc>
          <w:tcPr>
            <w:tcW w:type="dxa" w:w="2500"/>
            <w:shd w:fill="F6F8F8" w:color="auto" w:val="clear"/>
            <w:tcMar>
              <w:top w:type="dxa" w:w="90"/>
              <w:left w:type="dxa" w:w="120"/>
              <w:bottom w:type="dxa" w:w="90"/>
              <w:right w:type="dxa" w:w="120"/>
            </w:tcMar>
          </w:tcPr>
          <w:p>
            <w:pPr>
              <w:spacing w:after="0" w:line="260"/>
            </w:pPr>
            <w:r>
              <w:rPr>
                <w:color w:val="2B3640"/>
                <w:sz w:val="20"/>
                <w:szCs w:val="20"/>
              </w:rPr>
              <w:t xml:space="preserve">js/state.js</w:t>
            </w:r>
          </w:p>
        </w:tc>
        <w:tc>
          <w:tcPr>
            <w:tcW w:type="dxa" w:w="6860"/>
            <w:shd w:fill="F6F8F8" w:color="auto" w:val="clear"/>
            <w:tcMar>
              <w:top w:type="dxa" w:w="90"/>
              <w:left w:type="dxa" w:w="120"/>
              <w:bottom w:type="dxa" w:w="90"/>
              <w:right w:type="dxa" w:w="120"/>
            </w:tcMar>
          </w:tcPr>
          <w:p>
            <w:pPr>
              <w:spacing w:after="0" w:line="260"/>
            </w:pPr>
            <w:r>
              <w:rPr>
                <w:color w:val="2B3640"/>
                <w:sz w:val="20"/>
                <w:szCs w:val="20"/>
              </w:rPr>
              <w:t xml:space="preserve">Central application state with an event emitter and session persistence</w:t>
            </w:r>
          </w:p>
        </w:tc>
      </w:tr>
      <w:tr>
        <w:tc>
          <w:tcPr>
            <w:tcW w:type="dxa" w:w="2500"/>
            <w:tcMar>
              <w:top w:type="dxa" w:w="90"/>
              <w:left w:type="dxa" w:w="120"/>
              <w:bottom w:type="dxa" w:w="90"/>
              <w:right w:type="dxa" w:w="120"/>
            </w:tcMar>
          </w:tcPr>
          <w:p>
            <w:pPr>
              <w:spacing w:after="0" w:line="260"/>
            </w:pPr>
            <w:r>
              <w:rPr>
                <w:color w:val="2B3640"/>
                <w:sz w:val="20"/>
                <w:szCs w:val="20"/>
              </w:rPr>
              <w:t xml:space="preserve">js/ui.js</w:t>
            </w:r>
          </w:p>
        </w:tc>
        <w:tc>
          <w:tcPr>
            <w:tcW w:type="dxa" w:w="6860"/>
            <w:tcMar>
              <w:top w:type="dxa" w:w="90"/>
              <w:left w:type="dxa" w:w="120"/>
              <w:bottom w:type="dxa" w:w="90"/>
              <w:right w:type="dxa" w:w="120"/>
            </w:tcMar>
          </w:tcPr>
          <w:p>
            <w:pPr>
              <w:spacing w:after="0" w:line="260"/>
            </w:pPr>
            <w:r>
              <w:rPr>
                <w:color w:val="2B3640"/>
                <w:sz w:val="20"/>
                <w:szCs w:val="20"/>
              </w:rPr>
              <w:t xml:space="preserve">All two-dimensional panels: experiment list, theory tabs, procedure card, readings, observation table, result sheet</w:t>
            </w:r>
          </w:p>
        </w:tc>
      </w:tr>
    </w:tbl>
    <w:p>
      <w:pPr>
        <w:spacing w:after="200" w:before="80"/>
      </w:pPr>
      <w:r>
        <w:rPr>
          <w:i/>
          <w:iCs/>
          <w:color w:val="4A5560"/>
          <w:sz w:val="18"/>
          <w:szCs w:val="18"/>
        </w:rPr>
        <w:t xml:space="preserve">Table 4.1 — The fifteen source modules and what each is responsible for.</w:t>
      </w:r>
    </w:p>
    <w:p>
      <w:pPr>
        <w:pStyle w:val="Heading2"/>
        <w:spacing w:after="120" w:before="260"/>
      </w:pPr>
      <w:r>
        <w:rPr>
          <w:b/>
          <w:bCs/>
          <w:color w:val="1E2830"/>
          <w:sz w:val="25"/>
          <w:szCs w:val="25"/>
        </w:rPr>
        <w:t xml:space="preserve">4.3 Flow of control</w:t>
      </w:r>
    </w:p>
    <w:p>
      <w:pPr>
        <w:spacing w:after="120" w:line="300"/>
      </w:pPr>
      <w:r>
        <w:rPr>
          <w:sz w:val="22"/>
          <w:szCs w:val="22"/>
        </w:rPr>
        <w:t xml:space="preserve">A single user action travels through the system as follows. The pointer event is caught by the interaction module, which casts a ray into the scene and identifies the object and the part of it that was hit. That object carries a userData tag describing what it is, and the interaction module resolves it into an abstract action — for example, clicking the stopcock key of the burette resolves to TITRATE.</w:t>
      </w:r>
    </w:p>
    <w:p>
      <w:pPr>
        <w:spacing w:after="120" w:line="300"/>
      </w:pPr>
      <w:r>
        <w:rPr>
          <w:sz w:val="22"/>
          <w:szCs w:val="22"/>
        </w:rPr>
        <w:t xml:space="preserve">The action is handed to the experiment controller, which validates it against both physical reality and, in guided mode, the position of the student in the procedure. An invalid action produces a specific message rather than silence: attempting to titrate before filling the burette returns a prompt to fill the burette with the titrant first. A valid action is choreographed as a sequence of animations, during which the state module is updated and emits change events. The user interface listens for those events and redraws the readings, the procedure card and the observation table.</w:t>
      </w:r>
    </w:p>
    <w:p>
      <w:pPr>
        <w:spacing w:after="100" w:line="260"/>
        <w:ind w:left="360"/>
      </w:pPr>
      <w:r>
        <w:rPr>
          <w:rFonts w:ascii="Consolas" w:cs="Consolas" w:eastAsia="Consolas" w:hAnsi="Consolas"/>
          <w:color w:val="2B3640"/>
          <w:sz w:val="19"/>
          <w:szCs w:val="19"/>
        </w:rPr>
        <w:t xml:space="preserve">pointer → interaction.resolveAction() → experiments.validate() → experiments.perform()</w:t>
      </w:r>
    </w:p>
    <w:p>
      <w:pPr>
        <w:spacing w:after="100" w:line="260"/>
        <w:ind w:left="360"/>
      </w:pPr>
      <w:r>
        <w:rPr>
          <w:rFonts w:ascii="Consolas" w:cs="Consolas" w:eastAsia="Consolas" w:hAnsi="Consolas"/>
          <w:color w:val="2B3640"/>
          <w:sz w:val="19"/>
          <w:szCs w:val="19"/>
        </w:rPr>
        <w:t xml:space="preserve">        → animations (tweens, droplets, colour) → state.notify() → ui.render()</w:t>
      </w:r>
    </w:p>
    <w:p>
      <w:r>
        <w:br w:type="page"/>
      </w:r>
    </w:p>
    <w:p>
      <w:pPr>
        <w:pStyle w:val="Heading1"/>
        <w:spacing w:after="160" w:before="360"/>
      </w:pPr>
      <w:r>
        <w:rPr>
          <w:b/>
          <w:bCs/>
          <w:color w:val="1F7A68"/>
          <w:sz w:val="30"/>
          <w:szCs w:val="30"/>
        </w:rPr>
        <w:t xml:space="preserve">5. The Three-Dimensional Laboratory</w:t>
      </w:r>
    </w:p>
    <w:p>
      <w:pPr>
        <w:pStyle w:val="Heading2"/>
        <w:spacing w:after="120" w:before="260"/>
      </w:pPr>
      <w:r>
        <w:rPr>
          <w:b/>
          <w:bCs/>
          <w:color w:val="1E2830"/>
          <w:sz w:val="25"/>
          <w:szCs w:val="25"/>
        </w:rPr>
        <w:t xml:space="preserve">5.1 Scale and viewpoint</w:t>
      </w:r>
    </w:p>
    <w:p>
      <w:pPr>
        <w:spacing w:after="120" w:line="300"/>
      </w:pPr>
      <w:r>
        <w:rPr>
          <w:sz w:val="22"/>
          <w:szCs w:val="22"/>
        </w:rPr>
        <w:t xml:space="preserve">One scene unit represents ten centimetres, so the bench top sits at a height of 0.9 metres and a 250 mL conical flask stands about 1.4 units tall. The camera is placed at standing eye height in front of the bench and is constrained so that it can never rotate to a plan view or pass below the bench top; the laboratory is always seen in the three-quarter front perspective a student would have while working.</w:t>
      </w:r>
    </w:p>
    <w:p>
      <w:pPr>
        <w:pStyle w:val="Heading2"/>
        <w:spacing w:after="120" w:before="260"/>
      </w:pPr>
      <w:r>
        <w:rPr>
          <w:b/>
          <w:bCs/>
          <w:color w:val="1E2830"/>
          <w:sz w:val="25"/>
          <w:szCs w:val="25"/>
        </w:rPr>
        <w:t xml:space="preserve">5.2 The room</w:t>
      </w:r>
    </w:p>
    <w:p>
      <w:pPr>
        <w:spacing w:after="120" w:line="300"/>
      </w:pPr>
      <w:r>
        <w:rPr>
          <w:sz w:val="22"/>
          <w:szCs w:val="22"/>
        </w:rPr>
        <w:t xml:space="preserve">The environment consists of a tiled floor, a glazed-tile back wall with a dado rail, a full-width bench with a black epoxy resin top and drawer units beneath, a wall shelf carrying stock bottles, and a steel sink with a tap at the right-hand end. Lighting is a hemisphere light for ambient fill, a key directional light casting soft shadows onto the bench, and two ceiling fluorescent fittings with point lights, which together produce the flat, bright illumination characteristic of a teaching laboratory.</w:t>
      </w:r>
    </w:p>
    <w:p>
      <w:pPr>
        <w:pStyle w:val="Heading2"/>
        <w:spacing w:after="120" w:before="260"/>
      </w:pPr>
      <w:r>
        <w:rPr>
          <w:b/>
          <w:bCs/>
          <w:color w:val="1E2830"/>
          <w:sz w:val="25"/>
          <w:szCs w:val="25"/>
        </w:rPr>
        <w:t xml:space="preserve">5.3 Work stations</w:t>
      </w:r>
    </w:p>
    <w:tbl>
      <w:tblPr>
        <w:tblW w:type="dxa" w:w="9360"/>
        <w:tblBorders>
          <w:top w:val="single" w:color="C3CDCB" w:sz="4"/>
          <w:left w:val="single" w:color="C3CDCB" w:sz="4"/>
          <w:bottom w:val="single" w:color="C3CDCB" w:sz="4"/>
          <w:right w:val="single" w:color="C3CDCB" w:sz="4"/>
          <w:insideH w:val="single" w:color="D8E0DE" w:sz="2"/>
          <w:insideV w:val="single" w:color="D8E0DE" w:sz="2"/>
        </w:tblBorders>
      </w:tblPr>
      <w:tblGrid>
        <w:gridCol w:w="1800"/>
        <w:gridCol w:w="7560"/>
      </w:tblGrid>
      <w:tr>
        <w:trPr>
          <w:tblHeader/>
        </w:trPr>
        <w:tc>
          <w:tcPr>
            <w:tcW w:type="dxa" w:w="1800"/>
            <w:shd w:fill="E4EEEB" w:color="auto" w:val="clear"/>
            <w:tcMar>
              <w:top w:type="dxa" w:w="90"/>
              <w:left w:type="dxa" w:w="120"/>
              <w:bottom w:type="dxa" w:w="90"/>
              <w:right w:type="dxa" w:w="120"/>
            </w:tcMar>
          </w:tcPr>
          <w:p>
            <w:pPr>
              <w:spacing w:after="0" w:line="260"/>
            </w:pPr>
            <w:r>
              <w:rPr>
                <w:b/>
                <w:bCs/>
                <w:color w:val="1E2830"/>
                <w:sz w:val="20"/>
                <w:szCs w:val="20"/>
              </w:rPr>
              <w:t xml:space="preserve">Station</w:t>
            </w:r>
          </w:p>
        </w:tc>
        <w:tc>
          <w:tcPr>
            <w:tcW w:type="dxa" w:w="7560"/>
            <w:shd w:fill="E4EEEB" w:color="auto" w:val="clear"/>
            <w:tcMar>
              <w:top w:type="dxa" w:w="90"/>
              <w:left w:type="dxa" w:w="120"/>
              <w:bottom w:type="dxa" w:w="90"/>
              <w:right w:type="dxa" w:w="120"/>
            </w:tcMar>
          </w:tcPr>
          <w:p>
            <w:pPr>
              <w:spacing w:after="0" w:line="260"/>
            </w:pPr>
            <w:r>
              <w:rPr>
                <w:b/>
                <w:bCs/>
                <w:color w:val="1E2830"/>
                <w:sz w:val="20"/>
                <w:szCs w:val="20"/>
              </w:rPr>
              <w:t xml:space="preserve">Apparatus present</w:t>
            </w:r>
          </w:p>
        </w:tc>
      </w:tr>
      <w:tr>
        <w:tc>
          <w:tcPr>
            <w:tcW w:type="dxa" w:w="1800"/>
            <w:tcMar>
              <w:top w:type="dxa" w:w="90"/>
              <w:left w:type="dxa" w:w="120"/>
              <w:bottom w:type="dxa" w:w="90"/>
              <w:right w:type="dxa" w:w="120"/>
            </w:tcMar>
          </w:tcPr>
          <w:p>
            <w:pPr>
              <w:spacing w:after="0" w:line="260"/>
            </w:pPr>
            <w:r>
              <w:rPr>
                <w:color w:val="2B3640"/>
                <w:sz w:val="20"/>
                <w:szCs w:val="20"/>
              </w:rPr>
              <w:t xml:space="preserve">Titration</w:t>
            </w:r>
          </w:p>
        </w:tc>
        <w:tc>
          <w:tcPr>
            <w:tcW w:type="dxa" w:w="7560"/>
            <w:tcMar>
              <w:top w:type="dxa" w:w="90"/>
              <w:left w:type="dxa" w:w="120"/>
              <w:bottom w:type="dxa" w:w="90"/>
              <w:right w:type="dxa" w:w="120"/>
            </w:tcMar>
          </w:tcPr>
          <w:p>
            <w:pPr>
              <w:spacing w:after="0" w:line="260"/>
            </w:pPr>
            <w:r>
              <w:rPr>
                <w:color w:val="2B3640"/>
                <w:sz w:val="20"/>
                <w:szCs w:val="20"/>
              </w:rPr>
              <w:t xml:space="preserve">Burette stand with two clamps, 50 mL burette with stopcock and graduations, 250 mL conical flask on a white tile directly under the delivery tip, magnetic stirrer, 50 mL pipette, wash bottle</w:t>
            </w:r>
          </w:p>
        </w:tc>
      </w:tr>
      <w:tr>
        <w:tc>
          <w:tcPr>
            <w:tcW w:type="dxa" w:w="1800"/>
            <w:shd w:fill="F6F8F8" w:color="auto" w:val="clear"/>
            <w:tcMar>
              <w:top w:type="dxa" w:w="90"/>
              <w:left w:type="dxa" w:w="120"/>
              <w:bottom w:type="dxa" w:w="90"/>
              <w:right w:type="dxa" w:w="120"/>
            </w:tcMar>
          </w:tcPr>
          <w:p>
            <w:pPr>
              <w:spacing w:after="0" w:line="260"/>
            </w:pPr>
            <w:r>
              <w:rPr>
                <w:color w:val="2B3640"/>
                <w:sz w:val="20"/>
                <w:szCs w:val="20"/>
              </w:rPr>
              <w:t xml:space="preserve">Reagents</w:t>
            </w:r>
          </w:p>
        </w:tc>
        <w:tc>
          <w:tcPr>
            <w:tcW w:type="dxa" w:w="7560"/>
            <w:shd w:fill="F6F8F8" w:color="auto" w:val="clear"/>
            <w:tcMar>
              <w:top w:type="dxa" w:w="90"/>
              <w:left w:type="dxa" w:w="120"/>
              <w:bottom w:type="dxa" w:w="90"/>
              <w:right w:type="dxa" w:w="120"/>
            </w:tcMar>
          </w:tcPr>
          <w:p>
            <w:pPr>
              <w:spacing w:after="0" w:line="260"/>
            </w:pPr>
            <w:r>
              <w:rPr>
                <w:color w:val="2B3640"/>
                <w:sz w:val="20"/>
                <w:szCs w:val="20"/>
              </w:rPr>
              <w:t xml:space="preserve">EDTA, HCl, NaOH, AgNO₃ and buffer bottles in the back row; Eriochrome Black T, phenolphthalein, methyl orange and potassium chromate in the front row</w:t>
            </w:r>
          </w:p>
        </w:tc>
      </w:tr>
      <w:tr>
        <w:tc>
          <w:tcPr>
            <w:tcW w:type="dxa" w:w="1800"/>
            <w:tcMar>
              <w:top w:type="dxa" w:w="90"/>
              <w:left w:type="dxa" w:w="120"/>
              <w:bottom w:type="dxa" w:w="90"/>
              <w:right w:type="dxa" w:w="120"/>
            </w:tcMar>
          </w:tcPr>
          <w:p>
            <w:pPr>
              <w:spacing w:after="0" w:line="260"/>
            </w:pPr>
            <w:r>
              <w:rPr>
                <w:color w:val="2B3640"/>
                <w:sz w:val="20"/>
                <w:szCs w:val="20"/>
              </w:rPr>
              <w:t xml:space="preserve">Samples</w:t>
            </w:r>
          </w:p>
        </w:tc>
        <w:tc>
          <w:tcPr>
            <w:tcW w:type="dxa" w:w="7560"/>
            <w:tcMar>
              <w:top w:type="dxa" w:w="90"/>
              <w:left w:type="dxa" w:w="120"/>
              <w:bottom w:type="dxa" w:w="90"/>
              <w:right w:type="dxa" w:w="120"/>
            </w:tcMar>
          </w:tcPr>
          <w:p>
            <w:pPr>
              <w:spacing w:after="0" w:line="260"/>
            </w:pPr>
            <w:r>
              <w:rPr>
                <w:color w:val="2B3640"/>
                <w:sz w:val="20"/>
                <w:szCs w:val="20"/>
              </w:rPr>
              <w:t xml:space="preserve">Five labelled sample bottles: distilled, tap, natural, standard hard water and the unknown</w:t>
            </w:r>
          </w:p>
        </w:tc>
      </w:tr>
      <w:tr>
        <w:tc>
          <w:tcPr>
            <w:tcW w:type="dxa" w:w="1800"/>
            <w:shd w:fill="F6F8F8" w:color="auto" w:val="clear"/>
            <w:tcMar>
              <w:top w:type="dxa" w:w="90"/>
              <w:left w:type="dxa" w:w="120"/>
              <w:bottom w:type="dxa" w:w="90"/>
              <w:right w:type="dxa" w:w="120"/>
            </w:tcMar>
          </w:tcPr>
          <w:p>
            <w:pPr>
              <w:spacing w:after="0" w:line="260"/>
            </w:pPr>
            <w:r>
              <w:rPr>
                <w:color w:val="2B3640"/>
                <w:sz w:val="20"/>
                <w:szCs w:val="20"/>
              </w:rPr>
              <w:t xml:space="preserve">Instruments</w:t>
            </w:r>
          </w:p>
        </w:tc>
        <w:tc>
          <w:tcPr>
            <w:tcW w:type="dxa" w:w="7560"/>
            <w:shd w:fill="F6F8F8" w:color="auto" w:val="clear"/>
            <w:tcMar>
              <w:top w:type="dxa" w:w="90"/>
              <w:left w:type="dxa" w:w="120"/>
              <w:bottom w:type="dxa" w:w="90"/>
              <w:right w:type="dxa" w:w="120"/>
            </w:tcMar>
          </w:tcPr>
          <w:p>
            <w:pPr>
              <w:spacing w:after="0" w:line="260"/>
            </w:pPr>
            <w:r>
              <w:rPr>
                <w:color w:val="2B3640"/>
                <w:sz w:val="20"/>
                <w:szCs w:val="20"/>
              </w:rPr>
              <w:t xml:space="preserve">pH meter with electrode on its own stand, conductivity meter with cell, nephelometric turbidity meter with sample well and lid, thermometer and stopwatch</w:t>
            </w:r>
          </w:p>
        </w:tc>
      </w:tr>
      <w:tr>
        <w:tc>
          <w:tcPr>
            <w:tcW w:type="dxa" w:w="1800"/>
            <w:tcMar>
              <w:top w:type="dxa" w:w="90"/>
              <w:left w:type="dxa" w:w="120"/>
              <w:bottom w:type="dxa" w:w="90"/>
              <w:right w:type="dxa" w:w="120"/>
            </w:tcMar>
          </w:tcPr>
          <w:p>
            <w:pPr>
              <w:spacing w:after="0" w:line="260"/>
            </w:pPr>
            <w:r>
              <w:rPr>
                <w:color w:val="2B3640"/>
                <w:sz w:val="20"/>
                <w:szCs w:val="20"/>
              </w:rPr>
              <w:t xml:space="preserve">Preparation</w:t>
            </w:r>
          </w:p>
        </w:tc>
        <w:tc>
          <w:tcPr>
            <w:tcW w:type="dxa" w:w="7560"/>
            <w:tcMar>
              <w:top w:type="dxa" w:w="90"/>
              <w:left w:type="dxa" w:w="120"/>
              <w:bottom w:type="dxa" w:w="90"/>
              <w:right w:type="dxa" w:w="120"/>
            </w:tcMar>
          </w:tcPr>
          <w:p>
            <w:pPr>
              <w:spacing w:after="0" w:line="260"/>
            </w:pPr>
            <w:r>
              <w:rPr>
                <w:color w:val="2B3640"/>
                <w:sz w:val="20"/>
                <w:szCs w:val="20"/>
              </w:rPr>
              <w:t xml:space="preserve">Analytical balance, 1 L volumetric flask, funnel, beaker, measuring cylinder, glass rod</w:t>
            </w:r>
          </w:p>
        </w:tc>
      </w:tr>
      <w:tr>
        <w:tc>
          <w:tcPr>
            <w:tcW w:type="dxa" w:w="1800"/>
            <w:shd w:fill="F6F8F8" w:color="auto" w:val="clear"/>
            <w:tcMar>
              <w:top w:type="dxa" w:w="90"/>
              <w:left w:type="dxa" w:w="120"/>
              <w:bottom w:type="dxa" w:w="90"/>
              <w:right w:type="dxa" w:w="120"/>
            </w:tcMar>
          </w:tcPr>
          <w:p>
            <w:pPr>
              <w:spacing w:after="0" w:line="260"/>
            </w:pPr>
            <w:r>
              <w:rPr>
                <w:color w:val="2B3640"/>
                <w:sz w:val="20"/>
                <w:szCs w:val="20"/>
              </w:rPr>
              <w:t xml:space="preserve">Accessories</w:t>
            </w:r>
          </w:p>
        </w:tc>
        <w:tc>
          <w:tcPr>
            <w:tcW w:type="dxa" w:w="7560"/>
            <w:shd w:fill="F6F8F8" w:color="auto" w:val="clear"/>
            <w:tcMar>
              <w:top w:type="dxa" w:w="90"/>
              <w:left w:type="dxa" w:w="120"/>
              <w:bottom w:type="dxa" w:w="90"/>
              <w:right w:type="dxa" w:w="120"/>
            </w:tcMar>
          </w:tcPr>
          <w:p>
            <w:pPr>
              <w:spacing w:after="0" w:line="260"/>
            </w:pPr>
            <w:r>
              <w:rPr>
                <w:color w:val="2B3640"/>
                <w:sz w:val="20"/>
                <w:szCs w:val="20"/>
              </w:rPr>
              <w:t xml:space="preserve">Test tube rack, dropper, waste jar, sink</w:t>
            </w:r>
          </w:p>
        </w:tc>
      </w:tr>
    </w:tbl>
    <w:p>
      <w:pPr>
        <w:spacing w:after="200" w:before="80"/>
      </w:pPr>
      <w:r>
        <w:rPr>
          <w:i/>
          <w:iCs/>
          <w:color w:val="4A5560"/>
          <w:sz w:val="18"/>
          <w:szCs w:val="18"/>
        </w:rPr>
        <w:t xml:space="preserve">Table 5.1 — Layout of the bench.</w:t>
      </w:r>
    </w:p>
    <w:p>
      <w:pPr>
        <w:pStyle w:val="Heading2"/>
        <w:spacing w:after="120" w:before="260"/>
      </w:pPr>
      <w:r>
        <w:rPr>
          <w:b/>
          <w:bCs/>
          <w:color w:val="1E2830"/>
          <w:sz w:val="25"/>
          <w:szCs w:val="25"/>
        </w:rPr>
        <w:t xml:space="preserve">5.4 Modelling technique</w:t>
      </w:r>
    </w:p>
    <w:p>
      <w:pPr>
        <w:spacing w:after="120" w:line="300"/>
      </w:pPr>
      <w:r>
        <w:rPr>
          <w:sz w:val="22"/>
          <w:szCs w:val="22"/>
        </w:rPr>
        <w:t xml:space="preserve">No external 3D asset files are used. Every object is generated procedurally at start-up from lathe geometries, cylinders and boxes, which keeps the whole application to a few hundred kilobytes of source and allows dimensions to be driven by the same constants the chemistry uses. Glass is rendered as a physical material with low roughness, high transmission and a thin refractive shell; liquids are separate meshes whose geometry is created once and whose level is animated by scaling along the vertical axis alone, which avoids rebuilding geometry every frame. Graduation marks, labels and the seven-segment instrument readouts are drawn into canvas textures, so the burette scale and the digital displays remain legible at close zoom.</w:t>
      </w:r>
    </w:p>
    <w:p>
      <w:pPr>
        <w:pStyle w:val="Heading1"/>
        <w:spacing w:after="160" w:before="360"/>
      </w:pPr>
      <w:r>
        <w:rPr>
          <w:b/>
          <w:bCs/>
          <w:color w:val="1F7A68"/>
          <w:sz w:val="30"/>
          <w:szCs w:val="30"/>
        </w:rPr>
        <w:t xml:space="preserve">6. The Chemistry Engine</w:t>
      </w:r>
    </w:p>
    <w:p>
      <w:pPr>
        <w:pStyle w:val="Heading2"/>
        <w:spacing w:after="120" w:before="260"/>
      </w:pPr>
      <w:r>
        <w:rPr>
          <w:b/>
          <w:bCs/>
          <w:color w:val="1E2830"/>
          <w:sz w:val="25"/>
          <w:szCs w:val="25"/>
        </w:rPr>
        <w:t xml:space="preserve">6.1 Principle</w:t>
      </w:r>
    </w:p>
    <w:p>
      <w:pPr>
        <w:spacing w:after="120" w:line="300"/>
      </w:pPr>
      <w:r>
        <w:rPr>
          <w:sz w:val="22"/>
          <w:szCs w:val="22"/>
        </w:rPr>
        <w:t xml:space="preserve">The chemistry engine is a set of pure functions with no access to the scene or the document. Each water sample in the data module carries its true properties — pH, hardness, alkalinity, chloride content, conductivity and turbidity. When the student pipettes a sample into the flask, the engine computes the volume of titrant that would be required to reach the end point, applies a small random scatter of about one percent to represent the irreproducibility of judging a colour change, and stores that as the hidden true end point of this particular run.</w:t>
      </w:r>
    </w:p>
    <w:p>
      <w:pPr>
        <w:spacing w:after="120" w:line="300"/>
      </w:pPr>
      <w:r>
        <w:rPr>
          <w:sz w:val="22"/>
          <w:szCs w:val="22"/>
        </w:rPr>
        <w:t xml:space="preserve">From that moment the simulation is purely physical. The burette level falls as the stopcock is opened, the flask level rises, and the indicator colour is interpolated according to how close the delivered volume is to the end point, with the transition compressed into the last few percent so that the colour holds and then changes sharply, as it does in reality. The result is calculated afterwards from the readings the student recorded, not from the stored value.</w:t>
      </w:r>
    </w:p>
    <w:p>
      <w:pPr>
        <w:pStyle w:val="Heading2"/>
        <w:spacing w:after="120" w:before="260"/>
      </w:pPr>
      <w:r>
        <w:rPr>
          <w:b/>
          <w:bCs/>
          <w:color w:val="1E2830"/>
          <w:sz w:val="25"/>
          <w:szCs w:val="25"/>
        </w:rPr>
        <w:t xml:space="preserve">6.2 Formulae implemented</w:t>
      </w:r>
    </w:p>
    <w:tbl>
      <w:tblPr>
        <w:tblW w:type="dxa" w:w="9360"/>
        <w:tblBorders>
          <w:top w:val="single" w:color="C3CDCB" w:sz="4"/>
          <w:left w:val="single" w:color="C3CDCB" w:sz="4"/>
          <w:bottom w:val="single" w:color="C3CDCB" w:sz="4"/>
          <w:right w:val="single" w:color="C3CDCB" w:sz="4"/>
          <w:insideH w:val="single" w:color="D8E0DE" w:sz="2"/>
          <w:insideV w:val="single" w:color="D8E0DE" w:sz="2"/>
        </w:tblBorders>
      </w:tblPr>
      <w:tblGrid>
        <w:gridCol w:w="2400"/>
        <w:gridCol w:w="4400"/>
        <w:gridCol w:w="2560"/>
      </w:tblGrid>
      <w:tr>
        <w:trPr>
          <w:tblHeader/>
        </w:trPr>
        <w:tc>
          <w:tcPr>
            <w:tcW w:type="dxa" w:w="2400"/>
            <w:shd w:fill="E4EEEB" w:color="auto" w:val="clear"/>
            <w:tcMar>
              <w:top w:type="dxa" w:w="90"/>
              <w:left w:type="dxa" w:w="120"/>
              <w:bottom w:type="dxa" w:w="90"/>
              <w:right w:type="dxa" w:w="120"/>
            </w:tcMar>
          </w:tcPr>
          <w:p>
            <w:pPr>
              <w:spacing w:after="0" w:line="260"/>
            </w:pPr>
            <w:r>
              <w:rPr>
                <w:b/>
                <w:bCs/>
                <w:color w:val="1E2830"/>
                <w:sz w:val="20"/>
                <w:szCs w:val="20"/>
              </w:rPr>
              <w:t xml:space="preserve">Determination</w:t>
            </w:r>
          </w:p>
        </w:tc>
        <w:tc>
          <w:tcPr>
            <w:tcW w:type="dxa" w:w="4400"/>
            <w:shd w:fill="E4EEEB" w:color="auto" w:val="clear"/>
            <w:tcMar>
              <w:top w:type="dxa" w:w="90"/>
              <w:left w:type="dxa" w:w="120"/>
              <w:bottom w:type="dxa" w:w="90"/>
              <w:right w:type="dxa" w:w="120"/>
            </w:tcMar>
          </w:tcPr>
          <w:p>
            <w:pPr>
              <w:spacing w:after="0" w:line="260"/>
            </w:pPr>
            <w:r>
              <w:rPr>
                <w:b/>
                <w:bCs/>
                <w:color w:val="1E2830"/>
                <w:sz w:val="20"/>
                <w:szCs w:val="20"/>
              </w:rPr>
              <w:t xml:space="preserve">Formula</w:t>
            </w:r>
          </w:p>
        </w:tc>
        <w:tc>
          <w:tcPr>
            <w:tcW w:type="dxa" w:w="2560"/>
            <w:shd w:fill="E4EEEB" w:color="auto" w:val="clear"/>
            <w:tcMar>
              <w:top w:type="dxa" w:w="90"/>
              <w:left w:type="dxa" w:w="120"/>
              <w:bottom w:type="dxa" w:w="90"/>
              <w:right w:type="dxa" w:w="120"/>
            </w:tcMar>
          </w:tcPr>
          <w:p>
            <w:pPr>
              <w:spacing w:after="0" w:line="260"/>
            </w:pPr>
            <w:r>
              <w:rPr>
                <w:b/>
                <w:bCs/>
                <w:color w:val="1E2830"/>
                <w:sz w:val="20"/>
                <w:szCs w:val="20"/>
              </w:rPr>
              <w:t xml:space="preserve">Result as</w:t>
            </w:r>
          </w:p>
        </w:tc>
      </w:tr>
      <w:tr>
        <w:tc>
          <w:tcPr>
            <w:tcW w:type="dxa" w:w="2400"/>
            <w:tcMar>
              <w:top w:type="dxa" w:w="90"/>
              <w:left w:type="dxa" w:w="120"/>
              <w:bottom w:type="dxa" w:w="90"/>
              <w:right w:type="dxa" w:w="120"/>
            </w:tcMar>
          </w:tcPr>
          <w:p>
            <w:pPr>
              <w:spacing w:after="0" w:line="260"/>
            </w:pPr>
            <w:r>
              <w:rPr>
                <w:color w:val="2B3640"/>
                <w:sz w:val="20"/>
                <w:szCs w:val="20"/>
              </w:rPr>
              <w:t xml:space="preserve">Total hardness (EDTA)</w:t>
            </w:r>
          </w:p>
        </w:tc>
        <w:tc>
          <w:tcPr>
            <w:tcW w:type="dxa" w:w="4400"/>
            <w:tcMar>
              <w:top w:type="dxa" w:w="90"/>
              <w:left w:type="dxa" w:w="120"/>
              <w:bottom w:type="dxa" w:w="90"/>
              <w:right w:type="dxa" w:w="120"/>
            </w:tcMar>
          </w:tcPr>
          <w:p>
            <w:pPr>
              <w:spacing w:after="0" w:line="260"/>
            </w:pPr>
            <w:r>
              <w:rPr>
                <w:color w:val="2B3640"/>
                <w:sz w:val="20"/>
                <w:szCs w:val="20"/>
              </w:rPr>
              <w:t xml:space="preserve">M(EDTA) × V(EDTA) × 100.0869 × 1000 / V(sample)</w:t>
            </w:r>
          </w:p>
        </w:tc>
        <w:tc>
          <w:tcPr>
            <w:tcW w:type="dxa" w:w="2560"/>
            <w:tcMar>
              <w:top w:type="dxa" w:w="90"/>
              <w:left w:type="dxa" w:w="120"/>
              <w:bottom w:type="dxa" w:w="90"/>
              <w:right w:type="dxa" w:w="120"/>
            </w:tcMar>
          </w:tcPr>
          <w:p>
            <w:pPr>
              <w:spacing w:after="0" w:line="260"/>
            </w:pPr>
            <w:r>
              <w:rPr>
                <w:color w:val="2B3640"/>
                <w:sz w:val="20"/>
                <w:szCs w:val="20"/>
              </w:rPr>
              <w:t xml:space="preserve">mg/L as CaCO₃</w:t>
            </w:r>
          </w:p>
        </w:tc>
      </w:tr>
      <w:tr>
        <w:tc>
          <w:tcPr>
            <w:tcW w:type="dxa" w:w="2400"/>
            <w:shd w:fill="F6F8F8" w:color="auto" w:val="clear"/>
            <w:tcMar>
              <w:top w:type="dxa" w:w="90"/>
              <w:left w:type="dxa" w:w="120"/>
              <w:bottom w:type="dxa" w:w="90"/>
              <w:right w:type="dxa" w:w="120"/>
            </w:tcMar>
          </w:tcPr>
          <w:p>
            <w:pPr>
              <w:spacing w:after="0" w:line="260"/>
            </w:pPr>
            <w:r>
              <w:rPr>
                <w:color w:val="2B3640"/>
                <w:sz w:val="20"/>
                <w:szCs w:val="20"/>
              </w:rPr>
              <w:t xml:space="preserve">Alkalinity (P and total)</w:t>
            </w:r>
          </w:p>
        </w:tc>
        <w:tc>
          <w:tcPr>
            <w:tcW w:type="dxa" w:w="4400"/>
            <w:shd w:fill="F6F8F8" w:color="auto" w:val="clear"/>
            <w:tcMar>
              <w:top w:type="dxa" w:w="90"/>
              <w:left w:type="dxa" w:w="120"/>
              <w:bottom w:type="dxa" w:w="90"/>
              <w:right w:type="dxa" w:w="120"/>
            </w:tcMar>
          </w:tcPr>
          <w:p>
            <w:pPr>
              <w:spacing w:after="0" w:line="260"/>
            </w:pPr>
            <w:r>
              <w:rPr>
                <w:color w:val="2B3640"/>
                <w:sz w:val="20"/>
                <w:szCs w:val="20"/>
              </w:rPr>
              <w:t xml:space="preserve">V(acid) × N(acid) × 50000 / V(sample)</w:t>
            </w:r>
          </w:p>
        </w:tc>
        <w:tc>
          <w:tcPr>
            <w:tcW w:type="dxa" w:w="2560"/>
            <w:shd w:fill="F6F8F8" w:color="auto" w:val="clear"/>
            <w:tcMar>
              <w:top w:type="dxa" w:w="90"/>
              <w:left w:type="dxa" w:w="120"/>
              <w:bottom w:type="dxa" w:w="90"/>
              <w:right w:type="dxa" w:w="120"/>
            </w:tcMar>
          </w:tcPr>
          <w:p>
            <w:pPr>
              <w:spacing w:after="0" w:line="260"/>
            </w:pPr>
            <w:r>
              <w:rPr>
                <w:color w:val="2B3640"/>
                <w:sz w:val="20"/>
                <w:szCs w:val="20"/>
              </w:rPr>
              <w:t xml:space="preserve">mg/L as CaCO₃</w:t>
            </w:r>
          </w:p>
        </w:tc>
      </w:tr>
      <w:tr>
        <w:tc>
          <w:tcPr>
            <w:tcW w:type="dxa" w:w="2400"/>
            <w:tcMar>
              <w:top w:type="dxa" w:w="90"/>
              <w:left w:type="dxa" w:w="120"/>
              <w:bottom w:type="dxa" w:w="90"/>
              <w:right w:type="dxa" w:w="120"/>
            </w:tcMar>
          </w:tcPr>
          <w:p>
            <w:pPr>
              <w:spacing w:after="0" w:line="260"/>
            </w:pPr>
            <w:r>
              <w:rPr>
                <w:color w:val="2B3640"/>
                <w:sz w:val="20"/>
                <w:szCs w:val="20"/>
              </w:rPr>
              <w:t xml:space="preserve">Chloride (Mohr)</w:t>
            </w:r>
          </w:p>
        </w:tc>
        <w:tc>
          <w:tcPr>
            <w:tcW w:type="dxa" w:w="4400"/>
            <w:tcMar>
              <w:top w:type="dxa" w:w="90"/>
              <w:left w:type="dxa" w:w="120"/>
              <w:bottom w:type="dxa" w:w="90"/>
              <w:right w:type="dxa" w:w="120"/>
            </w:tcMar>
          </w:tcPr>
          <w:p>
            <w:pPr>
              <w:spacing w:after="0" w:line="260"/>
            </w:pPr>
            <w:r>
              <w:rPr>
                <w:color w:val="2B3640"/>
                <w:sz w:val="20"/>
                <w:szCs w:val="20"/>
              </w:rPr>
              <w:t xml:space="preserve">V(AgNO₃) × N(AgNO₃) × 35450 / V(sample)</w:t>
            </w:r>
          </w:p>
        </w:tc>
        <w:tc>
          <w:tcPr>
            <w:tcW w:type="dxa" w:w="2560"/>
            <w:tcMar>
              <w:top w:type="dxa" w:w="90"/>
              <w:left w:type="dxa" w:w="120"/>
              <w:bottom w:type="dxa" w:w="90"/>
              <w:right w:type="dxa" w:w="120"/>
            </w:tcMar>
          </w:tcPr>
          <w:p>
            <w:pPr>
              <w:spacing w:after="0" w:line="260"/>
            </w:pPr>
            <w:r>
              <w:rPr>
                <w:color w:val="2B3640"/>
                <w:sz w:val="20"/>
                <w:szCs w:val="20"/>
              </w:rPr>
              <w:t xml:space="preserve">mg/L as Cl⁻</w:t>
            </w:r>
          </w:p>
        </w:tc>
      </w:tr>
      <w:tr>
        <w:tc>
          <w:tcPr>
            <w:tcW w:type="dxa" w:w="2400"/>
            <w:shd w:fill="F6F8F8" w:color="auto" w:val="clear"/>
            <w:tcMar>
              <w:top w:type="dxa" w:w="90"/>
              <w:left w:type="dxa" w:w="120"/>
              <w:bottom w:type="dxa" w:w="90"/>
              <w:right w:type="dxa" w:w="120"/>
            </w:tcMar>
          </w:tcPr>
          <w:p>
            <w:pPr>
              <w:spacing w:after="0" w:line="260"/>
            </w:pPr>
            <w:r>
              <w:rPr>
                <w:color w:val="2B3640"/>
                <w:sz w:val="20"/>
                <w:szCs w:val="20"/>
              </w:rPr>
              <w:t xml:space="preserve">Acid–base titration</w:t>
            </w:r>
          </w:p>
        </w:tc>
        <w:tc>
          <w:tcPr>
            <w:tcW w:type="dxa" w:w="4400"/>
            <w:shd w:fill="F6F8F8" w:color="auto" w:val="clear"/>
            <w:tcMar>
              <w:top w:type="dxa" w:w="90"/>
              <w:left w:type="dxa" w:w="120"/>
              <w:bottom w:type="dxa" w:w="90"/>
              <w:right w:type="dxa" w:w="120"/>
            </w:tcMar>
          </w:tcPr>
          <w:p>
            <w:pPr>
              <w:spacing w:after="0" w:line="260"/>
            </w:pPr>
            <w:r>
              <w:rPr>
                <w:color w:val="2B3640"/>
                <w:sz w:val="20"/>
                <w:szCs w:val="20"/>
              </w:rPr>
              <w:t xml:space="preserve">N₁V₁ = N₂V₂</w:t>
            </w:r>
          </w:p>
        </w:tc>
        <w:tc>
          <w:tcPr>
            <w:tcW w:type="dxa" w:w="2560"/>
            <w:shd w:fill="F6F8F8" w:color="auto" w:val="clear"/>
            <w:tcMar>
              <w:top w:type="dxa" w:w="90"/>
              <w:left w:type="dxa" w:w="120"/>
              <w:bottom w:type="dxa" w:w="90"/>
              <w:right w:type="dxa" w:w="120"/>
            </w:tcMar>
          </w:tcPr>
          <w:p>
            <w:pPr>
              <w:spacing w:after="0" w:line="260"/>
            </w:pPr>
            <w:r>
              <w:rPr>
                <w:color w:val="2B3640"/>
                <w:sz w:val="20"/>
                <w:szCs w:val="20"/>
              </w:rPr>
              <w:t xml:space="preserve">normality</w:t>
            </w:r>
          </w:p>
        </w:tc>
      </w:tr>
      <w:tr>
        <w:tc>
          <w:tcPr>
            <w:tcW w:type="dxa" w:w="2400"/>
            <w:tcMar>
              <w:top w:type="dxa" w:w="90"/>
              <w:left w:type="dxa" w:w="120"/>
              <w:bottom w:type="dxa" w:w="90"/>
              <w:right w:type="dxa" w:w="120"/>
            </w:tcMar>
          </w:tcPr>
          <w:p>
            <w:pPr>
              <w:spacing w:after="0" w:line="260"/>
            </w:pPr>
            <w:r>
              <w:rPr>
                <w:color w:val="2B3640"/>
                <w:sz w:val="20"/>
                <w:szCs w:val="20"/>
              </w:rPr>
              <w:t xml:space="preserve">Total dissolved solids</w:t>
            </w:r>
          </w:p>
        </w:tc>
        <w:tc>
          <w:tcPr>
            <w:tcW w:type="dxa" w:w="4400"/>
            <w:tcMar>
              <w:top w:type="dxa" w:w="90"/>
              <w:left w:type="dxa" w:w="120"/>
              <w:bottom w:type="dxa" w:w="90"/>
              <w:right w:type="dxa" w:w="120"/>
            </w:tcMar>
          </w:tcPr>
          <w:p>
            <w:pPr>
              <w:spacing w:after="0" w:line="260"/>
            </w:pPr>
            <w:r>
              <w:rPr>
                <w:color w:val="2B3640"/>
                <w:sz w:val="20"/>
                <w:szCs w:val="20"/>
              </w:rPr>
              <w:t xml:space="preserve">TDS = k × EC, with k = 0.65</w:t>
            </w:r>
          </w:p>
        </w:tc>
        <w:tc>
          <w:tcPr>
            <w:tcW w:type="dxa" w:w="2560"/>
            <w:tcMar>
              <w:top w:type="dxa" w:w="90"/>
              <w:left w:type="dxa" w:w="120"/>
              <w:bottom w:type="dxa" w:w="90"/>
              <w:right w:type="dxa" w:w="120"/>
            </w:tcMar>
          </w:tcPr>
          <w:p>
            <w:pPr>
              <w:spacing w:after="0" w:line="260"/>
            </w:pPr>
            <w:r>
              <w:rPr>
                <w:color w:val="2B3640"/>
                <w:sz w:val="20"/>
                <w:szCs w:val="20"/>
              </w:rPr>
              <w:t xml:space="preserve">mg/L</w:t>
            </w:r>
          </w:p>
        </w:tc>
      </w:tr>
      <w:tr>
        <w:tc>
          <w:tcPr>
            <w:tcW w:type="dxa" w:w="2400"/>
            <w:shd w:fill="F6F8F8" w:color="auto" w:val="clear"/>
            <w:tcMar>
              <w:top w:type="dxa" w:w="90"/>
              <w:left w:type="dxa" w:w="120"/>
              <w:bottom w:type="dxa" w:w="90"/>
              <w:right w:type="dxa" w:w="120"/>
            </w:tcMar>
          </w:tcPr>
          <w:p>
            <w:pPr>
              <w:spacing w:after="0" w:line="260"/>
            </w:pPr>
            <w:r>
              <w:rPr>
                <w:color w:val="2B3640"/>
                <w:sz w:val="20"/>
                <w:szCs w:val="20"/>
              </w:rPr>
              <w:t xml:space="preserve">Standard hard water</w:t>
            </w:r>
          </w:p>
        </w:tc>
        <w:tc>
          <w:tcPr>
            <w:tcW w:type="dxa" w:w="4400"/>
            <w:shd w:fill="F6F8F8" w:color="auto" w:val="clear"/>
            <w:tcMar>
              <w:top w:type="dxa" w:w="90"/>
              <w:left w:type="dxa" w:w="120"/>
              <w:bottom w:type="dxa" w:w="90"/>
              <w:right w:type="dxa" w:w="120"/>
            </w:tcMar>
          </w:tcPr>
          <w:p>
            <w:pPr>
              <w:spacing w:after="0" w:line="260"/>
            </w:pPr>
            <w:r>
              <w:rPr>
                <w:color w:val="2B3640"/>
                <w:sz w:val="20"/>
                <w:szCs w:val="20"/>
              </w:rPr>
              <w:t xml:space="preserve">mass of CaCO₃ = required strength × volume</w:t>
            </w:r>
          </w:p>
        </w:tc>
        <w:tc>
          <w:tcPr>
            <w:tcW w:type="dxa" w:w="2560"/>
            <w:shd w:fill="F6F8F8" w:color="auto" w:val="clear"/>
            <w:tcMar>
              <w:top w:type="dxa" w:w="90"/>
              <w:left w:type="dxa" w:w="120"/>
              <w:bottom w:type="dxa" w:w="90"/>
              <w:right w:type="dxa" w:w="120"/>
            </w:tcMar>
          </w:tcPr>
          <w:p>
            <w:pPr>
              <w:spacing w:after="0" w:line="260"/>
            </w:pPr>
            <w:r>
              <w:rPr>
                <w:color w:val="2B3640"/>
                <w:sz w:val="20"/>
                <w:szCs w:val="20"/>
              </w:rPr>
              <w:t xml:space="preserve">g per litre</w:t>
            </w:r>
          </w:p>
        </w:tc>
      </w:tr>
    </w:tbl>
    <w:p>
      <w:pPr>
        <w:spacing w:after="200" w:before="80"/>
      </w:pPr>
      <w:r>
        <w:rPr>
          <w:i/>
          <w:iCs/>
          <w:color w:val="4A5560"/>
          <w:sz w:val="18"/>
          <w:szCs w:val="18"/>
        </w:rPr>
        <w:t xml:space="preserve">Table 6.1 — Calculation formulae used by the engine.</w:t>
      </w:r>
    </w:p>
    <w:p>
      <w:pPr>
        <w:pStyle w:val="Heading2"/>
        <w:spacing w:after="120" w:before="260"/>
      </w:pPr>
      <w:r>
        <w:rPr>
          <w:b/>
          <w:bCs/>
          <w:color w:val="1E2830"/>
          <w:sz w:val="25"/>
          <w:szCs w:val="25"/>
        </w:rPr>
        <w:t xml:space="preserve">6.3 Mixed alkalinity</w:t>
      </w:r>
    </w:p>
    <w:p>
      <w:pPr>
        <w:spacing w:after="120" w:line="300"/>
      </w:pPr>
      <w:r>
        <w:rPr>
          <w:sz w:val="22"/>
          <w:szCs w:val="22"/>
        </w:rPr>
        <w:t xml:space="preserve">The mixed alkalinity experiment is treated as a classification problem rather than a single formula. The phenolphthalein end point P and the total methyl orange end point T are compared, and the species present are deduced by the standard rules: P equal to T indicates hydroxide only; P equal to half of T indicates carbonate only; P greater than half of T indicates hydroxide together with carbonate; P less than half of T indicates carbonate together with bicarbonate; and P equal to zero indicates bicarbonate alone. The engine reports both the classification and the individual concentrations of each species.</w:t>
      </w:r>
    </w:p>
    <w:p>
      <w:pPr>
        <w:pStyle w:val="Heading2"/>
        <w:spacing w:after="120" w:before="260"/>
      </w:pPr>
      <w:r>
        <w:rPr>
          <w:b/>
          <w:bCs/>
          <w:color w:val="1E2830"/>
          <w:sz w:val="25"/>
          <w:szCs w:val="25"/>
        </w:rPr>
        <w:t xml:space="preserve">6.4 Classification of results</w:t>
      </w:r>
    </w:p>
    <w:p>
      <w:pPr>
        <w:spacing w:after="120" w:line="300"/>
      </w:pPr>
      <w:r>
        <w:rPr>
          <w:sz w:val="22"/>
          <w:szCs w:val="22"/>
        </w:rPr>
        <w:t xml:space="preserve">Computed values are additionally interpreted against the Indian drinking water standard IS 10500, so that a hardness result is reported not only as a number but as soft, moderately hard, hard or very hard, and a turbidity or pH result is flagged as within or outside the acceptable limit.</w:t>
      </w:r>
    </w:p>
    <w:p>
      <w:r>
        <w:br w:type="page"/>
      </w:r>
    </w:p>
    <w:p>
      <w:pPr>
        <w:pStyle w:val="Heading1"/>
        <w:spacing w:after="160" w:before="360"/>
      </w:pPr>
      <w:r>
        <w:rPr>
          <w:b/>
          <w:bCs/>
          <w:color w:val="1F7A68"/>
          <w:sz w:val="30"/>
          <w:szCs w:val="30"/>
        </w:rPr>
        <w:t xml:space="preserve">7. Experiments Implemented</w:t>
      </w:r>
    </w:p>
    <w:tbl>
      <w:tblPr>
        <w:tblW w:type="dxa" w:w="9360"/>
        <w:tblBorders>
          <w:top w:val="single" w:color="C3CDCB" w:sz="4"/>
          <w:left w:val="single" w:color="C3CDCB" w:sz="4"/>
          <w:bottom w:val="single" w:color="C3CDCB" w:sz="4"/>
          <w:right w:val="single" w:color="C3CDCB" w:sz="4"/>
          <w:insideH w:val="single" w:color="D8E0DE" w:sz="2"/>
          <w:insideV w:val="single" w:color="D8E0DE" w:sz="2"/>
        </w:tblBorders>
      </w:tblPr>
      <w:tblGrid>
        <w:gridCol w:w="500"/>
        <w:gridCol w:w="2400"/>
        <w:gridCol w:w="3900"/>
        <w:gridCol w:w="2560"/>
      </w:tblGrid>
      <w:tr>
        <w:trPr>
          <w:tblHeader/>
        </w:trPr>
        <w:tc>
          <w:tcPr>
            <w:tcW w:type="dxa" w:w="500"/>
            <w:shd w:fill="E4EEEB" w:color="auto" w:val="clear"/>
            <w:tcMar>
              <w:top w:type="dxa" w:w="90"/>
              <w:left w:type="dxa" w:w="120"/>
              <w:bottom w:type="dxa" w:w="90"/>
              <w:right w:type="dxa" w:w="120"/>
            </w:tcMar>
          </w:tcPr>
          <w:p>
            <w:pPr>
              <w:spacing w:after="0" w:line="260"/>
            </w:pPr>
            <w:r>
              <w:rPr>
                <w:b/>
                <w:bCs/>
                <w:color w:val="1E2830"/>
                <w:sz w:val="20"/>
                <w:szCs w:val="20"/>
              </w:rPr>
              <w:t xml:space="preserve">#</w:t>
            </w:r>
          </w:p>
        </w:tc>
        <w:tc>
          <w:tcPr>
            <w:tcW w:type="dxa" w:w="2400"/>
            <w:shd w:fill="E4EEEB" w:color="auto" w:val="clear"/>
            <w:tcMar>
              <w:top w:type="dxa" w:w="90"/>
              <w:left w:type="dxa" w:w="120"/>
              <w:bottom w:type="dxa" w:w="90"/>
              <w:right w:type="dxa" w:w="120"/>
            </w:tcMar>
          </w:tcPr>
          <w:p>
            <w:pPr>
              <w:spacing w:after="0" w:line="260"/>
            </w:pPr>
            <w:r>
              <w:rPr>
                <w:b/>
                <w:bCs/>
                <w:color w:val="1E2830"/>
                <w:sz w:val="20"/>
                <w:szCs w:val="20"/>
              </w:rPr>
              <w:t xml:space="preserve">Experiment</w:t>
            </w:r>
          </w:p>
        </w:tc>
        <w:tc>
          <w:tcPr>
            <w:tcW w:type="dxa" w:w="3900"/>
            <w:shd w:fill="E4EEEB" w:color="auto" w:val="clear"/>
            <w:tcMar>
              <w:top w:type="dxa" w:w="90"/>
              <w:left w:type="dxa" w:w="120"/>
              <w:bottom w:type="dxa" w:w="90"/>
              <w:right w:type="dxa" w:w="120"/>
            </w:tcMar>
          </w:tcPr>
          <w:p>
            <w:pPr>
              <w:spacing w:after="0" w:line="260"/>
            </w:pPr>
            <w:r>
              <w:rPr>
                <w:b/>
                <w:bCs/>
                <w:color w:val="1E2830"/>
                <w:sz w:val="20"/>
                <w:szCs w:val="20"/>
              </w:rPr>
              <w:t xml:space="preserve">Principle</w:t>
            </w:r>
          </w:p>
        </w:tc>
        <w:tc>
          <w:tcPr>
            <w:tcW w:type="dxa" w:w="2560"/>
            <w:shd w:fill="E4EEEB" w:color="auto" w:val="clear"/>
            <w:tcMar>
              <w:top w:type="dxa" w:w="90"/>
              <w:left w:type="dxa" w:w="120"/>
              <w:bottom w:type="dxa" w:w="90"/>
              <w:right w:type="dxa" w:w="120"/>
            </w:tcMar>
          </w:tcPr>
          <w:p>
            <w:pPr>
              <w:spacing w:after="0" w:line="260"/>
            </w:pPr>
            <w:r>
              <w:rPr>
                <w:b/>
                <w:bCs/>
                <w:color w:val="1E2830"/>
                <w:sz w:val="20"/>
                <w:szCs w:val="20"/>
              </w:rPr>
              <w:t xml:space="preserve">Indicator / sensor</w:t>
            </w:r>
          </w:p>
        </w:tc>
      </w:tr>
      <w:tr>
        <w:tc>
          <w:tcPr>
            <w:tcW w:type="dxa" w:w="500"/>
            <w:tcMar>
              <w:top w:type="dxa" w:w="90"/>
              <w:left w:type="dxa" w:w="120"/>
              <w:bottom w:type="dxa" w:w="90"/>
              <w:right w:type="dxa" w:w="120"/>
            </w:tcMar>
          </w:tcPr>
          <w:p>
            <w:pPr>
              <w:spacing w:after="0" w:line="260"/>
            </w:pPr>
            <w:r>
              <w:rPr>
                <w:color w:val="2B3640"/>
                <w:sz w:val="20"/>
                <w:szCs w:val="20"/>
              </w:rPr>
              <w:t xml:space="preserve">1</w:t>
            </w:r>
          </w:p>
        </w:tc>
        <w:tc>
          <w:tcPr>
            <w:tcW w:type="dxa" w:w="2400"/>
            <w:tcMar>
              <w:top w:type="dxa" w:w="90"/>
              <w:left w:type="dxa" w:w="120"/>
              <w:bottom w:type="dxa" w:w="90"/>
              <w:right w:type="dxa" w:w="120"/>
            </w:tcMar>
          </w:tcPr>
          <w:p>
            <w:pPr>
              <w:spacing w:after="0" w:line="260"/>
            </w:pPr>
            <w:r>
              <w:rPr>
                <w:color w:val="2B3640"/>
                <w:sz w:val="20"/>
                <w:szCs w:val="20"/>
              </w:rPr>
              <w:t xml:space="preserve">Determination of pH</w:t>
            </w:r>
          </w:p>
        </w:tc>
        <w:tc>
          <w:tcPr>
            <w:tcW w:type="dxa" w:w="3900"/>
            <w:tcMar>
              <w:top w:type="dxa" w:w="90"/>
              <w:left w:type="dxa" w:w="120"/>
              <w:bottom w:type="dxa" w:w="90"/>
              <w:right w:type="dxa" w:w="120"/>
            </w:tcMar>
          </w:tcPr>
          <w:p>
            <w:pPr>
              <w:spacing w:after="0" w:line="260"/>
            </w:pPr>
            <w:r>
              <w:rPr>
                <w:color w:val="2B3640"/>
                <w:sz w:val="20"/>
                <w:szCs w:val="20"/>
              </w:rPr>
              <w:t xml:space="preserve">Potentiometric measurement with a glass electrode</w:t>
            </w:r>
          </w:p>
        </w:tc>
        <w:tc>
          <w:tcPr>
            <w:tcW w:type="dxa" w:w="2560"/>
            <w:tcMar>
              <w:top w:type="dxa" w:w="90"/>
              <w:left w:type="dxa" w:w="120"/>
              <w:bottom w:type="dxa" w:w="90"/>
              <w:right w:type="dxa" w:w="120"/>
            </w:tcMar>
          </w:tcPr>
          <w:p>
            <w:pPr>
              <w:spacing w:after="0" w:line="260"/>
            </w:pPr>
            <w:r>
              <w:rPr>
                <w:color w:val="2B3640"/>
                <w:sz w:val="20"/>
                <w:szCs w:val="20"/>
              </w:rPr>
              <w:t xml:space="preserve">Combination glass electrode</w:t>
            </w:r>
          </w:p>
        </w:tc>
      </w:tr>
      <w:tr>
        <w:tc>
          <w:tcPr>
            <w:tcW w:type="dxa" w:w="500"/>
            <w:shd w:fill="F6F8F8" w:color="auto" w:val="clear"/>
            <w:tcMar>
              <w:top w:type="dxa" w:w="90"/>
              <w:left w:type="dxa" w:w="120"/>
              <w:bottom w:type="dxa" w:w="90"/>
              <w:right w:type="dxa" w:w="120"/>
            </w:tcMar>
          </w:tcPr>
          <w:p>
            <w:pPr>
              <w:spacing w:after="0" w:line="260"/>
            </w:pPr>
            <w:r>
              <w:rPr>
                <w:color w:val="2B3640"/>
                <w:sz w:val="20"/>
                <w:szCs w:val="20"/>
              </w:rPr>
              <w:t xml:space="preserve">2</w:t>
            </w:r>
          </w:p>
        </w:tc>
        <w:tc>
          <w:tcPr>
            <w:tcW w:type="dxa" w:w="2400"/>
            <w:shd w:fill="F6F8F8" w:color="auto" w:val="clear"/>
            <w:tcMar>
              <w:top w:type="dxa" w:w="90"/>
              <w:left w:type="dxa" w:w="120"/>
              <w:bottom w:type="dxa" w:w="90"/>
              <w:right w:type="dxa" w:w="120"/>
            </w:tcMar>
          </w:tcPr>
          <w:p>
            <w:pPr>
              <w:spacing w:after="0" w:line="260"/>
            </w:pPr>
            <w:r>
              <w:rPr>
                <w:color w:val="2B3640"/>
                <w:sz w:val="20"/>
                <w:szCs w:val="20"/>
              </w:rPr>
              <w:t xml:space="preserve">Total hardness</w:t>
            </w:r>
          </w:p>
        </w:tc>
        <w:tc>
          <w:tcPr>
            <w:tcW w:type="dxa" w:w="3900"/>
            <w:shd w:fill="F6F8F8" w:color="auto" w:val="clear"/>
            <w:tcMar>
              <w:top w:type="dxa" w:w="90"/>
              <w:left w:type="dxa" w:w="120"/>
              <w:bottom w:type="dxa" w:w="90"/>
              <w:right w:type="dxa" w:w="120"/>
            </w:tcMar>
          </w:tcPr>
          <w:p>
            <w:pPr>
              <w:spacing w:after="0" w:line="260"/>
            </w:pPr>
            <w:r>
              <w:rPr>
                <w:color w:val="2B3640"/>
                <w:sz w:val="20"/>
                <w:szCs w:val="20"/>
              </w:rPr>
              <w:t xml:space="preserve">Complexometric titration with EDTA at pH 10</w:t>
            </w:r>
          </w:p>
        </w:tc>
        <w:tc>
          <w:tcPr>
            <w:tcW w:type="dxa" w:w="2560"/>
            <w:shd w:fill="F6F8F8" w:color="auto" w:val="clear"/>
            <w:tcMar>
              <w:top w:type="dxa" w:w="90"/>
              <w:left w:type="dxa" w:w="120"/>
              <w:bottom w:type="dxa" w:w="90"/>
              <w:right w:type="dxa" w:w="120"/>
            </w:tcMar>
          </w:tcPr>
          <w:p>
            <w:pPr>
              <w:spacing w:after="0" w:line="260"/>
            </w:pPr>
            <w:r>
              <w:rPr>
                <w:color w:val="2B3640"/>
                <w:sz w:val="20"/>
                <w:szCs w:val="20"/>
              </w:rPr>
              <w:t xml:space="preserve">Eriochrome Black T</w:t>
            </w:r>
          </w:p>
        </w:tc>
      </w:tr>
      <w:tr>
        <w:tc>
          <w:tcPr>
            <w:tcW w:type="dxa" w:w="500"/>
            <w:tcMar>
              <w:top w:type="dxa" w:w="90"/>
              <w:left w:type="dxa" w:w="120"/>
              <w:bottom w:type="dxa" w:w="90"/>
              <w:right w:type="dxa" w:w="120"/>
            </w:tcMar>
          </w:tcPr>
          <w:p>
            <w:pPr>
              <w:spacing w:after="0" w:line="260"/>
            </w:pPr>
            <w:r>
              <w:rPr>
                <w:color w:val="2B3640"/>
                <w:sz w:val="20"/>
                <w:szCs w:val="20"/>
              </w:rPr>
              <w:t xml:space="preserve">3</w:t>
            </w:r>
          </w:p>
        </w:tc>
        <w:tc>
          <w:tcPr>
            <w:tcW w:type="dxa" w:w="2400"/>
            <w:tcMar>
              <w:top w:type="dxa" w:w="90"/>
              <w:left w:type="dxa" w:w="120"/>
              <w:bottom w:type="dxa" w:w="90"/>
              <w:right w:type="dxa" w:w="120"/>
            </w:tcMar>
          </w:tcPr>
          <w:p>
            <w:pPr>
              <w:spacing w:after="0" w:line="260"/>
            </w:pPr>
            <w:r>
              <w:rPr>
                <w:color w:val="2B3640"/>
                <w:sz w:val="20"/>
                <w:szCs w:val="20"/>
              </w:rPr>
              <w:t xml:space="preserve">Acid–base titration</w:t>
            </w:r>
          </w:p>
        </w:tc>
        <w:tc>
          <w:tcPr>
            <w:tcW w:type="dxa" w:w="3900"/>
            <w:tcMar>
              <w:top w:type="dxa" w:w="90"/>
              <w:left w:type="dxa" w:w="120"/>
              <w:bottom w:type="dxa" w:w="90"/>
              <w:right w:type="dxa" w:w="120"/>
            </w:tcMar>
          </w:tcPr>
          <w:p>
            <w:pPr>
              <w:spacing w:after="0" w:line="260"/>
            </w:pPr>
            <w:r>
              <w:rPr>
                <w:color w:val="2B3640"/>
                <w:sz w:val="20"/>
                <w:szCs w:val="20"/>
              </w:rPr>
              <w:t xml:space="preserve">Neutralisation, N₁V₁ = N₂V₂</w:t>
            </w:r>
          </w:p>
        </w:tc>
        <w:tc>
          <w:tcPr>
            <w:tcW w:type="dxa" w:w="2560"/>
            <w:tcMar>
              <w:top w:type="dxa" w:w="90"/>
              <w:left w:type="dxa" w:w="120"/>
              <w:bottom w:type="dxa" w:w="90"/>
              <w:right w:type="dxa" w:w="120"/>
            </w:tcMar>
          </w:tcPr>
          <w:p>
            <w:pPr>
              <w:spacing w:after="0" w:line="260"/>
            </w:pPr>
            <w:r>
              <w:rPr>
                <w:color w:val="2B3640"/>
                <w:sz w:val="20"/>
                <w:szCs w:val="20"/>
              </w:rPr>
              <w:t xml:space="preserve">Phenolphthalein</w:t>
            </w:r>
          </w:p>
        </w:tc>
      </w:tr>
      <w:tr>
        <w:tc>
          <w:tcPr>
            <w:tcW w:type="dxa" w:w="500"/>
            <w:shd w:fill="F6F8F8" w:color="auto" w:val="clear"/>
            <w:tcMar>
              <w:top w:type="dxa" w:w="90"/>
              <w:left w:type="dxa" w:w="120"/>
              <w:bottom w:type="dxa" w:w="90"/>
              <w:right w:type="dxa" w:w="120"/>
            </w:tcMar>
          </w:tcPr>
          <w:p>
            <w:pPr>
              <w:spacing w:after="0" w:line="260"/>
            </w:pPr>
            <w:r>
              <w:rPr>
                <w:color w:val="2B3640"/>
                <w:sz w:val="20"/>
                <w:szCs w:val="20"/>
              </w:rPr>
              <w:t xml:space="preserve">4</w:t>
            </w:r>
          </w:p>
        </w:tc>
        <w:tc>
          <w:tcPr>
            <w:tcW w:type="dxa" w:w="2400"/>
            <w:shd w:fill="F6F8F8" w:color="auto" w:val="clear"/>
            <w:tcMar>
              <w:top w:type="dxa" w:w="90"/>
              <w:left w:type="dxa" w:w="120"/>
              <w:bottom w:type="dxa" w:w="90"/>
              <w:right w:type="dxa" w:w="120"/>
            </w:tcMar>
          </w:tcPr>
          <w:p>
            <w:pPr>
              <w:spacing w:after="0" w:line="260"/>
            </w:pPr>
            <w:r>
              <w:rPr>
                <w:color w:val="2B3640"/>
                <w:sz w:val="20"/>
                <w:szCs w:val="20"/>
              </w:rPr>
              <w:t xml:space="preserve">Total alkalinity</w:t>
            </w:r>
          </w:p>
        </w:tc>
        <w:tc>
          <w:tcPr>
            <w:tcW w:type="dxa" w:w="3900"/>
            <w:shd w:fill="F6F8F8" w:color="auto" w:val="clear"/>
            <w:tcMar>
              <w:top w:type="dxa" w:w="90"/>
              <w:left w:type="dxa" w:w="120"/>
              <w:bottom w:type="dxa" w:w="90"/>
              <w:right w:type="dxa" w:w="120"/>
            </w:tcMar>
          </w:tcPr>
          <w:p>
            <w:pPr>
              <w:spacing w:after="0" w:line="260"/>
            </w:pPr>
            <w:r>
              <w:rPr>
                <w:color w:val="2B3640"/>
                <w:sz w:val="20"/>
                <w:szCs w:val="20"/>
              </w:rPr>
              <w:t xml:space="preserve">Titration against standard acid to the methyl orange end point</w:t>
            </w:r>
          </w:p>
        </w:tc>
        <w:tc>
          <w:tcPr>
            <w:tcW w:type="dxa" w:w="2560"/>
            <w:shd w:fill="F6F8F8" w:color="auto" w:val="clear"/>
            <w:tcMar>
              <w:top w:type="dxa" w:w="90"/>
              <w:left w:type="dxa" w:w="120"/>
              <w:bottom w:type="dxa" w:w="90"/>
              <w:right w:type="dxa" w:w="120"/>
            </w:tcMar>
          </w:tcPr>
          <w:p>
            <w:pPr>
              <w:spacing w:after="0" w:line="260"/>
            </w:pPr>
            <w:r>
              <w:rPr>
                <w:color w:val="2B3640"/>
                <w:sz w:val="20"/>
                <w:szCs w:val="20"/>
              </w:rPr>
              <w:t xml:space="preserve">Methyl orange</w:t>
            </w:r>
          </w:p>
        </w:tc>
      </w:tr>
      <w:tr>
        <w:tc>
          <w:tcPr>
            <w:tcW w:type="dxa" w:w="500"/>
            <w:tcMar>
              <w:top w:type="dxa" w:w="90"/>
              <w:left w:type="dxa" w:w="120"/>
              <w:bottom w:type="dxa" w:w="90"/>
              <w:right w:type="dxa" w:w="120"/>
            </w:tcMar>
          </w:tcPr>
          <w:p>
            <w:pPr>
              <w:spacing w:after="0" w:line="260"/>
            </w:pPr>
            <w:r>
              <w:rPr>
                <w:color w:val="2B3640"/>
                <w:sz w:val="20"/>
                <w:szCs w:val="20"/>
              </w:rPr>
              <w:t xml:space="preserve">5</w:t>
            </w:r>
          </w:p>
        </w:tc>
        <w:tc>
          <w:tcPr>
            <w:tcW w:type="dxa" w:w="2400"/>
            <w:tcMar>
              <w:top w:type="dxa" w:w="90"/>
              <w:left w:type="dxa" w:w="120"/>
              <w:bottom w:type="dxa" w:w="90"/>
              <w:right w:type="dxa" w:w="120"/>
            </w:tcMar>
          </w:tcPr>
          <w:p>
            <w:pPr>
              <w:spacing w:after="0" w:line="260"/>
            </w:pPr>
            <w:r>
              <w:rPr>
                <w:color w:val="2B3640"/>
                <w:sz w:val="20"/>
                <w:szCs w:val="20"/>
              </w:rPr>
              <w:t xml:space="preserve">Mixed alkalinity</w:t>
            </w:r>
          </w:p>
        </w:tc>
        <w:tc>
          <w:tcPr>
            <w:tcW w:type="dxa" w:w="3900"/>
            <w:tcMar>
              <w:top w:type="dxa" w:w="90"/>
              <w:left w:type="dxa" w:w="120"/>
              <w:bottom w:type="dxa" w:w="90"/>
              <w:right w:type="dxa" w:w="120"/>
            </w:tcMar>
          </w:tcPr>
          <w:p>
            <w:pPr>
              <w:spacing w:after="0" w:line="260"/>
            </w:pPr>
            <w:r>
              <w:rPr>
                <w:color w:val="2B3640"/>
                <w:sz w:val="20"/>
                <w:szCs w:val="20"/>
              </w:rPr>
              <w:t xml:space="preserve">Two-stage titration; species deduced from P and T</w:t>
            </w:r>
          </w:p>
        </w:tc>
        <w:tc>
          <w:tcPr>
            <w:tcW w:type="dxa" w:w="2560"/>
            <w:tcMar>
              <w:top w:type="dxa" w:w="90"/>
              <w:left w:type="dxa" w:w="120"/>
              <w:bottom w:type="dxa" w:w="90"/>
              <w:right w:type="dxa" w:w="120"/>
            </w:tcMar>
          </w:tcPr>
          <w:p>
            <w:pPr>
              <w:spacing w:after="0" w:line="260"/>
            </w:pPr>
            <w:r>
              <w:rPr>
                <w:color w:val="2B3640"/>
                <w:sz w:val="20"/>
                <w:szCs w:val="20"/>
              </w:rPr>
              <w:t xml:space="preserve">Phenolphthalein, then methyl orange</w:t>
            </w:r>
          </w:p>
        </w:tc>
      </w:tr>
      <w:tr>
        <w:tc>
          <w:tcPr>
            <w:tcW w:type="dxa" w:w="500"/>
            <w:shd w:fill="F6F8F8" w:color="auto" w:val="clear"/>
            <w:tcMar>
              <w:top w:type="dxa" w:w="90"/>
              <w:left w:type="dxa" w:w="120"/>
              <w:bottom w:type="dxa" w:w="90"/>
              <w:right w:type="dxa" w:w="120"/>
            </w:tcMar>
          </w:tcPr>
          <w:p>
            <w:pPr>
              <w:spacing w:after="0" w:line="260"/>
            </w:pPr>
            <w:r>
              <w:rPr>
                <w:color w:val="2B3640"/>
                <w:sz w:val="20"/>
                <w:szCs w:val="20"/>
              </w:rPr>
              <w:t xml:space="preserve">6</w:t>
            </w:r>
          </w:p>
        </w:tc>
        <w:tc>
          <w:tcPr>
            <w:tcW w:type="dxa" w:w="2400"/>
            <w:shd w:fill="F6F8F8" w:color="auto" w:val="clear"/>
            <w:tcMar>
              <w:top w:type="dxa" w:w="90"/>
              <w:left w:type="dxa" w:w="120"/>
              <w:bottom w:type="dxa" w:w="90"/>
              <w:right w:type="dxa" w:w="120"/>
            </w:tcMar>
          </w:tcPr>
          <w:p>
            <w:pPr>
              <w:spacing w:after="0" w:line="260"/>
            </w:pPr>
            <w:r>
              <w:rPr>
                <w:color w:val="2B3640"/>
                <w:sz w:val="20"/>
                <w:szCs w:val="20"/>
              </w:rPr>
              <w:t xml:space="preserve">Chloride content</w:t>
            </w:r>
          </w:p>
        </w:tc>
        <w:tc>
          <w:tcPr>
            <w:tcW w:type="dxa" w:w="3900"/>
            <w:shd w:fill="F6F8F8" w:color="auto" w:val="clear"/>
            <w:tcMar>
              <w:top w:type="dxa" w:w="90"/>
              <w:left w:type="dxa" w:w="120"/>
              <w:bottom w:type="dxa" w:w="90"/>
              <w:right w:type="dxa" w:w="120"/>
            </w:tcMar>
          </w:tcPr>
          <w:p>
            <w:pPr>
              <w:spacing w:after="0" w:line="260"/>
            </w:pPr>
            <w:r>
              <w:rPr>
                <w:color w:val="2B3640"/>
                <w:sz w:val="20"/>
                <w:szCs w:val="20"/>
              </w:rPr>
              <w:t xml:space="preserve">Argentometric (Mohr's) titration with silver nitrate</w:t>
            </w:r>
          </w:p>
        </w:tc>
        <w:tc>
          <w:tcPr>
            <w:tcW w:type="dxa" w:w="2560"/>
            <w:shd w:fill="F6F8F8" w:color="auto" w:val="clear"/>
            <w:tcMar>
              <w:top w:type="dxa" w:w="90"/>
              <w:left w:type="dxa" w:w="120"/>
              <w:bottom w:type="dxa" w:w="90"/>
              <w:right w:type="dxa" w:w="120"/>
            </w:tcMar>
          </w:tcPr>
          <w:p>
            <w:pPr>
              <w:spacing w:after="0" w:line="260"/>
            </w:pPr>
            <w:r>
              <w:rPr>
                <w:color w:val="2B3640"/>
                <w:sz w:val="20"/>
                <w:szCs w:val="20"/>
              </w:rPr>
              <w:t xml:space="preserve">Potassium chromate</w:t>
            </w:r>
          </w:p>
        </w:tc>
      </w:tr>
      <w:tr>
        <w:tc>
          <w:tcPr>
            <w:tcW w:type="dxa" w:w="500"/>
            <w:tcMar>
              <w:top w:type="dxa" w:w="90"/>
              <w:left w:type="dxa" w:w="120"/>
              <w:bottom w:type="dxa" w:w="90"/>
              <w:right w:type="dxa" w:w="120"/>
            </w:tcMar>
          </w:tcPr>
          <w:p>
            <w:pPr>
              <w:spacing w:after="0" w:line="260"/>
            </w:pPr>
            <w:r>
              <w:rPr>
                <w:color w:val="2B3640"/>
                <w:sz w:val="20"/>
                <w:szCs w:val="20"/>
              </w:rPr>
              <w:t xml:space="preserve">7</w:t>
            </w:r>
          </w:p>
        </w:tc>
        <w:tc>
          <w:tcPr>
            <w:tcW w:type="dxa" w:w="2400"/>
            <w:tcMar>
              <w:top w:type="dxa" w:w="90"/>
              <w:left w:type="dxa" w:w="120"/>
              <w:bottom w:type="dxa" w:w="90"/>
              <w:right w:type="dxa" w:w="120"/>
            </w:tcMar>
          </w:tcPr>
          <w:p>
            <w:pPr>
              <w:spacing w:after="0" w:line="260"/>
            </w:pPr>
            <w:r>
              <w:rPr>
                <w:color w:val="2B3640"/>
                <w:sz w:val="20"/>
                <w:szCs w:val="20"/>
              </w:rPr>
              <w:t xml:space="preserve">Electrical conductivity</w:t>
            </w:r>
          </w:p>
        </w:tc>
        <w:tc>
          <w:tcPr>
            <w:tcW w:type="dxa" w:w="3900"/>
            <w:tcMar>
              <w:top w:type="dxa" w:w="90"/>
              <w:left w:type="dxa" w:w="120"/>
              <w:bottom w:type="dxa" w:w="90"/>
              <w:right w:type="dxa" w:w="120"/>
            </w:tcMar>
          </w:tcPr>
          <w:p>
            <w:pPr>
              <w:spacing w:after="0" w:line="260"/>
            </w:pPr>
            <w:r>
              <w:rPr>
                <w:color w:val="2B3640"/>
                <w:sz w:val="20"/>
                <w:szCs w:val="20"/>
              </w:rPr>
              <w:t xml:space="preserve">Conductance measured with a dip-type cell</w:t>
            </w:r>
          </w:p>
        </w:tc>
        <w:tc>
          <w:tcPr>
            <w:tcW w:type="dxa" w:w="2560"/>
            <w:tcMar>
              <w:top w:type="dxa" w:w="90"/>
              <w:left w:type="dxa" w:w="120"/>
              <w:bottom w:type="dxa" w:w="90"/>
              <w:right w:type="dxa" w:w="120"/>
            </w:tcMar>
          </w:tcPr>
          <w:p>
            <w:pPr>
              <w:spacing w:after="0" w:line="260"/>
            </w:pPr>
            <w:r>
              <w:rPr>
                <w:color w:val="2B3640"/>
                <w:sz w:val="20"/>
                <w:szCs w:val="20"/>
              </w:rPr>
              <w:t xml:space="preserve">Conductivity cell</w:t>
            </w:r>
          </w:p>
        </w:tc>
      </w:tr>
      <w:tr>
        <w:tc>
          <w:tcPr>
            <w:tcW w:type="dxa" w:w="500"/>
            <w:shd w:fill="F6F8F8" w:color="auto" w:val="clear"/>
            <w:tcMar>
              <w:top w:type="dxa" w:w="90"/>
              <w:left w:type="dxa" w:w="120"/>
              <w:bottom w:type="dxa" w:w="90"/>
              <w:right w:type="dxa" w:w="120"/>
            </w:tcMar>
          </w:tcPr>
          <w:p>
            <w:pPr>
              <w:spacing w:after="0" w:line="260"/>
            </w:pPr>
            <w:r>
              <w:rPr>
                <w:color w:val="2B3640"/>
                <w:sz w:val="20"/>
                <w:szCs w:val="20"/>
              </w:rPr>
              <w:t xml:space="preserve">8</w:t>
            </w:r>
          </w:p>
        </w:tc>
        <w:tc>
          <w:tcPr>
            <w:tcW w:type="dxa" w:w="2400"/>
            <w:shd w:fill="F6F8F8" w:color="auto" w:val="clear"/>
            <w:tcMar>
              <w:top w:type="dxa" w:w="90"/>
              <w:left w:type="dxa" w:w="120"/>
              <w:bottom w:type="dxa" w:w="90"/>
              <w:right w:type="dxa" w:w="120"/>
            </w:tcMar>
          </w:tcPr>
          <w:p>
            <w:pPr>
              <w:spacing w:after="0" w:line="260"/>
            </w:pPr>
            <w:r>
              <w:rPr>
                <w:color w:val="2B3640"/>
                <w:sz w:val="20"/>
                <w:szCs w:val="20"/>
              </w:rPr>
              <w:t xml:space="preserve">Total dissolved solids</w:t>
            </w:r>
          </w:p>
        </w:tc>
        <w:tc>
          <w:tcPr>
            <w:tcW w:type="dxa" w:w="3900"/>
            <w:shd w:fill="F6F8F8" w:color="auto" w:val="clear"/>
            <w:tcMar>
              <w:top w:type="dxa" w:w="90"/>
              <w:left w:type="dxa" w:w="120"/>
              <w:bottom w:type="dxa" w:w="90"/>
              <w:right w:type="dxa" w:w="120"/>
            </w:tcMar>
          </w:tcPr>
          <w:p>
            <w:pPr>
              <w:spacing w:after="0" w:line="260"/>
            </w:pPr>
            <w:r>
              <w:rPr>
                <w:color w:val="2B3640"/>
                <w:sz w:val="20"/>
                <w:szCs w:val="20"/>
              </w:rPr>
              <w:t xml:space="preserve">Computed from conductivity by the empirical factor</w:t>
            </w:r>
          </w:p>
        </w:tc>
        <w:tc>
          <w:tcPr>
            <w:tcW w:type="dxa" w:w="2560"/>
            <w:shd w:fill="F6F8F8" w:color="auto" w:val="clear"/>
            <w:tcMar>
              <w:top w:type="dxa" w:w="90"/>
              <w:left w:type="dxa" w:w="120"/>
              <w:bottom w:type="dxa" w:w="90"/>
              <w:right w:type="dxa" w:w="120"/>
            </w:tcMar>
          </w:tcPr>
          <w:p>
            <w:pPr>
              <w:spacing w:after="0" w:line="260"/>
            </w:pPr>
            <w:r>
              <w:rPr>
                <w:color w:val="2B3640"/>
                <w:sz w:val="20"/>
                <w:szCs w:val="20"/>
              </w:rPr>
              <w:t xml:space="preserve">Conductivity cell</w:t>
            </w:r>
          </w:p>
        </w:tc>
      </w:tr>
      <w:tr>
        <w:tc>
          <w:tcPr>
            <w:tcW w:type="dxa" w:w="500"/>
            <w:tcMar>
              <w:top w:type="dxa" w:w="90"/>
              <w:left w:type="dxa" w:w="120"/>
              <w:bottom w:type="dxa" w:w="90"/>
              <w:right w:type="dxa" w:w="120"/>
            </w:tcMar>
          </w:tcPr>
          <w:p>
            <w:pPr>
              <w:spacing w:after="0" w:line="260"/>
            </w:pPr>
            <w:r>
              <w:rPr>
                <w:color w:val="2B3640"/>
                <w:sz w:val="20"/>
                <w:szCs w:val="20"/>
              </w:rPr>
              <w:t xml:space="preserve">9</w:t>
            </w:r>
          </w:p>
        </w:tc>
        <w:tc>
          <w:tcPr>
            <w:tcW w:type="dxa" w:w="2400"/>
            <w:tcMar>
              <w:top w:type="dxa" w:w="90"/>
              <w:left w:type="dxa" w:w="120"/>
              <w:bottom w:type="dxa" w:w="90"/>
              <w:right w:type="dxa" w:w="120"/>
            </w:tcMar>
          </w:tcPr>
          <w:p>
            <w:pPr>
              <w:spacing w:after="0" w:line="260"/>
            </w:pPr>
            <w:r>
              <w:rPr>
                <w:color w:val="2B3640"/>
                <w:sz w:val="20"/>
                <w:szCs w:val="20"/>
              </w:rPr>
              <w:t xml:space="preserve">Turbidity</w:t>
            </w:r>
          </w:p>
        </w:tc>
        <w:tc>
          <w:tcPr>
            <w:tcW w:type="dxa" w:w="3900"/>
            <w:tcMar>
              <w:top w:type="dxa" w:w="90"/>
              <w:left w:type="dxa" w:w="120"/>
              <w:bottom w:type="dxa" w:w="90"/>
              <w:right w:type="dxa" w:w="120"/>
            </w:tcMar>
          </w:tcPr>
          <w:p>
            <w:pPr>
              <w:spacing w:after="0" w:line="260"/>
            </w:pPr>
            <w:r>
              <w:rPr>
                <w:color w:val="2B3640"/>
                <w:sz w:val="20"/>
                <w:szCs w:val="20"/>
              </w:rPr>
              <w:t xml:space="preserve">Nephelometric measurement of scattered light</w:t>
            </w:r>
          </w:p>
        </w:tc>
        <w:tc>
          <w:tcPr>
            <w:tcW w:type="dxa" w:w="2560"/>
            <w:tcMar>
              <w:top w:type="dxa" w:w="90"/>
              <w:left w:type="dxa" w:w="120"/>
              <w:bottom w:type="dxa" w:w="90"/>
              <w:right w:type="dxa" w:w="120"/>
            </w:tcMar>
          </w:tcPr>
          <w:p>
            <w:pPr>
              <w:spacing w:after="0" w:line="260"/>
            </w:pPr>
            <w:r>
              <w:rPr>
                <w:color w:val="2B3640"/>
                <w:sz w:val="20"/>
                <w:szCs w:val="20"/>
              </w:rPr>
              <w:t xml:space="preserve">Nephelometer</w:t>
            </w:r>
          </w:p>
        </w:tc>
      </w:tr>
      <w:tr>
        <w:tc>
          <w:tcPr>
            <w:tcW w:type="dxa" w:w="500"/>
            <w:shd w:fill="F6F8F8" w:color="auto" w:val="clear"/>
            <w:tcMar>
              <w:top w:type="dxa" w:w="90"/>
              <w:left w:type="dxa" w:w="120"/>
              <w:bottom w:type="dxa" w:w="90"/>
              <w:right w:type="dxa" w:w="120"/>
            </w:tcMar>
          </w:tcPr>
          <w:p>
            <w:pPr>
              <w:spacing w:after="0" w:line="260"/>
            </w:pPr>
            <w:r>
              <w:rPr>
                <w:color w:val="2B3640"/>
                <w:sz w:val="20"/>
                <w:szCs w:val="20"/>
              </w:rPr>
              <w:t xml:space="preserve">10</w:t>
            </w:r>
          </w:p>
        </w:tc>
        <w:tc>
          <w:tcPr>
            <w:tcW w:type="dxa" w:w="2400"/>
            <w:shd w:fill="F6F8F8" w:color="auto" w:val="clear"/>
            <w:tcMar>
              <w:top w:type="dxa" w:w="90"/>
              <w:left w:type="dxa" w:w="120"/>
              <w:bottom w:type="dxa" w:w="90"/>
              <w:right w:type="dxa" w:w="120"/>
            </w:tcMar>
          </w:tcPr>
          <w:p>
            <w:pPr>
              <w:spacing w:after="0" w:line="260"/>
            </w:pPr>
            <w:r>
              <w:rPr>
                <w:color w:val="2B3640"/>
                <w:sz w:val="20"/>
                <w:szCs w:val="20"/>
              </w:rPr>
              <w:t xml:space="preserve">Standard hard water</w:t>
            </w:r>
          </w:p>
        </w:tc>
        <w:tc>
          <w:tcPr>
            <w:tcW w:type="dxa" w:w="3900"/>
            <w:shd w:fill="F6F8F8" w:color="auto" w:val="clear"/>
            <w:tcMar>
              <w:top w:type="dxa" w:w="90"/>
              <w:left w:type="dxa" w:w="120"/>
              <w:bottom w:type="dxa" w:w="90"/>
              <w:right w:type="dxa" w:w="120"/>
            </w:tcMar>
          </w:tcPr>
          <w:p>
            <w:pPr>
              <w:spacing w:after="0" w:line="260"/>
            </w:pPr>
            <w:r>
              <w:rPr>
                <w:color w:val="2B3640"/>
                <w:sz w:val="20"/>
                <w:szCs w:val="20"/>
              </w:rPr>
              <w:t xml:space="preserve">Preparation of a CaCO₃ solution of known strength</w:t>
            </w:r>
          </w:p>
        </w:tc>
        <w:tc>
          <w:tcPr>
            <w:tcW w:type="dxa" w:w="2560"/>
            <w:shd w:fill="F6F8F8" w:color="auto" w:val="clear"/>
            <w:tcMar>
              <w:top w:type="dxa" w:w="90"/>
              <w:left w:type="dxa" w:w="120"/>
              <w:bottom w:type="dxa" w:w="90"/>
              <w:right w:type="dxa" w:w="120"/>
            </w:tcMar>
          </w:tcPr>
          <w:p>
            <w:pPr>
              <w:spacing w:after="0" w:line="260"/>
            </w:pPr>
            <w:r>
              <w:rPr>
                <w:color w:val="2B3640"/>
                <w:sz w:val="20"/>
                <w:szCs w:val="20"/>
              </w:rPr>
              <w:t xml:space="preserve">Analytical balance</w:t>
            </w:r>
          </w:p>
        </w:tc>
      </w:tr>
    </w:tbl>
    <w:p>
      <w:pPr>
        <w:spacing w:after="200" w:before="80"/>
      </w:pPr>
      <w:r>
        <w:rPr>
          <w:i/>
          <w:iCs/>
          <w:color w:val="4A5560"/>
          <w:sz w:val="18"/>
          <w:szCs w:val="18"/>
        </w:rPr>
        <w:t xml:space="preserve">Table 7.1 — The ten experiments and their basis.</w:t>
      </w:r>
    </w:p>
    <w:p>
      <w:pPr>
        <w:spacing w:after="120" w:line="300"/>
      </w:pPr>
      <w:r>
        <w:rPr>
          <w:sz w:val="22"/>
          <w:szCs w:val="22"/>
        </w:rPr>
        <w:t xml:space="preserve">Each experiment is presented with the full set of practical headings — objective, apparatus, chemicals, theory, procedure, observation table, calculation, result and precautions — as tabs in the left-hand panel, so that the report the student writes afterwards can be assembled from the same material.</w:t>
      </w:r>
    </w:p>
    <w:p>
      <w:pPr>
        <w:pStyle w:val="Heading1"/>
        <w:spacing w:after="160" w:before="360"/>
      </w:pPr>
      <w:r>
        <w:rPr>
          <w:b/>
          <w:bCs/>
          <w:color w:val="1F7A68"/>
          <w:sz w:val="30"/>
          <w:szCs w:val="30"/>
        </w:rPr>
        <w:t xml:space="preserve">8. Procedure Enforcement and the State Machine</w:t>
      </w:r>
    </w:p>
    <w:p>
      <w:pPr>
        <w:pStyle w:val="Heading2"/>
        <w:spacing w:after="120" w:before="260"/>
      </w:pPr>
      <w:r>
        <w:rPr>
          <w:b/>
          <w:bCs/>
          <w:color w:val="1E2830"/>
          <w:sz w:val="25"/>
          <w:szCs w:val="25"/>
        </w:rPr>
        <w:t xml:space="preserve">8.1 Phases</w:t>
      </w:r>
    </w:p>
    <w:p>
      <w:pPr>
        <w:spacing w:after="120" w:line="300"/>
      </w:pPr>
      <w:r>
        <w:rPr>
          <w:sz w:val="22"/>
          <w:szCs w:val="22"/>
        </w:rPr>
        <w:t xml:space="preserve">Every experiment run advances through an explicit sequence of phases. The controller will only accept actions appropriate to the current phase, which is what allows it to explain a refusal rather than merely ignoring a click.</w:t>
      </w:r>
    </w:p>
    <w:p>
      <w:pPr>
        <w:spacing w:after="100" w:line="260"/>
        <w:ind w:left="360"/>
      </w:pPr>
      <w:r>
        <w:rPr>
          <w:rFonts w:ascii="Consolas" w:cs="Consolas" w:eastAsia="Consolas" w:hAnsi="Consolas"/>
          <w:color w:val="2B3640"/>
          <w:sz w:val="19"/>
          <w:szCs w:val="19"/>
        </w:rPr>
        <w:t xml:space="preserve">IDLE → PREPARE → RINSE → FILL → MEASURE → ADD_REAGENT</w:t>
      </w:r>
    </w:p>
    <w:p>
      <w:pPr>
        <w:spacing w:after="100" w:line="260"/>
        <w:ind w:left="360"/>
      </w:pPr>
      <w:r>
        <w:rPr>
          <w:rFonts w:ascii="Consolas" w:cs="Consolas" w:eastAsia="Consolas" w:hAnsi="Consolas"/>
          <w:color w:val="2B3640"/>
          <w:sz w:val="19"/>
          <w:szCs w:val="19"/>
        </w:rPr>
        <w:t xml:space="preserve">     → TITRATE → APPROACH_ENDPOINT → ENDPOINT → CALCULATE → RESULT</w:t>
      </w:r>
    </w:p>
    <w:p>
      <w:pPr>
        <w:pStyle w:val="Heading2"/>
        <w:spacing w:after="120" w:before="260"/>
      </w:pPr>
      <w:r>
        <w:rPr>
          <w:b/>
          <w:bCs/>
          <w:color w:val="1E2830"/>
          <w:sz w:val="25"/>
          <w:szCs w:val="25"/>
        </w:rPr>
        <w:t xml:space="preserve">8.2 Two modes</w:t>
      </w:r>
    </w:p>
    <w:p>
      <w:pPr>
        <w:spacing w:after="120" w:line="300"/>
      </w:pPr>
      <w:r>
        <w:rPr>
          <w:sz w:val="22"/>
          <w:szCs w:val="22"/>
        </w:rPr>
        <w:t xml:space="preserve">In Guided Mode the current procedural step is highlighted, the permitted action is offered, and departing from the order is refused with an explanatory message. In Free Practice Mode the procedure panel still tracks progress, but only physically impossible actions are blocked — the student may add the indicator before the buffer and discover the consequence for the end point. The mode is intended to be switched from the first to the second as familiarity grows.</w:t>
      </w:r>
    </w:p>
    <w:p>
      <w:pPr>
        <w:pStyle w:val="Heading2"/>
        <w:spacing w:after="120" w:before="260"/>
      </w:pPr>
      <w:r>
        <w:rPr>
          <w:b/>
          <w:bCs/>
          <w:color w:val="1E2830"/>
          <w:sz w:val="25"/>
          <w:szCs w:val="25"/>
        </w:rPr>
        <w:t xml:space="preserve">8.3 Examples of enforced rules</w:t>
      </w:r>
    </w:p>
    <w:p>
      <w:pPr>
        <w:pStyle w:val="ListParagraph"/>
        <w:numPr>
          <w:ilvl w:val="0"/>
          <w:numId w:val="3"/>
        </w:numPr>
        <w:spacing w:after="80" w:line="300"/>
      </w:pPr>
      <w:r>
        <w:rPr>
          <w:sz w:val="22"/>
          <w:szCs w:val="22"/>
        </w:rPr>
        <w:t xml:space="preserve">The burette must be rinsed with the titrant before it is filled, or a dilution warning is raised.</w:t>
      </w:r>
    </w:p>
    <w:p>
      <w:pPr>
        <w:pStyle w:val="ListParagraph"/>
        <w:numPr>
          <w:ilvl w:val="0"/>
          <w:numId w:val="3"/>
        </w:numPr>
        <w:spacing w:after="80" w:line="300"/>
      </w:pPr>
      <w:r>
        <w:rPr>
          <w:sz w:val="22"/>
          <w:szCs w:val="22"/>
        </w:rPr>
        <w:t xml:space="preserve">The stopcock cannot be opened before the burette has been filled and the initial reading recorded.</w:t>
      </w:r>
    </w:p>
    <w:p>
      <w:pPr>
        <w:pStyle w:val="ListParagraph"/>
        <w:numPr>
          <w:ilvl w:val="0"/>
          <w:numId w:val="3"/>
        </w:numPr>
        <w:spacing w:after="80" w:line="300"/>
      </w:pPr>
      <w:r>
        <w:rPr>
          <w:sz w:val="22"/>
          <w:szCs w:val="22"/>
        </w:rPr>
        <w:t xml:space="preserve">The ammonia buffer must be added before Eriochrome Black T, since the indicator only gives its characteristic colours at pH 10.</w:t>
      </w:r>
    </w:p>
    <w:p>
      <w:pPr>
        <w:pStyle w:val="ListParagraph"/>
        <w:numPr>
          <w:ilvl w:val="0"/>
          <w:numId w:val="3"/>
        </w:numPr>
        <w:spacing w:after="80" w:line="300"/>
      </w:pPr>
      <w:r>
        <w:rPr>
          <w:sz w:val="22"/>
          <w:szCs w:val="22"/>
        </w:rPr>
        <w:t xml:space="preserve">The sample must be in the flask before any indicator is added.</w:t>
      </w:r>
    </w:p>
    <w:p>
      <w:pPr>
        <w:pStyle w:val="ListParagraph"/>
        <w:numPr>
          <w:ilvl w:val="0"/>
          <w:numId w:val="3"/>
        </w:numPr>
        <w:spacing w:after="80" w:line="300"/>
      </w:pPr>
      <w:r>
        <w:rPr>
          <w:sz w:val="22"/>
          <w:szCs w:val="22"/>
        </w:rPr>
        <w:t xml:space="preserve">The electrode must be rinsed with distilled water between the buffer and the sample.</w:t>
      </w:r>
    </w:p>
    <w:p>
      <w:pPr>
        <w:pStyle w:val="ListParagraph"/>
        <w:numPr>
          <w:ilvl w:val="0"/>
          <w:numId w:val="3"/>
        </w:numPr>
        <w:spacing w:after="80" w:line="300"/>
      </w:pPr>
      <w:r>
        <w:rPr>
          <w:sz w:val="22"/>
          <w:szCs w:val="22"/>
        </w:rPr>
        <w:t xml:space="preserve">Titration beyond the capacity of the burette raises an empty-burette error rather than silently continuing.</w:t>
      </w:r>
    </w:p>
    <w:p>
      <w:pPr>
        <w:pStyle w:val="Heading1"/>
        <w:spacing w:after="160" w:before="360"/>
      </w:pPr>
      <w:r>
        <w:rPr>
          <w:b/>
          <w:bCs/>
          <w:color w:val="1F7A68"/>
          <w:sz w:val="30"/>
          <w:szCs w:val="30"/>
        </w:rPr>
        <w:t xml:space="preserve">9. Animation and Interaction</w:t>
      </w:r>
    </w:p>
    <w:p>
      <w:pPr>
        <w:pStyle w:val="Heading2"/>
        <w:spacing w:after="120" w:before="260"/>
      </w:pPr>
      <w:r>
        <w:rPr>
          <w:b/>
          <w:bCs/>
          <w:color w:val="1E2830"/>
          <w:sz w:val="25"/>
          <w:szCs w:val="25"/>
        </w:rPr>
        <w:t xml:space="preserve">9.1 The animation engine</w:t>
      </w:r>
    </w:p>
    <w:p>
      <w:pPr>
        <w:spacing w:after="120" w:line="300"/>
      </w:pPr>
      <w:r>
        <w:rPr>
          <w:sz w:val="22"/>
          <w:szCs w:val="22"/>
        </w:rPr>
        <w:t xml:space="preserve">All motion is driven by a small promise-based tween system, so that a compound operation such as pipetting can be written as a readable sequence of awaited steps: lower the pipette into the sample bottle, draw the liquid above the graduation mark, lift, wipe, adjust to the mark, move to the flask, touch the wall and drain. Each tween respects the global speed setting of half, normal or double, and honours the pause control, so a demonstration can be frozen mid-titration and discussed.</w:t>
      </w:r>
    </w:p>
    <w:p>
      <w:pPr>
        <w:pStyle w:val="Heading2"/>
        <w:spacing w:after="120" w:before="260"/>
      </w:pPr>
      <w:r>
        <w:rPr>
          <w:b/>
          <w:bCs/>
          <w:color w:val="1E2830"/>
          <w:sz w:val="25"/>
          <w:szCs w:val="25"/>
        </w:rPr>
        <w:t xml:space="preserve">9.2 Liquid behaviour</w:t>
      </w:r>
    </w:p>
    <w:p>
      <w:pPr>
        <w:pStyle w:val="ListParagraph"/>
        <w:numPr>
          <w:ilvl w:val="0"/>
          <w:numId w:val="3"/>
        </w:numPr>
        <w:spacing w:after="80" w:line="300"/>
      </w:pPr>
      <w:r>
        <w:rPr>
          <w:sz w:val="22"/>
          <w:szCs w:val="22"/>
        </w:rPr>
        <w:t xml:space="preserve">Falling drops are drawn from a pooled set of small stretched spheres under gravity, so that drop-by-drop addition near the end point is visible individually.</w:t>
      </w:r>
    </w:p>
    <w:p>
      <w:pPr>
        <w:pStyle w:val="ListParagraph"/>
        <w:numPr>
          <w:ilvl w:val="0"/>
          <w:numId w:val="3"/>
        </w:numPr>
        <w:spacing w:after="80" w:line="300"/>
      </w:pPr>
      <w:r>
        <w:rPr>
          <w:sz w:val="22"/>
          <w:szCs w:val="22"/>
        </w:rPr>
        <w:t xml:space="preserve">A continuous pour is a single reused stream mesh scaled between the source lip and the receiving surface, rather than a particle system, which keeps the frame rate stable.</w:t>
      </w:r>
    </w:p>
    <w:p>
      <w:pPr>
        <w:pStyle w:val="ListParagraph"/>
        <w:numPr>
          <w:ilvl w:val="0"/>
          <w:numId w:val="3"/>
        </w:numPr>
        <w:spacing w:after="80" w:line="300"/>
      </w:pPr>
      <w:r>
        <w:rPr>
          <w:sz w:val="22"/>
          <w:szCs w:val="22"/>
        </w:rPr>
        <w:t xml:space="preserve">Levels change by scaling a pre-built liquid mesh along its vertical axis only; geometry is never rebuilt during animation.</w:t>
      </w:r>
    </w:p>
    <w:p>
      <w:pPr>
        <w:pStyle w:val="ListParagraph"/>
        <w:numPr>
          <w:ilvl w:val="0"/>
          <w:numId w:val="3"/>
        </w:numPr>
        <w:spacing w:after="80" w:line="300"/>
      </w:pPr>
      <w:r>
        <w:rPr>
          <w:sz w:val="22"/>
          <w:szCs w:val="22"/>
        </w:rPr>
        <w:t xml:space="preserve">Swirling tilts and rotates the flask while the liquid surface follows with a lag, and the magnetic stirrer produces a rotating vortex.</w:t>
      </w:r>
    </w:p>
    <w:p>
      <w:pPr>
        <w:pStyle w:val="ListParagraph"/>
        <w:numPr>
          <w:ilvl w:val="0"/>
          <w:numId w:val="3"/>
        </w:numPr>
        <w:spacing w:after="80" w:line="300"/>
      </w:pPr>
      <w:r>
        <w:rPr>
          <w:sz w:val="22"/>
          <w:szCs w:val="22"/>
        </w:rPr>
        <w:t xml:space="preserve">Indicator colour is interpolated continuously with the transition concentrated in the final few percent before the end point, giving the characteristic flash of colour on the last drop.</w:t>
      </w:r>
    </w:p>
    <w:p>
      <w:pPr>
        <w:pStyle w:val="ListParagraph"/>
        <w:numPr>
          <w:ilvl w:val="0"/>
          <w:numId w:val="3"/>
        </w:numPr>
        <w:spacing w:after="80" w:line="300"/>
      </w:pPr>
      <w:r>
        <w:rPr>
          <w:sz w:val="22"/>
          <w:szCs w:val="22"/>
        </w:rPr>
        <w:t xml:space="preserve">Instrument readings settle rather than snap: a value is displayed with decaying noise for a second or two before stabilising, as a real meter does.</w:t>
      </w:r>
    </w:p>
    <w:p>
      <w:pPr>
        <w:pStyle w:val="Heading2"/>
        <w:spacing w:after="120" w:before="260"/>
      </w:pPr>
      <w:r>
        <w:rPr>
          <w:b/>
          <w:bCs/>
          <w:color w:val="1E2830"/>
          <w:sz w:val="25"/>
          <w:szCs w:val="25"/>
        </w:rPr>
        <w:t xml:space="preserve">9.3 Interaction and accessibility</w:t>
      </w:r>
    </w:p>
    <w:p>
      <w:pPr>
        <w:spacing w:after="120" w:line="300"/>
      </w:pPr>
      <w:r>
        <w:rPr>
          <w:sz w:val="22"/>
          <w:szCs w:val="22"/>
        </w:rPr>
        <w:t xml:space="preserve">Objects respond to the pointer with a restrained highlight — a ring on the bench beneath the object and a floating label — rather than a glow, which would look wrong on glass. The space bar operates the stopcock, B gives a close-up of the burette and R returns to the overview. A reduced-motion preference, taken either from the operating system or from the switch in the top bar, shortens every tween to its end state and suppresses droplets, so that the simulator remains usable by students affected by motion.</w:t>
      </w:r>
    </w:p>
    <w:p>
      <w:pPr>
        <w:pStyle w:val="Heading1"/>
        <w:spacing w:after="160" w:before="360"/>
      </w:pPr>
      <w:r>
        <w:rPr>
          <w:b/>
          <w:bCs/>
          <w:color w:val="1F7A68"/>
          <w:sz w:val="30"/>
          <w:szCs w:val="30"/>
        </w:rPr>
        <w:t xml:space="preserve">10. User Interface</w:t>
      </w:r>
    </w:p>
    <w:p>
      <w:pPr>
        <w:pStyle w:val="Heading2"/>
        <w:spacing w:after="120" w:before="260"/>
      </w:pPr>
      <w:r>
        <w:rPr>
          <w:b/>
          <w:bCs/>
          <w:color w:val="1E2830"/>
          <w:sz w:val="25"/>
          <w:szCs w:val="25"/>
        </w:rPr>
        <w:t xml:space="preserve">10.1 Layout</w:t>
      </w:r>
    </w:p>
    <w:p>
      <w:pPr>
        <w:spacing w:after="120" w:line="300"/>
      </w:pPr>
      <w:r>
        <w:rPr>
          <w:sz w:val="22"/>
          <w:szCs w:val="22"/>
        </w:rPr>
        <w:t xml:space="preserve">The screen is divided into four regions that remain visible simultaneously, so that the student never loses sight of the procedure while working on the bench. The left panel lists the experiments and samples and carries the nine theory tabs. The centre is the three-dimensional laboratory. The right panel holds the procedure with the current step highlighted and the live burette readings. The bottom strip contains the observation table and the calculation and result sheet.</w:t>
      </w:r>
    </w:p>
    <w:p>
      <w:pPr>
        <w:pStyle w:val="Heading2"/>
        <w:spacing w:after="120" w:before="260"/>
      </w:pPr>
      <w:r>
        <w:rPr>
          <w:b/>
          <w:bCs/>
          <w:color w:val="1E2830"/>
          <w:sz w:val="25"/>
          <w:szCs w:val="25"/>
        </w:rPr>
        <w:t xml:space="preserve">10.2 Readings and results</w:t>
      </w:r>
    </w:p>
    <w:p>
      <w:pPr>
        <w:spacing w:after="120" w:line="300"/>
      </w:pPr>
      <w:r>
        <w:rPr>
          <w:sz w:val="22"/>
          <w:szCs w:val="22"/>
        </w:rPr>
        <w:t xml:space="preserve">The bench heads-up display shows the initial reading, the current reading, the final reading and the volume delivered, together with the present colour of the flask contents and the phase of the experiment. After the end point is recorded, the calculation panel presents the formula, the substitution of the student’s own figures, the arithmetic and the final result with its unit, correct number of decimal places and interpretive remark. Saved observations accumulate in the table so that concordant readings can be compared, and the session is preserved locally so that the work survives a page reload.</w:t>
      </w:r>
    </w:p>
    <w:p>
      <w:pPr>
        <w:pStyle w:val="Heading2"/>
        <w:spacing w:after="120" w:before="260"/>
      </w:pPr>
      <w:r>
        <w:rPr>
          <w:b/>
          <w:bCs/>
          <w:color w:val="1E2830"/>
          <w:sz w:val="25"/>
          <w:szCs w:val="25"/>
        </w:rPr>
        <w:t xml:space="preserve">10.3 Feedback</w:t>
      </w:r>
    </w:p>
    <w:p>
      <w:pPr>
        <w:spacing w:after="120" w:line="300"/>
      </w:pPr>
      <w:r>
        <w:rPr>
          <w:sz w:val="22"/>
          <w:szCs w:val="22"/>
        </w:rPr>
        <w:t xml:space="preserve">Refused actions, approach to the end point, over-shooting and low reagent stock are reported through brief non-blocking messages. Reagent stock is shown as a bar for each bottle and decreases as reagents are consumed, which makes the cost of repeated practice visible in the same way it is in a real laboratory.</w:t>
      </w:r>
    </w:p>
    <w:p>
      <w:pPr>
        <w:pStyle w:val="Heading1"/>
        <w:spacing w:after="160" w:before="360"/>
      </w:pPr>
      <w:r>
        <w:rPr>
          <w:b/>
          <w:bCs/>
          <w:color w:val="1F7A68"/>
          <w:sz w:val="30"/>
          <w:szCs w:val="30"/>
        </w:rPr>
        <w:t xml:space="preserve">11. Verification</w:t>
      </w:r>
    </w:p>
    <w:p>
      <w:pPr>
        <w:spacing w:after="120" w:line="300"/>
      </w:pPr>
      <w:r>
        <w:rPr>
          <w:sz w:val="22"/>
          <w:szCs w:val="22"/>
        </w:rPr>
        <w:t xml:space="preserve">The chemistry engine was checked by working each supported determination by hand for the built-in samples and confirming that the titre the simulator requires matches the value calculated from the sample composition.</w:t>
      </w:r>
    </w:p>
    <w:tbl>
      <w:tblPr>
        <w:tblW w:type="dxa" w:w="9360"/>
        <w:tblBorders>
          <w:top w:val="single" w:color="C3CDCB" w:sz="4"/>
          <w:left w:val="single" w:color="C3CDCB" w:sz="4"/>
          <w:bottom w:val="single" w:color="C3CDCB" w:sz="4"/>
          <w:right w:val="single" w:color="C3CDCB" w:sz="4"/>
          <w:insideH w:val="single" w:color="D8E0DE" w:sz="2"/>
          <w:insideV w:val="single" w:color="D8E0DE" w:sz="2"/>
        </w:tblBorders>
      </w:tblPr>
      <w:tblGrid>
        <w:gridCol w:w="3000"/>
        <w:gridCol w:w="1900"/>
        <w:gridCol w:w="2000"/>
        <w:gridCol w:w="2460"/>
      </w:tblGrid>
      <w:tr>
        <w:trPr>
          <w:tblHeader/>
        </w:trPr>
        <w:tc>
          <w:tcPr>
            <w:tcW w:type="dxa" w:w="3000"/>
            <w:shd w:fill="E4EEEB" w:color="auto" w:val="clear"/>
            <w:tcMar>
              <w:top w:type="dxa" w:w="90"/>
              <w:left w:type="dxa" w:w="120"/>
              <w:bottom w:type="dxa" w:w="90"/>
              <w:right w:type="dxa" w:w="120"/>
            </w:tcMar>
          </w:tcPr>
          <w:p>
            <w:pPr>
              <w:spacing w:after="0" w:line="260"/>
            </w:pPr>
            <w:r>
              <w:rPr>
                <w:b/>
                <w:bCs/>
                <w:color w:val="1E2830"/>
                <w:sz w:val="20"/>
                <w:szCs w:val="20"/>
              </w:rPr>
              <w:t xml:space="preserve">Check</w:t>
            </w:r>
          </w:p>
        </w:tc>
        <w:tc>
          <w:tcPr>
            <w:tcW w:type="dxa" w:w="1900"/>
            <w:shd w:fill="E4EEEB" w:color="auto" w:val="clear"/>
            <w:tcMar>
              <w:top w:type="dxa" w:w="90"/>
              <w:left w:type="dxa" w:w="120"/>
              <w:bottom w:type="dxa" w:w="90"/>
              <w:right w:type="dxa" w:w="120"/>
            </w:tcMar>
          </w:tcPr>
          <w:p>
            <w:pPr>
              <w:spacing w:after="0" w:line="260"/>
            </w:pPr>
            <w:r>
              <w:rPr>
                <w:b/>
                <w:bCs/>
                <w:color w:val="1E2830"/>
                <w:sz w:val="20"/>
                <w:szCs w:val="20"/>
              </w:rPr>
              <w:t xml:space="preserve">Sample</w:t>
            </w:r>
          </w:p>
        </w:tc>
        <w:tc>
          <w:tcPr>
            <w:tcW w:type="dxa" w:w="2000"/>
            <w:shd w:fill="E4EEEB" w:color="auto" w:val="clear"/>
            <w:tcMar>
              <w:top w:type="dxa" w:w="90"/>
              <w:left w:type="dxa" w:w="120"/>
              <w:bottom w:type="dxa" w:w="90"/>
              <w:right w:type="dxa" w:w="120"/>
            </w:tcMar>
          </w:tcPr>
          <w:p>
            <w:pPr>
              <w:spacing w:after="0" w:line="260"/>
            </w:pPr>
            <w:r>
              <w:rPr>
                <w:b/>
                <w:bCs/>
                <w:color w:val="1E2830"/>
                <w:sz w:val="20"/>
                <w:szCs w:val="20"/>
              </w:rPr>
              <w:t xml:space="preserve">Expected titre</w:t>
            </w:r>
          </w:p>
        </w:tc>
        <w:tc>
          <w:tcPr>
            <w:tcW w:type="dxa" w:w="2460"/>
            <w:shd w:fill="E4EEEB" w:color="auto" w:val="clear"/>
            <w:tcMar>
              <w:top w:type="dxa" w:w="90"/>
              <w:left w:type="dxa" w:w="120"/>
              <w:bottom w:type="dxa" w:w="90"/>
              <w:right w:type="dxa" w:w="120"/>
            </w:tcMar>
          </w:tcPr>
          <w:p>
            <w:pPr>
              <w:spacing w:after="0" w:line="260"/>
            </w:pPr>
            <w:r>
              <w:rPr>
                <w:b/>
                <w:bCs/>
                <w:color w:val="1E2830"/>
                <w:sz w:val="20"/>
                <w:szCs w:val="20"/>
              </w:rPr>
              <w:t xml:space="preserve">Result reported</w:t>
            </w:r>
          </w:p>
        </w:tc>
      </w:tr>
      <w:tr>
        <w:tc>
          <w:tcPr>
            <w:tcW w:type="dxa" w:w="3000"/>
            <w:tcMar>
              <w:top w:type="dxa" w:w="90"/>
              <w:left w:type="dxa" w:w="120"/>
              <w:bottom w:type="dxa" w:w="90"/>
              <w:right w:type="dxa" w:w="120"/>
            </w:tcMar>
          </w:tcPr>
          <w:p>
            <w:pPr>
              <w:spacing w:after="0" w:line="260"/>
            </w:pPr>
            <w:r>
              <w:rPr>
                <w:color w:val="2B3640"/>
                <w:sz w:val="20"/>
                <w:szCs w:val="20"/>
              </w:rPr>
              <w:t xml:space="preserve">Total hardness with 0.01 M EDTA</w:t>
            </w:r>
          </w:p>
        </w:tc>
        <w:tc>
          <w:tcPr>
            <w:tcW w:type="dxa" w:w="1900"/>
            <w:tcMar>
              <w:top w:type="dxa" w:w="90"/>
              <w:left w:type="dxa" w:w="120"/>
              <w:bottom w:type="dxa" w:w="90"/>
              <w:right w:type="dxa" w:w="120"/>
            </w:tcMar>
          </w:tcPr>
          <w:p>
            <w:pPr>
              <w:spacing w:after="0" w:line="260"/>
            </w:pPr>
            <w:r>
              <w:rPr>
                <w:color w:val="2B3640"/>
                <w:sz w:val="20"/>
                <w:szCs w:val="20"/>
              </w:rPr>
              <w:t xml:space="preserve">Tap water</w:t>
            </w:r>
          </w:p>
        </w:tc>
        <w:tc>
          <w:tcPr>
            <w:tcW w:type="dxa" w:w="2000"/>
            <w:tcMar>
              <w:top w:type="dxa" w:w="90"/>
              <w:left w:type="dxa" w:w="120"/>
              <w:bottom w:type="dxa" w:w="90"/>
              <w:right w:type="dxa" w:w="120"/>
            </w:tcMar>
          </w:tcPr>
          <w:p>
            <w:pPr>
              <w:spacing w:after="0" w:line="260"/>
            </w:pPr>
            <w:r>
              <w:rPr>
                <w:color w:val="2B3640"/>
                <w:sz w:val="20"/>
                <w:szCs w:val="20"/>
              </w:rPr>
              <w:t xml:space="preserve">≈ 9.19 mL</w:t>
            </w:r>
          </w:p>
        </w:tc>
        <w:tc>
          <w:tcPr>
            <w:tcW w:type="dxa" w:w="2460"/>
            <w:tcMar>
              <w:top w:type="dxa" w:w="90"/>
              <w:left w:type="dxa" w:w="120"/>
              <w:bottom w:type="dxa" w:w="90"/>
              <w:right w:type="dxa" w:w="120"/>
            </w:tcMar>
          </w:tcPr>
          <w:p>
            <w:pPr>
              <w:spacing w:after="0" w:line="260"/>
            </w:pPr>
            <w:r>
              <w:rPr>
                <w:color w:val="2B3640"/>
                <w:sz w:val="20"/>
                <w:szCs w:val="20"/>
              </w:rPr>
              <w:t xml:space="preserve">≈ 184 mg/L as CaCO₃</w:t>
            </w:r>
          </w:p>
        </w:tc>
      </w:tr>
      <w:tr>
        <w:tc>
          <w:tcPr>
            <w:tcW w:type="dxa" w:w="3000"/>
            <w:shd w:fill="F6F8F8" w:color="auto" w:val="clear"/>
            <w:tcMar>
              <w:top w:type="dxa" w:w="90"/>
              <w:left w:type="dxa" w:w="120"/>
              <w:bottom w:type="dxa" w:w="90"/>
              <w:right w:type="dxa" w:w="120"/>
            </w:tcMar>
          </w:tcPr>
          <w:p>
            <w:pPr>
              <w:spacing w:after="0" w:line="260"/>
            </w:pPr>
            <w:r>
              <w:rPr>
                <w:color w:val="2B3640"/>
                <w:sz w:val="20"/>
                <w:szCs w:val="20"/>
              </w:rPr>
              <w:t xml:space="preserve">Total alkalinity with 0.02 N HCl</w:t>
            </w:r>
          </w:p>
        </w:tc>
        <w:tc>
          <w:tcPr>
            <w:tcW w:type="dxa" w:w="1900"/>
            <w:shd w:fill="F6F8F8" w:color="auto" w:val="clear"/>
            <w:tcMar>
              <w:top w:type="dxa" w:w="90"/>
              <w:left w:type="dxa" w:w="120"/>
              <w:bottom w:type="dxa" w:w="90"/>
              <w:right w:type="dxa" w:w="120"/>
            </w:tcMar>
          </w:tcPr>
          <w:p>
            <w:pPr>
              <w:spacing w:after="0" w:line="260"/>
            </w:pPr>
            <w:r>
              <w:rPr>
                <w:color w:val="2B3640"/>
                <w:sz w:val="20"/>
                <w:szCs w:val="20"/>
              </w:rPr>
              <w:t xml:space="preserve">Natural water</w:t>
            </w:r>
          </w:p>
        </w:tc>
        <w:tc>
          <w:tcPr>
            <w:tcW w:type="dxa" w:w="2000"/>
            <w:shd w:fill="F6F8F8" w:color="auto" w:val="clear"/>
            <w:tcMar>
              <w:top w:type="dxa" w:w="90"/>
              <w:left w:type="dxa" w:w="120"/>
              <w:bottom w:type="dxa" w:w="90"/>
              <w:right w:type="dxa" w:w="120"/>
            </w:tcMar>
          </w:tcPr>
          <w:p>
            <w:pPr>
              <w:spacing w:after="0" w:line="260"/>
            </w:pPr>
            <w:r>
              <w:rPr>
                <w:color w:val="2B3640"/>
                <w:sz w:val="20"/>
                <w:szCs w:val="20"/>
              </w:rPr>
              <w:t xml:space="preserve">≈ 13.4 mL</w:t>
            </w:r>
          </w:p>
        </w:tc>
        <w:tc>
          <w:tcPr>
            <w:tcW w:type="dxa" w:w="2460"/>
            <w:shd w:fill="F6F8F8" w:color="auto" w:val="clear"/>
            <w:tcMar>
              <w:top w:type="dxa" w:w="90"/>
              <w:left w:type="dxa" w:w="120"/>
              <w:bottom w:type="dxa" w:w="90"/>
              <w:right w:type="dxa" w:w="120"/>
            </w:tcMar>
          </w:tcPr>
          <w:p>
            <w:pPr>
              <w:spacing w:after="0" w:line="260"/>
            </w:pPr>
            <w:r>
              <w:rPr>
                <w:color w:val="2B3640"/>
                <w:sz w:val="20"/>
                <w:szCs w:val="20"/>
              </w:rPr>
              <w:t xml:space="preserve">≈ 268 mg/L as CaCO₃</w:t>
            </w:r>
          </w:p>
        </w:tc>
      </w:tr>
      <w:tr>
        <w:tc>
          <w:tcPr>
            <w:tcW w:type="dxa" w:w="3000"/>
            <w:tcMar>
              <w:top w:type="dxa" w:w="90"/>
              <w:left w:type="dxa" w:w="120"/>
              <w:bottom w:type="dxa" w:w="90"/>
              <w:right w:type="dxa" w:w="120"/>
            </w:tcMar>
          </w:tcPr>
          <w:p>
            <w:pPr>
              <w:spacing w:after="0" w:line="260"/>
            </w:pPr>
            <w:r>
              <w:rPr>
                <w:color w:val="2B3640"/>
                <w:sz w:val="20"/>
                <w:szCs w:val="20"/>
              </w:rPr>
              <w:t xml:space="preserve">Mixed alkalinity, P and T</w:t>
            </w:r>
          </w:p>
        </w:tc>
        <w:tc>
          <w:tcPr>
            <w:tcW w:type="dxa" w:w="1900"/>
            <w:tcMar>
              <w:top w:type="dxa" w:w="90"/>
              <w:left w:type="dxa" w:w="120"/>
              <w:bottom w:type="dxa" w:w="90"/>
              <w:right w:type="dxa" w:w="120"/>
            </w:tcMar>
          </w:tcPr>
          <w:p>
            <w:pPr>
              <w:spacing w:after="0" w:line="260"/>
            </w:pPr>
            <w:r>
              <w:rPr>
                <w:color w:val="2B3640"/>
                <w:sz w:val="20"/>
                <w:szCs w:val="20"/>
              </w:rPr>
              <w:t xml:space="preserve">Unknown X-7</w:t>
            </w:r>
          </w:p>
        </w:tc>
        <w:tc>
          <w:tcPr>
            <w:tcW w:type="dxa" w:w="2000"/>
            <w:tcMar>
              <w:top w:type="dxa" w:w="90"/>
              <w:left w:type="dxa" w:w="120"/>
              <w:bottom w:type="dxa" w:w="90"/>
              <w:right w:type="dxa" w:w="120"/>
            </w:tcMar>
          </w:tcPr>
          <w:p>
            <w:pPr>
              <w:spacing w:after="0" w:line="260"/>
            </w:pPr>
            <w:r>
              <w:rPr>
                <w:color w:val="2B3640"/>
                <w:sz w:val="20"/>
                <w:szCs w:val="20"/>
              </w:rPr>
              <w:t xml:space="preserve">≈ 3.2 and 9.8 mL</w:t>
            </w:r>
          </w:p>
        </w:tc>
        <w:tc>
          <w:tcPr>
            <w:tcW w:type="dxa" w:w="2460"/>
            <w:tcMar>
              <w:top w:type="dxa" w:w="90"/>
              <w:left w:type="dxa" w:w="120"/>
              <w:bottom w:type="dxa" w:w="90"/>
              <w:right w:type="dxa" w:w="120"/>
            </w:tcMar>
          </w:tcPr>
          <w:p>
            <w:pPr>
              <w:spacing w:after="0" w:line="260"/>
            </w:pPr>
            <w:r>
              <w:rPr>
                <w:color w:val="2B3640"/>
                <w:sz w:val="20"/>
                <w:szCs w:val="20"/>
              </w:rPr>
              <w:t xml:space="preserve">Carbonate with bicarbonate</w:t>
            </w:r>
          </w:p>
        </w:tc>
      </w:tr>
      <w:tr>
        <w:tc>
          <w:tcPr>
            <w:tcW w:type="dxa" w:w="3000"/>
            <w:shd w:fill="F6F8F8" w:color="auto" w:val="clear"/>
            <w:tcMar>
              <w:top w:type="dxa" w:w="90"/>
              <w:left w:type="dxa" w:w="120"/>
              <w:bottom w:type="dxa" w:w="90"/>
              <w:right w:type="dxa" w:w="120"/>
            </w:tcMar>
          </w:tcPr>
          <w:p>
            <w:pPr>
              <w:spacing w:after="0" w:line="260"/>
            </w:pPr>
            <w:r>
              <w:rPr>
                <w:color w:val="2B3640"/>
                <w:sz w:val="20"/>
                <w:szCs w:val="20"/>
              </w:rPr>
              <w:t xml:space="preserve">Chloride with 0.0141 N AgNO₃</w:t>
            </w:r>
          </w:p>
        </w:tc>
        <w:tc>
          <w:tcPr>
            <w:tcW w:type="dxa" w:w="1900"/>
            <w:shd w:fill="F6F8F8" w:color="auto" w:val="clear"/>
            <w:tcMar>
              <w:top w:type="dxa" w:w="90"/>
              <w:left w:type="dxa" w:w="120"/>
              <w:bottom w:type="dxa" w:w="90"/>
              <w:right w:type="dxa" w:w="120"/>
            </w:tcMar>
          </w:tcPr>
          <w:p>
            <w:pPr>
              <w:spacing w:after="0" w:line="260"/>
            </w:pPr>
            <w:r>
              <w:rPr>
                <w:color w:val="2B3640"/>
                <w:sz w:val="20"/>
                <w:szCs w:val="20"/>
              </w:rPr>
              <w:t xml:space="preserve">Natural water</w:t>
            </w:r>
          </w:p>
        </w:tc>
        <w:tc>
          <w:tcPr>
            <w:tcW w:type="dxa" w:w="2000"/>
            <w:shd w:fill="F6F8F8" w:color="auto" w:val="clear"/>
            <w:tcMar>
              <w:top w:type="dxa" w:w="90"/>
              <w:left w:type="dxa" w:w="120"/>
              <w:bottom w:type="dxa" w:w="90"/>
              <w:right w:type="dxa" w:w="120"/>
            </w:tcMar>
          </w:tcPr>
          <w:p>
            <w:pPr>
              <w:spacing w:after="0" w:line="260"/>
            </w:pPr>
            <w:r>
              <w:rPr>
                <w:color w:val="2B3640"/>
                <w:sz w:val="20"/>
                <w:szCs w:val="20"/>
              </w:rPr>
              <w:t xml:space="preserve">≈ 11.8 mL</w:t>
            </w:r>
          </w:p>
        </w:tc>
        <w:tc>
          <w:tcPr>
            <w:tcW w:type="dxa" w:w="2460"/>
            <w:shd w:fill="F6F8F8" w:color="auto" w:val="clear"/>
            <w:tcMar>
              <w:top w:type="dxa" w:w="90"/>
              <w:left w:type="dxa" w:w="120"/>
              <w:bottom w:type="dxa" w:w="90"/>
              <w:right w:type="dxa" w:w="120"/>
            </w:tcMar>
          </w:tcPr>
          <w:p>
            <w:pPr>
              <w:spacing w:after="0" w:line="260"/>
            </w:pPr>
            <w:r>
              <w:rPr>
                <w:color w:val="2B3640"/>
                <w:sz w:val="20"/>
                <w:szCs w:val="20"/>
              </w:rPr>
              <w:t xml:space="preserve">≈ 118 mg/L as Cl⁻</w:t>
            </w:r>
          </w:p>
        </w:tc>
      </w:tr>
    </w:tbl>
    <w:p>
      <w:pPr>
        <w:spacing w:after="200" w:before="80"/>
      </w:pPr>
      <w:r>
        <w:rPr>
          <w:i/>
          <w:iCs/>
          <w:color w:val="4A5560"/>
          <w:sz w:val="18"/>
          <w:szCs w:val="18"/>
        </w:rPr>
        <w:t xml:space="preserve">Table 11.1 — Agreement between hand calculation and simulated titration.</w:t>
      </w:r>
    </w:p>
    <w:p>
      <w:pPr>
        <w:spacing w:after="120" w:line="300"/>
      </w:pPr>
      <w:r>
        <w:rPr>
          <w:sz w:val="22"/>
          <w:szCs w:val="22"/>
        </w:rPr>
        <w:t xml:space="preserve">In each case P was correctly found to be less than half of T for the unknown sample, giving the expected carbonate-and-bicarbonate classification, and every titre falls comfortably within the 50 mL capacity of the burette. The single-file build was additionally syntax-checked after bundling to confirm that the concatenation of modules introduces no name collisions.</w:t>
      </w:r>
    </w:p>
    <w:p>
      <w:pPr>
        <w:pStyle w:val="Heading1"/>
        <w:spacing w:after="160" w:before="360"/>
      </w:pPr>
      <w:r>
        <w:rPr>
          <w:b/>
          <w:bCs/>
          <w:color w:val="1F7A68"/>
          <w:sz w:val="30"/>
          <w:szCs w:val="30"/>
        </w:rPr>
        <w:t xml:space="preserve">12. Limitations and Honest Caveats</w:t>
      </w:r>
    </w:p>
    <w:p>
      <w:pPr>
        <w:pStyle w:val="Heading2"/>
        <w:spacing w:after="120" w:before="260"/>
      </w:pPr>
      <w:r>
        <w:rPr>
          <w:b/>
          <w:bCs/>
          <w:color w:val="1E2830"/>
          <w:sz w:val="25"/>
          <w:szCs w:val="25"/>
        </w:rPr>
        <w:t xml:space="preserve">12.1 The standard hard water strength</w:t>
      </w:r>
    </w:p>
    <w:p>
      <w:pPr>
        <w:spacing w:after="120" w:line="300"/>
      </w:pPr>
      <w:r>
        <w:rPr>
          <w:sz w:val="22"/>
          <w:szCs w:val="22"/>
        </w:rPr>
        <w:t xml:space="preserve">The specification calls for the standard hard water to be 1 mg/L as calcium carbonate, and that value is implemented exactly as given and left configurable in the data module rather than silently altered. It should be recorded, however, that at that strength the theoretical titre of a 50 mL aliquot against 0.01 M EDTA is approximately 0.0009 mL — three orders of magnitude below the resolution of any burette. Standardisation against such a solution is therefore degenerate in practice. Presets of 100 and 1000 mg/L are offered in the sample panel, and the conventional textbook preparation of one gram of calcium carbonate made up to one litre, giving 1000 mg/L, produces a titre of about nine millilitres and a workable experiment.</w:t>
      </w:r>
    </w:p>
    <w:p>
      <w:pPr>
        <w:pStyle w:val="Heading2"/>
        <w:spacing w:after="120" w:before="260"/>
      </w:pPr>
      <w:r>
        <w:rPr>
          <w:b/>
          <w:bCs/>
          <w:color w:val="1E2830"/>
          <w:sz w:val="25"/>
          <w:szCs w:val="25"/>
        </w:rPr>
        <w:t xml:space="preserve">12.2 Other limitations</w:t>
      </w:r>
    </w:p>
    <w:p>
      <w:pPr>
        <w:pStyle w:val="ListParagraph"/>
        <w:numPr>
          <w:ilvl w:val="0"/>
          <w:numId w:val="3"/>
        </w:numPr>
        <w:spacing w:after="80" w:line="300"/>
      </w:pPr>
      <w:r>
        <w:rPr>
          <w:sz w:val="22"/>
          <w:szCs w:val="22"/>
        </w:rPr>
        <w:t xml:space="preserve">The simulation is macroscopic. Reaction kinetics, temperature dependence of equilibria and ionic interference effects are not modelled.</w:t>
      </w:r>
    </w:p>
    <w:p>
      <w:pPr>
        <w:pStyle w:val="ListParagraph"/>
        <w:numPr>
          <w:ilvl w:val="0"/>
          <w:numId w:val="3"/>
        </w:numPr>
        <w:spacing w:after="80" w:line="300"/>
      </w:pPr>
      <w:r>
        <w:rPr>
          <w:sz w:val="22"/>
          <w:szCs w:val="22"/>
        </w:rPr>
        <w:t xml:space="preserve">Errors of technique such as parallax in reading the burette, an air bubble left in the jet or an incorrectly rinsed pipette are represented only as scripted warnings, not as continuous sources of error.</w:t>
      </w:r>
    </w:p>
    <w:p>
      <w:pPr>
        <w:pStyle w:val="ListParagraph"/>
        <w:numPr>
          <w:ilvl w:val="0"/>
          <w:numId w:val="3"/>
        </w:numPr>
        <w:spacing w:after="80" w:line="300"/>
      </w:pPr>
      <w:r>
        <w:rPr>
          <w:sz w:val="22"/>
          <w:szCs w:val="22"/>
        </w:rPr>
        <w:t xml:space="preserve">Sample composition is fixed in the data module; there is no mechanism for an instructor to generate a random unknown per student, though the structure would permit it.</w:t>
      </w:r>
    </w:p>
    <w:p>
      <w:pPr>
        <w:pStyle w:val="ListParagraph"/>
        <w:numPr>
          <w:ilvl w:val="0"/>
          <w:numId w:val="3"/>
        </w:numPr>
        <w:spacing w:after="80" w:line="300"/>
      </w:pPr>
      <w:r>
        <w:rPr>
          <w:sz w:val="22"/>
          <w:szCs w:val="22"/>
        </w:rPr>
        <w:t xml:space="preserve">The application requires hardware graphics acceleration and will run poorly on machines without it.</w:t>
      </w:r>
    </w:p>
    <w:p>
      <w:pPr>
        <w:pStyle w:val="Heading1"/>
        <w:spacing w:after="160" w:before="360"/>
      </w:pPr>
      <w:r>
        <w:rPr>
          <w:b/>
          <w:bCs/>
          <w:color w:val="1F7A68"/>
          <w:sz w:val="30"/>
          <w:szCs w:val="30"/>
        </w:rPr>
        <w:t xml:space="preserve">13. Future Scope</w:t>
      </w:r>
    </w:p>
    <w:p>
      <w:pPr>
        <w:pStyle w:val="ListParagraph"/>
        <w:numPr>
          <w:ilvl w:val="0"/>
          <w:numId w:val="3"/>
        </w:numPr>
        <w:spacing w:after="80" w:line="300"/>
      </w:pPr>
      <w:r>
        <w:rPr>
          <w:sz w:val="22"/>
          <w:szCs w:val="22"/>
        </w:rPr>
        <w:t xml:space="preserve">An instructor mode that issues randomised unknown samples and collects submitted result sheets.</w:t>
      </w:r>
    </w:p>
    <w:p>
      <w:pPr>
        <w:pStyle w:val="ListParagraph"/>
        <w:numPr>
          <w:ilvl w:val="0"/>
          <w:numId w:val="3"/>
        </w:numPr>
        <w:spacing w:after="80" w:line="300"/>
      </w:pPr>
      <w:r>
        <w:rPr>
          <w:sz w:val="22"/>
          <w:szCs w:val="22"/>
        </w:rPr>
        <w:t xml:space="preserve">Additional determinations: dissolved oxygen by the Winkler method, residual chlorine, sulphate by turbidimetry, and the determination of iron.</w:t>
      </w:r>
    </w:p>
    <w:p>
      <w:pPr>
        <w:pStyle w:val="ListParagraph"/>
        <w:numPr>
          <w:ilvl w:val="0"/>
          <w:numId w:val="3"/>
        </w:numPr>
        <w:spacing w:after="80" w:line="300"/>
      </w:pPr>
      <w:r>
        <w:rPr>
          <w:sz w:val="22"/>
          <w:szCs w:val="22"/>
        </w:rPr>
        <w:t xml:space="preserve">A viva module that poses questions drawn from the theory of the experiment just performed.</w:t>
      </w:r>
    </w:p>
    <w:p>
      <w:pPr>
        <w:pStyle w:val="ListParagraph"/>
        <w:numPr>
          <w:ilvl w:val="0"/>
          <w:numId w:val="3"/>
        </w:numPr>
        <w:spacing w:after="80" w:line="300"/>
      </w:pPr>
      <w:r>
        <w:rPr>
          <w:sz w:val="22"/>
          <w:szCs w:val="22"/>
        </w:rPr>
        <w:t xml:space="preserve">Offline packaging of the Three.js library and fonts so that the laboratory runs on machines with no internet access.</w:t>
      </w:r>
    </w:p>
    <w:p>
      <w:pPr>
        <w:pStyle w:val="ListParagraph"/>
        <w:numPr>
          <w:ilvl w:val="0"/>
          <w:numId w:val="3"/>
        </w:numPr>
        <w:spacing w:after="80" w:line="300"/>
      </w:pPr>
      <w:r>
        <w:rPr>
          <w:sz w:val="22"/>
          <w:szCs w:val="22"/>
        </w:rPr>
        <w:t xml:space="preserve">Export of the completed observation table and result sheet as a printable record.</w:t>
      </w:r>
    </w:p>
    <w:p>
      <w:pPr>
        <w:pStyle w:val="Heading1"/>
        <w:spacing w:after="160" w:before="360"/>
      </w:pPr>
      <w:r>
        <w:rPr>
          <w:b/>
          <w:bCs/>
          <w:color w:val="1F7A68"/>
          <w:sz w:val="30"/>
          <w:szCs w:val="30"/>
        </w:rPr>
        <w:t xml:space="preserve">14. Conclusion</w:t>
      </w:r>
    </w:p>
    <w:p>
      <w:pPr>
        <w:spacing w:after="120" w:line="300"/>
      </w:pPr>
      <w:r>
        <w:rPr>
          <w:sz w:val="22"/>
          <w:szCs w:val="22"/>
        </w:rPr>
        <w:t xml:space="preserve">The project demonstrates that a genuinely interactive chemistry practical can be delivered in a browser without plugins, installations or a server. By separating the chemistry from the rendering and deriving every result from the volumes the student actually delivers, the simulator preserves the essential feature of a laboratory experiment: that the answer depends on how carefully the work was done. The modular structure means the ten experiments currently implemented are defined largely as data, so the same engine can carry a substantially wider syllabus with no change to its core.</w:t>
      </w:r>
    </w:p>
    <w:p>
      <w:pPr>
        <w:pStyle w:val="Heading1"/>
        <w:spacing w:after="160" w:before="360"/>
      </w:pPr>
      <w:r>
        <w:rPr>
          <w:b/>
          <w:bCs/>
          <w:color w:val="1F7A68"/>
          <w:sz w:val="30"/>
          <w:szCs w:val="30"/>
        </w:rPr>
        <w:t xml:space="preserve">15. References</w:t>
      </w:r>
    </w:p>
    <w:p>
      <w:pPr>
        <w:pStyle w:val="ListParagraph"/>
        <w:numPr>
          <w:ilvl w:val="0"/>
          <w:numId w:val="3"/>
        </w:numPr>
        <w:spacing w:after="80" w:line="300"/>
      </w:pPr>
      <w:r>
        <w:rPr>
          <w:sz w:val="22"/>
          <w:szCs w:val="22"/>
        </w:rPr>
        <w:t xml:space="preserve">Bureau of Indian Standards, IS 10500: Drinking Water — Specification.</w:t>
      </w:r>
    </w:p>
    <w:p>
      <w:pPr>
        <w:pStyle w:val="ListParagraph"/>
        <w:numPr>
          <w:ilvl w:val="0"/>
          <w:numId w:val="3"/>
        </w:numPr>
        <w:spacing w:after="80" w:line="300"/>
      </w:pPr>
      <w:r>
        <w:rPr>
          <w:sz w:val="22"/>
          <w:szCs w:val="22"/>
        </w:rPr>
        <w:t xml:space="preserve">American Public Health Association, Standard Methods for the Examination of Water and Wastewater.</w:t>
      </w:r>
    </w:p>
    <w:p>
      <w:pPr>
        <w:pStyle w:val="ListParagraph"/>
        <w:numPr>
          <w:ilvl w:val="0"/>
          <w:numId w:val="3"/>
        </w:numPr>
        <w:spacing w:after="80" w:line="300"/>
      </w:pPr>
      <w:r>
        <w:rPr>
          <w:sz w:val="22"/>
          <w:szCs w:val="22"/>
        </w:rPr>
        <w:t xml:space="preserve">S. S. Dara, A Textbook of Engineering Chemistry, S. Chand.</w:t>
      </w:r>
    </w:p>
    <w:p>
      <w:pPr>
        <w:pStyle w:val="ListParagraph"/>
        <w:numPr>
          <w:ilvl w:val="0"/>
          <w:numId w:val="3"/>
        </w:numPr>
        <w:spacing w:after="80" w:line="300"/>
      </w:pPr>
      <w:r>
        <w:rPr>
          <w:sz w:val="22"/>
          <w:szCs w:val="22"/>
        </w:rPr>
        <w:t xml:space="preserve">P. C. Jain and Monika Jain, Engineering Chemistry, Dhanpat Rai Publishing.</w:t>
      </w:r>
    </w:p>
    <w:p>
      <w:pPr>
        <w:pStyle w:val="ListParagraph"/>
        <w:numPr>
          <w:ilvl w:val="0"/>
          <w:numId w:val="3"/>
        </w:numPr>
        <w:spacing w:after="80" w:line="300"/>
      </w:pPr>
      <w:r>
        <w:rPr>
          <w:sz w:val="22"/>
          <w:szCs w:val="22"/>
        </w:rPr>
        <w:t xml:space="preserve">Three.js documentation and examples, threejs.org.</w:t>
      </w:r>
    </w:p>
    <w:p>
      <w:pPr>
        <w:pStyle w:val="ListParagraph"/>
        <w:numPr>
          <w:ilvl w:val="0"/>
          <w:numId w:val="3"/>
        </w:numPr>
        <w:spacing w:after="80" w:line="300"/>
      </w:pPr>
      <w:r>
        <w:rPr>
          <w:sz w:val="22"/>
          <w:szCs w:val="22"/>
        </w:rPr>
        <w:t xml:space="preserve">Mozilla Developer Network, WebGL and JavaScript modules documentation.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56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DE" w:sz="4" w:space="4"/>
      </w:pBdr>
      <w:jc w:val="right"/>
    </w:pPr>
    <w:r>
      <w:rPr>
        <w:color w:val="4A5560"/>
        <w:sz w:val="16"/>
        <w:szCs w:val="16"/>
      </w:rPr>
      <w:t xml:space="preserve">Virtual Water Analysis Laboratory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80" w:hanging="24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36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Water Analysis Laboratory — Project Report</dc:title>
  <dc:creator>Virtual Water Analysis Laboratory</dc:creator>
  <dc:description>Project report for a 3D interactive water analysis chemistry simulator</dc:description>
  <cp:lastModifiedBy>Un-named</cp:lastModifiedBy>
  <cp:revision>1</cp:revision>
  <dcterms:created xsi:type="dcterms:W3CDTF">2026-09-17T05:39:09.436Z</dcterms:created>
  <dcterms:modified xsi:type="dcterms:W3CDTF">2026-09-17T05:39:09.444Z</dcterms:modified>
</cp:coreProperties>
</file>

<file path=docProps/custom.xml><?xml version="1.0" encoding="utf-8"?>
<Properties xmlns="http://schemas.openxmlformats.org/officeDocument/2006/custom-properties" xmlns:vt="http://schemas.openxmlformats.org/officeDocument/2006/docPropsVTypes"/>
</file>