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3189" w14:textId="05C56A43" w:rsidR="00E00B3B" w:rsidRPr="00464882" w:rsidRDefault="00464882" w:rsidP="00E00B3B">
      <w:pPr>
        <w:pStyle w:val="Title"/>
        <w:rPr>
          <w:rFonts w:ascii="Century Gothic" w:hAnsi="Century Gothic"/>
          <w:sz w:val="52"/>
          <w:szCs w:val="52"/>
          <w:lang w:val="en-AU"/>
        </w:rPr>
      </w:pPr>
      <w:r w:rsidRPr="00464882">
        <w:rPr>
          <w:rFonts w:ascii="Century Gothic" w:hAnsi="Century Gothic"/>
          <w:sz w:val="52"/>
          <w:szCs w:val="52"/>
          <w:lang w:val="en-AU"/>
        </w:rPr>
        <w:t>Communicating Data Driven Insight</w:t>
      </w:r>
    </w:p>
    <w:p w14:paraId="2D006EED" w14:textId="25AB39BC" w:rsidR="00E00B3B" w:rsidRPr="00464882" w:rsidRDefault="00E00B3B" w:rsidP="00E00B3B">
      <w:r w:rsidRPr="00464882">
        <w:t>COSC</w:t>
      </w:r>
      <w:r w:rsidR="00D967A0">
        <w:t>5</w:t>
      </w:r>
      <w:r w:rsidRPr="00464882">
        <w:t>72 Management Information Systems - Assignment 3</w:t>
      </w:r>
      <w:r w:rsidR="00D57F39">
        <w:t>b</w:t>
      </w:r>
    </w:p>
    <w:p w14:paraId="06A51AAA" w14:textId="3A014B63" w:rsidR="00E00B3B" w:rsidRPr="00464882" w:rsidRDefault="00E00B3B" w:rsidP="00E00B3B">
      <w:r w:rsidRPr="00464882">
        <w:t xml:space="preserve">Name: </w:t>
      </w:r>
      <w:r w:rsidR="0020322F">
        <w:rPr>
          <w:highlight w:val="yellow"/>
        </w:rPr>
        <w:t>Bikash Neupane</w:t>
      </w:r>
    </w:p>
    <w:p w14:paraId="6B1552F6" w14:textId="7687B485" w:rsidR="00E00B3B" w:rsidRPr="00464882" w:rsidRDefault="00464882" w:rsidP="00E00B3B">
      <w:pPr>
        <w:pStyle w:val="Heading1"/>
        <w:rPr>
          <w:lang w:val="en-AU"/>
        </w:rPr>
      </w:pPr>
      <w:r w:rsidRPr="00464882">
        <w:rPr>
          <w:lang w:val="en-AU"/>
        </w:rPr>
        <w:t>Part a) Build Your Own Data Visualisation</w:t>
      </w:r>
      <w:r w:rsidR="00F44101">
        <w:rPr>
          <w:lang w:val="en-AU"/>
        </w:rPr>
        <w:t xml:space="preserve"> in Tableau (or similar)</w:t>
      </w:r>
    </w:p>
    <w:p w14:paraId="2311B5E3" w14:textId="345A5BA3" w:rsidR="006107D0" w:rsidRPr="00464882" w:rsidRDefault="006107D0" w:rsidP="006107D0">
      <w:r w:rsidRPr="00464882">
        <w:t xml:space="preserve">URL of Visualisation: </w:t>
      </w:r>
      <w:r w:rsidR="00B30FDD" w:rsidRPr="00B30FDD">
        <w:rPr>
          <w:highlight w:val="yellow"/>
        </w:rPr>
        <w:t>https://public.tableau.com/app/profile/bikash.neupane/viz/Earthquakes_16953399144850/Dashboard1_1</w:t>
      </w:r>
      <w:r w:rsidR="00C96758">
        <w:rPr>
          <w:rStyle w:val="Hyperlink"/>
        </w:rPr>
        <w:t xml:space="preserve"> </w:t>
      </w:r>
    </w:p>
    <w:p w14:paraId="5A7D9E00" w14:textId="2DCD411A" w:rsidR="009545D5" w:rsidRPr="00AC3298" w:rsidRDefault="00AC3298" w:rsidP="00F44101">
      <w:pPr>
        <w:rPr>
          <w:color w:val="A6A6A6" w:themeColor="background1" w:themeShade="A6"/>
          <w:lang w:eastAsia="en-AU"/>
        </w:rPr>
      </w:pPr>
      <w:r w:rsidRPr="00AC3298">
        <w:rPr>
          <w:noProof/>
          <w:color w:val="A6A6A6" w:themeColor="background1" w:themeShade="A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D4B5A4" wp14:editId="27CB0AAB">
                <wp:simplePos x="0" y="0"/>
                <wp:positionH relativeFrom="column">
                  <wp:posOffset>283845</wp:posOffset>
                </wp:positionH>
                <wp:positionV relativeFrom="paragraph">
                  <wp:posOffset>347980</wp:posOffset>
                </wp:positionV>
                <wp:extent cx="5146040" cy="2223770"/>
                <wp:effectExtent l="0" t="0" r="16510" b="241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6040" cy="222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C2226" w14:textId="6EE8A7D4" w:rsidR="006107D0" w:rsidRDefault="00E37B50" w:rsidP="00E37B50">
                            <w:pPr>
                              <w:rPr>
                                <w:shd w:val="clear" w:color="auto" w:fill="FFFFFF"/>
                                <w:lang w:eastAsia="en-AU"/>
                              </w:rPr>
                            </w:pPr>
                            <w:r>
                              <w:rPr>
                                <w:noProof/>
                                <w:shd w:val="clear" w:color="auto" w:fill="FFFFFF"/>
                                <w:lang w:eastAsia="en-AU"/>
                              </w:rPr>
                              <w:drawing>
                                <wp:inline distT="0" distB="0" distL="0" distR="0" wp14:anchorId="6E7B7469" wp14:editId="0F0EC545">
                                  <wp:extent cx="4927600" cy="2123440"/>
                                  <wp:effectExtent l="0" t="0" r="6350" b="0"/>
                                  <wp:docPr id="7347072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4707252" name="Picture 73470725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7600" cy="2123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4B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35pt;margin-top:27.4pt;width:405.2pt;height:17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">
                <v:textbox>
                  <w:txbxContent>
                    <w:p w14:paraId="7D1C2226" w14:textId="6EE8A7D4" w:rsidR="006107D0" w:rsidRDefault="00E37B50" w:rsidP="00E37B50">
                      <w:pPr>
                        <w:rPr>
                          <w:shd w:val="clear" w:color="auto" w:fill="FFFFFF"/>
                          <w:lang w:eastAsia="en-AU"/>
                        </w:rPr>
                      </w:pPr>
                      <w:r>
                        <w:rPr>
                          <w:noProof/>
                          <w:shd w:val="clear" w:color="auto" w:fill="FFFFFF"/>
                          <w:lang w:eastAsia="en-AU"/>
                        </w:rPr>
                        <w:drawing>
                          <wp:inline distT="0" distB="0" distL="0" distR="0" wp14:anchorId="6E7B7469" wp14:editId="0F0EC545">
                            <wp:extent cx="4927600" cy="2123440"/>
                            <wp:effectExtent l="0" t="0" r="6350" b="0"/>
                            <wp:docPr id="7347072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4707252" name="Picture 73470725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7600" cy="2123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14D670" w14:textId="2677F2E1" w:rsidR="006107D0" w:rsidRPr="00464882" w:rsidRDefault="006107D0" w:rsidP="00E00B3B"/>
    <w:p w14:paraId="547487E9" w14:textId="158ECB4A" w:rsidR="00464882" w:rsidRPr="00464882" w:rsidRDefault="00464882" w:rsidP="00E00B3B"/>
    <w:p w14:paraId="4C40D75B" w14:textId="590BD799" w:rsidR="00464882" w:rsidRPr="00464882" w:rsidRDefault="00464882" w:rsidP="00464882">
      <w:pPr>
        <w:pStyle w:val="Heading1"/>
        <w:rPr>
          <w:lang w:val="en-AU"/>
        </w:rPr>
      </w:pPr>
      <w:r w:rsidRPr="00464882">
        <w:rPr>
          <w:lang w:val="en-AU"/>
        </w:rPr>
        <w:t>Part b) Explain Your Application of Unit Theory in Your Data Visualisation</w:t>
      </w:r>
    </w:p>
    <w:p w14:paraId="0C782794" w14:textId="77589340" w:rsidR="00A61979" w:rsidRDefault="00A61979" w:rsidP="00A61979">
      <w:pPr>
        <w:rPr>
          <w:shd w:val="clear" w:color="auto" w:fill="FFFFFF"/>
          <w:lang w:eastAsia="en-AU"/>
        </w:rPr>
      </w:pPr>
      <w:r w:rsidRPr="00A61979">
        <w:rPr>
          <w:shd w:val="clear" w:color="auto" w:fill="FFFFFF"/>
          <w:lang w:eastAsia="en-AU"/>
        </w:rPr>
        <w:t xml:space="preserve">Briefly describe how you used unit theory from Topic 7, Topic 8 or Topic 9 to communicate </w:t>
      </w:r>
      <w:r>
        <w:rPr>
          <w:shd w:val="clear" w:color="auto" w:fill="FFFFFF"/>
          <w:lang w:eastAsia="en-AU"/>
        </w:rPr>
        <w:t>your</w:t>
      </w:r>
      <w:r w:rsidRPr="00A61979">
        <w:rPr>
          <w:shd w:val="clear" w:color="auto" w:fill="FFFFFF"/>
          <w:lang w:eastAsia="en-AU"/>
        </w:rPr>
        <w:t xml:space="preserve"> insight from your data to your audience.</w:t>
      </w:r>
    </w:p>
    <w:p w14:paraId="1C15F8E9" w14:textId="0BD3DC37" w:rsidR="00A61979" w:rsidRDefault="006107D0" w:rsidP="00A61979">
      <w:pPr>
        <w:rPr>
          <w:shd w:val="clear" w:color="auto" w:fill="FFFFFF"/>
          <w:lang w:eastAsia="en-AU"/>
        </w:rPr>
      </w:pPr>
      <w:r w:rsidRPr="00A61979">
        <w:rPr>
          <w:shd w:val="clear" w:color="auto" w:fill="FFFFFF"/>
          <w:lang w:eastAsia="en-AU"/>
        </w:rPr>
        <w:t>Guide word limit: less than 5</w:t>
      </w:r>
      <w:r w:rsidR="004F6348">
        <w:rPr>
          <w:shd w:val="clear" w:color="auto" w:fill="FFFFFF"/>
          <w:lang w:eastAsia="en-AU"/>
        </w:rPr>
        <w:t>0</w:t>
      </w:r>
      <w:r w:rsidRPr="00A61979">
        <w:rPr>
          <w:shd w:val="clear" w:color="auto" w:fill="FFFFFF"/>
          <w:lang w:eastAsia="en-AU"/>
        </w:rPr>
        <w:t>0</w:t>
      </w:r>
      <w:r w:rsidR="0027053F">
        <w:rPr>
          <w:shd w:val="clear" w:color="auto" w:fill="FFFFFF"/>
          <w:lang w:eastAsia="en-AU"/>
        </w:rPr>
        <w:t xml:space="preserve"> </w:t>
      </w:r>
      <w:r w:rsidRPr="00A61979">
        <w:rPr>
          <w:shd w:val="clear" w:color="auto" w:fill="FFFFFF"/>
          <w:lang w:eastAsia="en-AU"/>
        </w:rPr>
        <w:t>words</w:t>
      </w:r>
      <w:r>
        <w:rPr>
          <w:shd w:val="clear" w:color="auto" w:fill="FFFFFF"/>
          <w:lang w:eastAsia="en-AU"/>
        </w:rPr>
        <w:t xml:space="preserve"> total</w:t>
      </w:r>
      <w:r w:rsidRPr="00A61979">
        <w:rPr>
          <w:shd w:val="clear" w:color="auto" w:fill="FFFFFF"/>
          <w:lang w:eastAsia="en-AU"/>
        </w:rPr>
        <w:t>.</w:t>
      </w:r>
    </w:p>
    <w:p w14:paraId="16768D4F" w14:textId="0296D31D" w:rsidR="006107D0" w:rsidRPr="006107D0" w:rsidRDefault="006107D0" w:rsidP="006107D0">
      <w:pPr>
        <w:pStyle w:val="Subtitle"/>
      </w:pPr>
      <w:r w:rsidRPr="006107D0">
        <w:t>My Audience / Target Market</w:t>
      </w:r>
    </w:p>
    <w:p w14:paraId="52C0402D" w14:textId="4019618F" w:rsidR="00AD3CF5" w:rsidRDefault="00AD3CF5" w:rsidP="00A61979">
      <w:pPr>
        <w:rPr>
          <w:shd w:val="clear" w:color="auto" w:fill="FFFFFF"/>
          <w:lang w:eastAsia="en-AU"/>
        </w:rPr>
      </w:pPr>
      <w:r w:rsidRPr="00AD3CF5">
        <w:rPr>
          <w:shd w:val="clear" w:color="auto" w:fill="FFFFFF"/>
          <w:lang w:eastAsia="en-AU"/>
        </w:rPr>
        <w:t>The audience/target market for my visualization includes local governmental bodies, disaster management teams, urban planners, non-profit organizations focusing on disaster relief, as well as digital markets dealing with earthquake preparedness products and services.</w:t>
      </w:r>
    </w:p>
    <w:p w14:paraId="51D8FAF3" w14:textId="0C20276E" w:rsidR="006107D0" w:rsidRDefault="006107D0" w:rsidP="00A61979">
      <w:pPr>
        <w:rPr>
          <w:shd w:val="clear" w:color="auto" w:fill="FFFFFF"/>
          <w:lang w:eastAsia="en-AU"/>
        </w:rPr>
      </w:pPr>
    </w:p>
    <w:p w14:paraId="489550B2" w14:textId="5A408CBD" w:rsidR="006107D0" w:rsidRDefault="006107D0" w:rsidP="006107D0">
      <w:pPr>
        <w:pStyle w:val="Subtitle"/>
      </w:pPr>
      <w:r>
        <w:t>My Purpose (in designing this visualisation)</w:t>
      </w:r>
    </w:p>
    <w:p w14:paraId="363D0704" w14:textId="0823FBDF" w:rsidR="001A16E5" w:rsidRPr="001A16E5" w:rsidRDefault="001A16E5" w:rsidP="001A16E5">
      <w:pPr>
        <w:rPr>
          <w:shd w:val="clear" w:color="auto" w:fill="FFFFFF"/>
          <w:lang w:eastAsia="en-AU"/>
        </w:rPr>
      </w:pPr>
      <w:r w:rsidRPr="001A16E5">
        <w:rPr>
          <w:shd w:val="clear" w:color="auto" w:fill="FFFFFF"/>
          <w:lang w:eastAsia="en-AU"/>
        </w:rPr>
        <w:t>Drawing from</w:t>
      </w:r>
      <w:r w:rsidR="00D876DA">
        <w:rPr>
          <w:shd w:val="clear" w:color="auto" w:fill="FFFFFF"/>
          <w:lang w:eastAsia="en-AU"/>
        </w:rPr>
        <w:t xml:space="preserve"> the unit</w:t>
      </w:r>
      <w:r w:rsidRPr="001A16E5">
        <w:rPr>
          <w:shd w:val="clear" w:color="auto" w:fill="FFFFFF"/>
          <w:lang w:eastAsia="en-AU"/>
        </w:rPr>
        <w:t>, my purpose was to achieve:</w:t>
      </w:r>
    </w:p>
    <w:p w14:paraId="5E42EB7C" w14:textId="77777777" w:rsidR="001A16E5" w:rsidRPr="001A16E5" w:rsidRDefault="001A16E5" w:rsidP="001A16E5">
      <w:pPr>
        <w:numPr>
          <w:ilvl w:val="0"/>
          <w:numId w:val="11"/>
        </w:numPr>
        <w:rPr>
          <w:shd w:val="clear" w:color="auto" w:fill="FFFFFF"/>
          <w:lang w:eastAsia="en-AU"/>
        </w:rPr>
      </w:pPr>
      <w:r w:rsidRPr="001A16E5">
        <w:rPr>
          <w:b/>
          <w:bCs/>
          <w:shd w:val="clear" w:color="auto" w:fill="FFFFFF"/>
          <w:lang w:eastAsia="en-AU"/>
        </w:rPr>
        <w:t>Operational Excellence:</w:t>
      </w:r>
      <w:r w:rsidRPr="001A16E5">
        <w:rPr>
          <w:shd w:val="clear" w:color="auto" w:fill="FFFFFF"/>
          <w:lang w:eastAsia="en-AU"/>
        </w:rPr>
        <w:t xml:space="preserve"> By presenting earthquake data in a comprehensible format, local governments and organizations can streamline disaster response processes and reduce mitigation costs.</w:t>
      </w:r>
    </w:p>
    <w:p w14:paraId="4850D561" w14:textId="77777777" w:rsidR="001A16E5" w:rsidRPr="001A16E5" w:rsidRDefault="001A16E5" w:rsidP="001A16E5">
      <w:pPr>
        <w:numPr>
          <w:ilvl w:val="0"/>
          <w:numId w:val="11"/>
        </w:numPr>
        <w:rPr>
          <w:shd w:val="clear" w:color="auto" w:fill="FFFFFF"/>
          <w:lang w:eastAsia="en-AU"/>
        </w:rPr>
      </w:pPr>
      <w:r w:rsidRPr="001A16E5">
        <w:rPr>
          <w:b/>
          <w:bCs/>
          <w:shd w:val="clear" w:color="auto" w:fill="FFFFFF"/>
          <w:lang w:eastAsia="en-AU"/>
        </w:rPr>
        <w:t>Customer Intimacy:</w:t>
      </w:r>
      <w:r w:rsidRPr="001A16E5">
        <w:rPr>
          <w:shd w:val="clear" w:color="auto" w:fill="FFFFFF"/>
          <w:lang w:eastAsia="en-AU"/>
        </w:rPr>
        <w:t xml:space="preserve"> For digital markets dealing in preparedness products and services, understanding earthquake-prone areas allows for tailored product offerings, enhancing customer relations.</w:t>
      </w:r>
    </w:p>
    <w:p w14:paraId="6016C234" w14:textId="77777777" w:rsidR="001A16E5" w:rsidRPr="001A16E5" w:rsidRDefault="001A16E5" w:rsidP="001A16E5">
      <w:pPr>
        <w:numPr>
          <w:ilvl w:val="0"/>
          <w:numId w:val="11"/>
        </w:numPr>
        <w:rPr>
          <w:shd w:val="clear" w:color="auto" w:fill="FFFFFF"/>
          <w:lang w:eastAsia="en-AU"/>
        </w:rPr>
      </w:pPr>
      <w:r w:rsidRPr="001A16E5">
        <w:rPr>
          <w:b/>
          <w:bCs/>
          <w:shd w:val="clear" w:color="auto" w:fill="FFFFFF"/>
          <w:lang w:eastAsia="en-AU"/>
        </w:rPr>
        <w:t>Digital Markets &amp; Digital Goods Insight:</w:t>
      </w:r>
      <w:r w:rsidRPr="001A16E5">
        <w:rPr>
          <w:shd w:val="clear" w:color="auto" w:fill="FFFFFF"/>
          <w:lang w:eastAsia="en-AU"/>
        </w:rPr>
        <w:t xml:space="preserve"> The visualization can be a valuable digital good, especially for companies in the disaster preparedness industry, informing them where their products might be most needed.</w:t>
      </w:r>
    </w:p>
    <w:p w14:paraId="644329C0" w14:textId="77777777" w:rsidR="006107D0" w:rsidRDefault="006107D0" w:rsidP="00A61979">
      <w:pPr>
        <w:rPr>
          <w:shd w:val="clear" w:color="auto" w:fill="FFFFFF"/>
          <w:lang w:eastAsia="en-AU"/>
        </w:rPr>
      </w:pPr>
    </w:p>
    <w:p w14:paraId="0DFB25A1" w14:textId="76DF5705" w:rsidR="006107D0" w:rsidRDefault="006107D0" w:rsidP="00A61979">
      <w:pPr>
        <w:rPr>
          <w:shd w:val="clear" w:color="auto" w:fill="FFFFFF"/>
          <w:lang w:eastAsia="en-AU"/>
        </w:rPr>
      </w:pPr>
    </w:p>
    <w:p w14:paraId="711A4A3B" w14:textId="46B46C2A" w:rsidR="006107D0" w:rsidRDefault="006107D0" w:rsidP="006107D0">
      <w:pPr>
        <w:pStyle w:val="Subtitle"/>
      </w:pPr>
      <w:r>
        <w:lastRenderedPageBreak/>
        <w:t>Analysis of my Visualisation</w:t>
      </w:r>
    </w:p>
    <w:p w14:paraId="7C531FBE" w14:textId="2E9545A3" w:rsidR="00797EA7" w:rsidRPr="00797EA7" w:rsidRDefault="00797EA7" w:rsidP="00797EA7">
      <w:pPr>
        <w:rPr>
          <w:shd w:val="clear" w:color="auto" w:fill="FFFFFF"/>
          <w:lang w:eastAsia="en-AU"/>
        </w:rPr>
      </w:pPr>
      <w:r w:rsidRPr="00797EA7">
        <w:rPr>
          <w:b/>
          <w:bCs/>
          <w:shd w:val="clear" w:color="auto" w:fill="FFFFFF"/>
          <w:lang w:eastAsia="en-AU"/>
        </w:rPr>
        <w:t>Knowledge Management:</w:t>
      </w:r>
      <w:r w:rsidRPr="00797EA7">
        <w:rPr>
          <w:shd w:val="clear" w:color="auto" w:fill="FFFFFF"/>
          <w:lang w:eastAsia="en-AU"/>
        </w:rPr>
        <w:t xml:space="preserve"> The visualization captures and displays </w:t>
      </w:r>
      <w:r w:rsidR="00C83F54">
        <w:rPr>
          <w:shd w:val="clear" w:color="auto" w:fill="FFFFFF"/>
          <w:lang w:eastAsia="en-AU"/>
        </w:rPr>
        <w:t>silent</w:t>
      </w:r>
      <w:r w:rsidRPr="00797EA7">
        <w:rPr>
          <w:shd w:val="clear" w:color="auto" w:fill="FFFFFF"/>
          <w:lang w:eastAsia="en-AU"/>
        </w:rPr>
        <w:t xml:space="preserve"> knowledge from seismological experts, converting it into explicit knowledge accessible to anyone. By identifying trends and patterns in earthquake occurrences, </w:t>
      </w:r>
      <w:r w:rsidR="00C85121">
        <w:rPr>
          <w:shd w:val="clear" w:color="auto" w:fill="FFFFFF"/>
          <w:lang w:eastAsia="en-AU"/>
        </w:rPr>
        <w:t>I have</w:t>
      </w:r>
      <w:r w:rsidRPr="00797EA7">
        <w:rPr>
          <w:shd w:val="clear" w:color="auto" w:fill="FFFFFF"/>
          <w:lang w:eastAsia="en-AU"/>
        </w:rPr>
        <w:t xml:space="preserve"> provide</w:t>
      </w:r>
      <w:r w:rsidR="00C85121">
        <w:rPr>
          <w:shd w:val="clear" w:color="auto" w:fill="FFFFFF"/>
          <w:lang w:eastAsia="en-AU"/>
        </w:rPr>
        <w:t>d</w:t>
      </w:r>
      <w:r w:rsidRPr="00797EA7">
        <w:rPr>
          <w:shd w:val="clear" w:color="auto" w:fill="FFFFFF"/>
          <w:lang w:eastAsia="en-AU"/>
        </w:rPr>
        <w:t xml:space="preserve"> a platform for collaborative understanding and planning.</w:t>
      </w:r>
    </w:p>
    <w:p w14:paraId="1BF5C7CE" w14:textId="4839B375" w:rsidR="00797EA7" w:rsidRPr="00797EA7" w:rsidRDefault="00797EA7" w:rsidP="00797EA7">
      <w:pPr>
        <w:rPr>
          <w:shd w:val="clear" w:color="auto" w:fill="FFFFFF"/>
          <w:lang w:eastAsia="en-AU"/>
        </w:rPr>
      </w:pPr>
      <w:r w:rsidRPr="00797EA7">
        <w:rPr>
          <w:b/>
          <w:bCs/>
          <w:shd w:val="clear" w:color="auto" w:fill="FFFFFF"/>
          <w:lang w:eastAsia="en-AU"/>
        </w:rPr>
        <w:t>Collaborations:</w:t>
      </w:r>
      <w:r w:rsidRPr="00797EA7">
        <w:rPr>
          <w:shd w:val="clear" w:color="auto" w:fill="FFFFFF"/>
          <w:lang w:eastAsia="en-AU"/>
        </w:rPr>
        <w:t xml:space="preserve"> This visual tool can be a foundation for collaborative efforts between disaster relief organizations, local governments, and businesses in the affected regions. It can inform joint strategies and foster partnerships for disaster preparedness and relief.</w:t>
      </w:r>
    </w:p>
    <w:p w14:paraId="3EFEEACD" w14:textId="27D34163" w:rsidR="00797EA7" w:rsidRPr="00797EA7" w:rsidRDefault="00797EA7" w:rsidP="00797EA7">
      <w:pPr>
        <w:rPr>
          <w:shd w:val="clear" w:color="auto" w:fill="FFFFFF"/>
          <w:lang w:eastAsia="en-AU"/>
        </w:rPr>
      </w:pPr>
      <w:r w:rsidRPr="00797EA7">
        <w:rPr>
          <w:b/>
          <w:bCs/>
          <w:shd w:val="clear" w:color="auto" w:fill="FFFFFF"/>
          <w:lang w:eastAsia="en-AU"/>
        </w:rPr>
        <w:t>Enhancing Decision Making using Information Systems:</w:t>
      </w:r>
    </w:p>
    <w:p w14:paraId="54828074" w14:textId="77777777" w:rsidR="00797EA7" w:rsidRPr="00797EA7" w:rsidRDefault="00797EA7" w:rsidP="00797EA7">
      <w:pPr>
        <w:numPr>
          <w:ilvl w:val="0"/>
          <w:numId w:val="10"/>
        </w:numPr>
        <w:rPr>
          <w:shd w:val="clear" w:color="auto" w:fill="FFFFFF"/>
          <w:lang w:eastAsia="en-AU"/>
        </w:rPr>
      </w:pPr>
      <w:r w:rsidRPr="00797EA7">
        <w:rPr>
          <w:b/>
          <w:bCs/>
          <w:shd w:val="clear" w:color="auto" w:fill="FFFFFF"/>
          <w:lang w:eastAsia="en-AU"/>
        </w:rPr>
        <w:t>Operational Decisions:</w:t>
      </w:r>
      <w:r w:rsidRPr="00797EA7">
        <w:rPr>
          <w:shd w:val="clear" w:color="auto" w:fill="FFFFFF"/>
          <w:lang w:eastAsia="en-AU"/>
        </w:rPr>
        <w:t xml:space="preserve"> On a day-to-day basis, this visualization can help local bodies monitor earthquake-prone zones and prepare accordingly.</w:t>
      </w:r>
    </w:p>
    <w:p w14:paraId="2D86D502" w14:textId="77777777" w:rsidR="00797EA7" w:rsidRPr="00797EA7" w:rsidRDefault="00797EA7" w:rsidP="00797EA7">
      <w:pPr>
        <w:numPr>
          <w:ilvl w:val="0"/>
          <w:numId w:val="10"/>
        </w:numPr>
        <w:rPr>
          <w:shd w:val="clear" w:color="auto" w:fill="FFFFFF"/>
          <w:lang w:eastAsia="en-AU"/>
        </w:rPr>
      </w:pPr>
      <w:r w:rsidRPr="00797EA7">
        <w:rPr>
          <w:b/>
          <w:bCs/>
          <w:shd w:val="clear" w:color="auto" w:fill="FFFFFF"/>
          <w:lang w:eastAsia="en-AU"/>
        </w:rPr>
        <w:t>Managerial Decisions:</w:t>
      </w:r>
      <w:r w:rsidRPr="00797EA7">
        <w:rPr>
          <w:shd w:val="clear" w:color="auto" w:fill="FFFFFF"/>
          <w:lang w:eastAsia="en-AU"/>
        </w:rPr>
        <w:t xml:space="preserve"> The aggregated data can assist regional managers in allocating resources effectively, deciding where more earthquake-resistant infrastructure is needed, or where public awareness campaigns should be concentrated.</w:t>
      </w:r>
    </w:p>
    <w:p w14:paraId="28A672AA" w14:textId="77777777" w:rsidR="00797EA7" w:rsidRPr="00797EA7" w:rsidRDefault="00797EA7" w:rsidP="00797EA7">
      <w:pPr>
        <w:numPr>
          <w:ilvl w:val="0"/>
          <w:numId w:val="10"/>
        </w:numPr>
        <w:rPr>
          <w:shd w:val="clear" w:color="auto" w:fill="FFFFFF"/>
          <w:lang w:eastAsia="en-AU"/>
        </w:rPr>
      </w:pPr>
      <w:r w:rsidRPr="00797EA7">
        <w:rPr>
          <w:b/>
          <w:bCs/>
          <w:shd w:val="clear" w:color="auto" w:fill="FFFFFF"/>
          <w:lang w:eastAsia="en-AU"/>
        </w:rPr>
        <w:t>Strategic Decisions:</w:t>
      </w:r>
      <w:r w:rsidRPr="00797EA7">
        <w:rPr>
          <w:shd w:val="clear" w:color="auto" w:fill="FFFFFF"/>
          <w:lang w:eastAsia="en-AU"/>
        </w:rPr>
        <w:t xml:space="preserve"> On a broader scale, the visualization offers insights for long-term planning. For instance, urban planners and policymakers can use the data to design future city layouts or develop nationwide disaster preparedness strategies.</w:t>
      </w:r>
    </w:p>
    <w:p w14:paraId="51EE40D7" w14:textId="01192694" w:rsidR="00464882" w:rsidRPr="00D876DA" w:rsidRDefault="00797EA7" w:rsidP="00464882">
      <w:pPr>
        <w:rPr>
          <w:shd w:val="clear" w:color="auto" w:fill="FFFFFF"/>
          <w:lang w:eastAsia="en-AU"/>
        </w:rPr>
      </w:pPr>
      <w:r w:rsidRPr="00797EA7">
        <w:rPr>
          <w:shd w:val="clear" w:color="auto" w:fill="FFFFFF"/>
          <w:lang w:eastAsia="en-AU"/>
        </w:rPr>
        <w:t>The central insight my visualization communicates is the pronounced clustering of magnitude 6+ earthquakes around specific global regions, especially the Pacific Ring of Fire. By leveraging the principles</w:t>
      </w:r>
      <w:r w:rsidR="00E84CF1">
        <w:rPr>
          <w:shd w:val="clear" w:color="auto" w:fill="FFFFFF"/>
          <w:lang w:eastAsia="en-AU"/>
        </w:rPr>
        <w:t xml:space="preserve"> from this unit, </w:t>
      </w:r>
      <w:r w:rsidRPr="00797EA7">
        <w:rPr>
          <w:shd w:val="clear" w:color="auto" w:fill="FFFFFF"/>
          <w:lang w:eastAsia="en-AU"/>
        </w:rPr>
        <w:t>this visualization not only presents raw data but transforms it into actionable intelligence, bridging the gap between knowledge, collaboration, and decision-making.</w:t>
      </w:r>
    </w:p>
    <w:p w14:paraId="6F39E0A8" w14:textId="77777777" w:rsidR="00723D36" w:rsidRPr="00464882" w:rsidRDefault="00723D36" w:rsidP="009545D5"/>
    <w:sectPr w:rsidR="00723D36" w:rsidRPr="00464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11D8" w14:textId="77777777" w:rsidR="006E5626" w:rsidRDefault="006E5626" w:rsidP="00B30B32">
      <w:pPr>
        <w:spacing w:after="0" w:line="240" w:lineRule="auto"/>
      </w:pPr>
      <w:r>
        <w:separator/>
      </w:r>
    </w:p>
  </w:endnote>
  <w:endnote w:type="continuationSeparator" w:id="0">
    <w:p w14:paraId="10EE47D8" w14:textId="77777777" w:rsidR="006E5626" w:rsidRDefault="006E5626" w:rsidP="00B3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3FF9" w14:textId="77777777" w:rsidR="006E5626" w:rsidRDefault="006E5626" w:rsidP="00B30B32">
      <w:pPr>
        <w:spacing w:after="0" w:line="240" w:lineRule="auto"/>
      </w:pPr>
      <w:r>
        <w:separator/>
      </w:r>
    </w:p>
  </w:footnote>
  <w:footnote w:type="continuationSeparator" w:id="0">
    <w:p w14:paraId="028C1EE9" w14:textId="77777777" w:rsidR="006E5626" w:rsidRDefault="006E5626" w:rsidP="00B30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3765"/>
    <w:multiLevelType w:val="hybridMultilevel"/>
    <w:tmpl w:val="16AAB8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47B4"/>
    <w:multiLevelType w:val="hybridMultilevel"/>
    <w:tmpl w:val="16AAB8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AB3"/>
    <w:multiLevelType w:val="hybridMultilevel"/>
    <w:tmpl w:val="2F74D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B12"/>
    <w:multiLevelType w:val="multilevel"/>
    <w:tmpl w:val="5EB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330964"/>
    <w:multiLevelType w:val="hybridMultilevel"/>
    <w:tmpl w:val="FDE0FFA2"/>
    <w:lvl w:ilvl="0" w:tplc="0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99043A3"/>
    <w:multiLevelType w:val="multilevel"/>
    <w:tmpl w:val="2CE2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556CB"/>
    <w:multiLevelType w:val="hybridMultilevel"/>
    <w:tmpl w:val="BF76B806"/>
    <w:lvl w:ilvl="0" w:tplc="A5BA62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43F7F"/>
    <w:multiLevelType w:val="hybridMultilevel"/>
    <w:tmpl w:val="16AAB8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E032B"/>
    <w:multiLevelType w:val="hybridMultilevel"/>
    <w:tmpl w:val="93D4D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24E4D"/>
    <w:multiLevelType w:val="multilevel"/>
    <w:tmpl w:val="34E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452228"/>
    <w:multiLevelType w:val="multilevel"/>
    <w:tmpl w:val="472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1993954">
    <w:abstractNumId w:val="0"/>
  </w:num>
  <w:num w:numId="2" w16cid:durableId="1346706272">
    <w:abstractNumId w:val="7"/>
  </w:num>
  <w:num w:numId="3" w16cid:durableId="1327517922">
    <w:abstractNumId w:val="1"/>
  </w:num>
  <w:num w:numId="4" w16cid:durableId="1415853584">
    <w:abstractNumId w:val="5"/>
  </w:num>
  <w:num w:numId="5" w16cid:durableId="2129425617">
    <w:abstractNumId w:val="9"/>
  </w:num>
  <w:num w:numId="6" w16cid:durableId="1959527956">
    <w:abstractNumId w:val="4"/>
  </w:num>
  <w:num w:numId="7" w16cid:durableId="1699089806">
    <w:abstractNumId w:val="8"/>
  </w:num>
  <w:num w:numId="8" w16cid:durableId="2017464958">
    <w:abstractNumId w:val="2"/>
  </w:num>
  <w:num w:numId="9" w16cid:durableId="1293832061">
    <w:abstractNumId w:val="6"/>
  </w:num>
  <w:num w:numId="10" w16cid:durableId="882643024">
    <w:abstractNumId w:val="10"/>
  </w:num>
  <w:num w:numId="11" w16cid:durableId="454562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3B"/>
    <w:rsid w:val="0006095F"/>
    <w:rsid w:val="000852DD"/>
    <w:rsid w:val="00156EA5"/>
    <w:rsid w:val="001A16E5"/>
    <w:rsid w:val="0020322F"/>
    <w:rsid w:val="0027053F"/>
    <w:rsid w:val="00464882"/>
    <w:rsid w:val="004F6348"/>
    <w:rsid w:val="005020E4"/>
    <w:rsid w:val="005E6ACD"/>
    <w:rsid w:val="006054E4"/>
    <w:rsid w:val="006107D0"/>
    <w:rsid w:val="006C7F80"/>
    <w:rsid w:val="006E173F"/>
    <w:rsid w:val="006E5626"/>
    <w:rsid w:val="006F3EAF"/>
    <w:rsid w:val="00723D36"/>
    <w:rsid w:val="00797EA7"/>
    <w:rsid w:val="00822B8F"/>
    <w:rsid w:val="008873AA"/>
    <w:rsid w:val="00946440"/>
    <w:rsid w:val="0094765D"/>
    <w:rsid w:val="009545D5"/>
    <w:rsid w:val="00A14274"/>
    <w:rsid w:val="00A371B8"/>
    <w:rsid w:val="00A5619F"/>
    <w:rsid w:val="00A61979"/>
    <w:rsid w:val="00AC3298"/>
    <w:rsid w:val="00AD3CF5"/>
    <w:rsid w:val="00AD7F77"/>
    <w:rsid w:val="00AE4A68"/>
    <w:rsid w:val="00B125C9"/>
    <w:rsid w:val="00B30B32"/>
    <w:rsid w:val="00B30FDD"/>
    <w:rsid w:val="00C2754E"/>
    <w:rsid w:val="00C83F54"/>
    <w:rsid w:val="00C85121"/>
    <w:rsid w:val="00C96758"/>
    <w:rsid w:val="00CB25AB"/>
    <w:rsid w:val="00D1640E"/>
    <w:rsid w:val="00D57F39"/>
    <w:rsid w:val="00D876DA"/>
    <w:rsid w:val="00D967A0"/>
    <w:rsid w:val="00E00B3B"/>
    <w:rsid w:val="00E17E52"/>
    <w:rsid w:val="00E37B50"/>
    <w:rsid w:val="00E84CF1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9A0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3B"/>
    <w:pPr>
      <w:spacing w:after="120" w:line="256" w:lineRule="auto"/>
      <w:contextualSpacing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B3B"/>
    <w:pPr>
      <w:pBdr>
        <w:bottom w:val="single" w:sz="4" w:space="1" w:color="A6A6A6" w:themeColor="background1" w:themeShade="A6"/>
      </w:pBdr>
      <w:spacing w:before="240" w:after="60" w:line="300" w:lineRule="auto"/>
      <w:outlineLvl w:val="0"/>
    </w:pPr>
    <w:rPr>
      <w:rFonts w:ascii="Century Gothic" w:eastAsiaTheme="majorEastAsia" w:hAnsi="Century Gothic" w:cstheme="majorBidi"/>
      <w:color w:val="2F5496" w:themeColor="accent1" w:themeShade="BF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3B"/>
    <w:rPr>
      <w:rFonts w:ascii="Century Gothic" w:eastAsiaTheme="majorEastAsia" w:hAnsi="Century Gothic" w:cstheme="majorBidi"/>
      <w:color w:val="2F5496" w:themeColor="accent1" w:themeShade="BF"/>
      <w:sz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E00B3B"/>
    <w:pPr>
      <w:spacing w:after="0" w:line="240" w:lineRule="auto"/>
    </w:pPr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sid w:val="00E00B3B"/>
    <w:rPr>
      <w:rFonts w:asciiTheme="majorHAnsi" w:eastAsiaTheme="majorEastAsia" w:hAnsiTheme="majorHAnsi" w:cstheme="majorBidi"/>
      <w:color w:val="44546A" w:themeColor="text2"/>
      <w:kern w:val="28"/>
      <w:sz w:val="56"/>
      <w:szCs w:val="56"/>
      <w:lang w:val="en-US" w:eastAsia="ja-JP"/>
    </w:rPr>
  </w:style>
  <w:style w:type="paragraph" w:styleId="ListParagraph">
    <w:name w:val="List Paragraph"/>
    <w:basedOn w:val="Normal"/>
    <w:uiPriority w:val="34"/>
    <w:qFormat/>
    <w:rsid w:val="00E00B3B"/>
    <w:pPr>
      <w:ind w:left="720"/>
    </w:pPr>
  </w:style>
  <w:style w:type="table" w:styleId="TableGrid">
    <w:name w:val="Table Grid"/>
    <w:basedOn w:val="TableNormal"/>
    <w:uiPriority w:val="39"/>
    <w:rsid w:val="00954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48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882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7D0"/>
    <w:pPr>
      <w:numPr>
        <w:ilvl w:val="1"/>
      </w:num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after="160"/>
    </w:pPr>
    <w:rPr>
      <w:rFonts w:eastAsiaTheme="minorEastAsia"/>
      <w:color w:val="5A5A5A" w:themeColor="text1" w:themeTint="A5"/>
      <w:spacing w:val="15"/>
      <w:szCs w:val="20"/>
      <w:shd w:val="clear" w:color="auto" w:fill="FFFFFF"/>
      <w:lang w:eastAsia="en-AU"/>
    </w:rPr>
  </w:style>
  <w:style w:type="character" w:customStyle="1" w:styleId="SubtitleChar">
    <w:name w:val="Subtitle Char"/>
    <w:basedOn w:val="DefaultParagraphFont"/>
    <w:link w:val="Subtitle"/>
    <w:uiPriority w:val="11"/>
    <w:rsid w:val="006107D0"/>
    <w:rPr>
      <w:rFonts w:eastAsiaTheme="minorEastAsia"/>
      <w:color w:val="5A5A5A" w:themeColor="text1" w:themeTint="A5"/>
      <w:spacing w:val="15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5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B3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B3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B32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0FD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2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5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135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923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287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9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58274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0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629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10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206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05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8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83564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32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86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371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424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3900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30979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489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560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2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11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07192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14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024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114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062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89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60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98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354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5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2019-09-13T06:37:00Z</dcterms:created>
  <dcterms:modified xsi:type="dcterms:W3CDTF">2023-09-22T16:05:00Z</dcterms:modified>
</cp:coreProperties>
</file>