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drawing>
          <wp:inline distT="0" distB="0" distL="0" distR="0">
            <wp:extent cx="552450" cy="552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52450" cy="552450"/>
                    </a:xfrm>
                    <a:prstGeom prst="rect">
                      <a:avLst/>
                    </a:prstGeom>
                  </pic:spPr>
                </pic:pic>
              </a:graphicData>
            </a:graphic>
          </wp:inline>
        </w:drawing>
      </w:r>
    </w:p>
    <w:p>
      <w:pPr>
        <w:spacing w:after="0" w:before="0" w:line="240"/>
        <w:jc w:val="center"/>
      </w:pPr>
      <w:r>
        <w:rPr>
          <w:rFonts w:ascii="Times New Roman" w:cs="Times New Roman" w:eastAsia="Times New Roman" w:hAnsi="Times New Roman"/>
          <w:b/>
          <w:bCs/>
          <w:sz w:val="19"/>
          <w:szCs w:val="19"/>
        </w:rPr>
        <w:t xml:space="preserve">NATIONAL INSTITUTE OF TECHNOLOGY SILCHAR, ASSAM (INDIA) – 788010</w:t>
      </w:r>
    </w:p>
    <w:p>
      <w:pPr>
        <w:spacing w:after="60" w:before="0" w:line="240"/>
        <w:jc w:val="center"/>
      </w:pPr>
      <w:r>
        <w:rPr>
          <w:rFonts w:ascii="Times New Roman" w:cs="Times New Roman" w:eastAsia="Times New Roman" w:hAnsi="Times New Roman"/>
          <w:sz w:val="19"/>
          <w:szCs w:val="19"/>
        </w:rPr>
        <w:t xml:space="preserve">DEPARTMENT OF ELECTRONICS AND COMMUNICATION ENGINEERING</w:t>
      </w:r>
    </w:p>
    <w:p>
      <w:pPr>
        <w:spacing w:after="20" w:before="0" w:line="240"/>
        <w:jc w:val="center"/>
      </w:pPr>
      <w:r>
        <w:rPr>
          <w:rFonts w:ascii="Times New Roman" w:cs="Times New Roman" w:eastAsia="Times New Roman" w:hAnsi="Times New Roman"/>
          <w:b/>
          <w:bCs/>
          <w:sz w:val="22"/>
          <w:szCs w:val="22"/>
        </w:rPr>
        <w:t xml:space="preserve">B. Tech. PROJECT REPORT (Mid-Semester Evaluation)</w:t>
      </w:r>
    </w:p>
    <w:p>
      <w:pPr>
        <w:spacing w:after="40" w:before="0" w:line="240"/>
        <w:jc w:val="center"/>
      </w:pPr>
      <w:r>
        <w:rPr>
          <w:rFonts w:ascii="Times New Roman" w:cs="Times New Roman" w:eastAsia="Times New Roman" w:hAnsi="Times New Roman"/>
          <w:b/>
          <w:bCs/>
          <w:sz w:val="26"/>
          <w:szCs w:val="26"/>
        </w:rPr>
        <w:t xml:space="preserve">QUANTUM FACE RECOGNITION WITH MULTI-GATE QUANTUM CONVOLUTIONAL NEURAL NETWORK</w:t>
      </w:r>
    </w:p>
    <w:p>
      <w:pPr>
        <w:spacing w:after="90" w:before="0" w:line="240"/>
        <w:jc w:val="center"/>
      </w:pPr>
      <w:r>
        <w:rPr>
          <w:rFonts w:ascii="Times New Roman" w:cs="Times New Roman" w:eastAsia="Times New Roman" w:hAnsi="Times New Roman"/>
          <w:sz w:val="19"/>
          <w:szCs w:val="19"/>
        </w:rPr>
        <w:t xml:space="preserve">Submitted by: Subrata Lodh (2314051), Yesh Agarwal (2314080)   |   Supervisor: Dr. Banani Basu   |   Supervisor’s signature: ____________</w:t>
      </w:r>
    </w:p>
    <w:p>
      <w:pPr>
        <w:keepNext/>
        <w:spacing w:after="60" w:before="140"/>
      </w:pPr>
      <w:r>
        <w:rPr>
          <w:rFonts w:ascii="Times New Roman" w:cs="Times New Roman" w:eastAsia="Times New Roman" w:hAnsi="Times New Roman"/>
          <w:b/>
          <w:bCs/>
          <w:sz w:val="25"/>
          <w:szCs w:val="25"/>
        </w:rPr>
        <w:t xml:space="preserve">Abstract</w:t>
      </w:r>
    </w:p>
    <w:p>
      <w:pPr>
        <w:spacing w:after="70" w:before="0" w:line="240"/>
        <w:jc w:val="both"/>
      </w:pPr>
      <w:r>
        <w:rPr>
          <w:rFonts w:ascii="Times New Roman" w:cs="Times New Roman" w:eastAsia="Times New Roman" w:hAnsi="Times New Roman"/>
          <w:sz w:val="20"/>
          <w:szCs w:val="20"/>
        </w:rPr>
        <w:t xml:space="preserve">Face recognition is one of the most widely deployed biometric technologies, and deep convolutional neural networks (CNNs) dominate it, but at a steadily growing computational cost [1, 2]. Quantum machine learning offers an alternative, yet today’s noisy intermediate-scale quantum (NISQ) devices provide only a handful of qubits, so a whole face image cannot be encoded with one qubit per pixel [3, 4]. This project studies and implements the multi-gate quantum convolutional neural network (MG-QCNN) of Zhu </w:t>
      </w:r>
      <w:r>
        <w:rPr>
          <w:rFonts w:ascii="Times New Roman" w:cs="Times New Roman" w:eastAsia="Times New Roman" w:hAnsi="Times New Roman"/>
          <w:i/>
          <w:iCs/>
          <w:sz w:val="20"/>
          <w:szCs w:val="20"/>
        </w:rPr>
        <w:t xml:space="preserve">et al.</w:t>
      </w:r>
      <w:r>
        <w:rPr>
          <w:rFonts w:ascii="Times New Roman" w:cs="Times New Roman" w:eastAsia="Times New Roman" w:hAnsi="Times New Roman"/>
          <w:sz w:val="20"/>
          <w:szCs w:val="20"/>
        </w:rPr>
        <w:t xml:space="preserve"> [4], a hybrid model in which a four-qubit variational circuit acts as a convolution filter sliding over the image. Each 2×2 patch is angle-encoded with R</w:t>
      </w:r>
      <w:r>
        <w:rPr>
          <w:rFonts w:ascii="Times New Roman" w:cs="Times New Roman" w:eastAsia="Times New Roman" w:hAnsi="Times New Roman"/>
          <w:sz w:val="20"/>
          <w:szCs w:val="20"/>
          <w:vertAlign w:val="subscript"/>
        </w:rPr>
        <w:t xml:space="preserve">Y</w:t>
      </w:r>
      <w:r>
        <w:rPr>
          <w:rFonts w:ascii="Times New Roman" w:cs="Times New Roman" w:eastAsia="Times New Roman" w:hAnsi="Times New Roman"/>
          <w:sz w:val="20"/>
          <w:szCs w:val="20"/>
        </w:rPr>
        <w:t xml:space="preserve"> gates, processed by trainable R</w:t>
      </w:r>
      <w:r>
        <w:rPr>
          <w:rFonts w:ascii="Times New Roman" w:cs="Times New Roman" w:eastAsia="Times New Roman" w:hAnsi="Times New Roman"/>
          <w:sz w:val="20"/>
          <w:szCs w:val="20"/>
          <w:vertAlign w:val="subscript"/>
        </w:rPr>
        <w:t xml:space="preserve">Z</w:t>
      </w:r>
      <w:r>
        <w:rPr>
          <w:rFonts w:ascii="Times New Roman" w:cs="Times New Roman" w:eastAsia="Times New Roman" w:hAnsi="Times New Roman"/>
          <w:sz w:val="20"/>
          <w:szCs w:val="20"/>
        </w:rPr>
        <w:t xml:space="preserve"> and R</w:t>
      </w:r>
      <w:r>
        <w:rPr>
          <w:rFonts w:ascii="Times New Roman" w:cs="Times New Roman" w:eastAsia="Times New Roman" w:hAnsi="Times New Roman"/>
          <w:sz w:val="20"/>
          <w:szCs w:val="20"/>
          <w:vertAlign w:val="subscript"/>
        </w:rPr>
        <w:t xml:space="preserve">X</w:t>
      </w:r>
      <w:r>
        <w:rPr>
          <w:rFonts w:ascii="Times New Roman" w:cs="Times New Roman" w:eastAsia="Times New Roman" w:hAnsi="Times New Roman"/>
          <w:sz w:val="20"/>
          <w:szCs w:val="20"/>
        </w:rPr>
        <w:t xml:space="preserve"> rotations (eight parameters) and a CNOT chain, and read out as Pauli-Z expectation values; a fully connected layer classifies the resulting 24×24×4 feature maps.</w:t>
      </w:r>
    </w:p>
    <w:p>
      <w:pPr>
        <w:spacing w:after="70" w:before="0" w:line="240"/>
        <w:jc w:val="both"/>
      </w:pPr>
      <w:r>
        <w:rPr>
          <w:rFonts w:ascii="Times New Roman" w:cs="Times New Roman" w:eastAsia="Times New Roman" w:hAnsi="Times New Roman"/>
          <w:sz w:val="20"/>
          <w:szCs w:val="20"/>
        </w:rPr>
        <w:t xml:space="preserve">Up to mid-semester we implemented the complete pipeline in PennyLane and PyTorch, derived a closed-form expression for the filter output and confirmed it against the circuit (maximum error 7×10</w:t>
      </w:r>
      <w:r>
        <w:rPr>
          <w:rFonts w:ascii="Times New Roman" w:cs="Times New Roman" w:eastAsia="Times New Roman" w:hAnsi="Times New Roman"/>
          <w:sz w:val="20"/>
          <w:szCs w:val="20"/>
          <w:vertAlign w:val="superscript"/>
        </w:rPr>
        <w:t xml:space="preserve">−16</w:t>
      </w:r>
      <w:r>
        <w:rPr>
          <w:rFonts w:ascii="Times New Roman" w:cs="Times New Roman" w:eastAsia="Times New Roman" w:hAnsi="Times New Roman"/>
          <w:sz w:val="20"/>
          <w:szCs w:val="20"/>
        </w:rPr>
        <w:t xml:space="preserve">), and analysed the training cost of the hardware-compatible parameter-shift rule against simulator backpropagation, which gives identical gradients (agreement 2.2×10</w:t>
      </w:r>
      <w:r>
        <w:rPr>
          <w:rFonts w:ascii="Times New Roman" w:cs="Times New Roman" w:eastAsia="Times New Roman" w:hAnsi="Times New Roman"/>
          <w:sz w:val="20"/>
          <w:szCs w:val="20"/>
          <w:vertAlign w:val="superscript"/>
        </w:rPr>
        <w:t xml:space="preserve">−15</w:t>
      </w:r>
      <w:r>
        <w:rPr>
          <w:rFonts w:ascii="Times New Roman" w:cs="Times New Roman" w:eastAsia="Times New Roman" w:hAnsi="Times New Roman"/>
          <w:sz w:val="20"/>
          <w:szCs w:val="20"/>
        </w:rPr>
        <w:t xml:space="preserve">). Evaluated with 1000 shots over ten random splits, the model reaches a mean test accuracy of </w:t>
      </w:r>
      <w:r>
        <w:rPr>
          <w:rFonts w:ascii="Times New Roman" w:cs="Times New Roman" w:eastAsia="Times New Roman" w:hAnsi="Times New Roman"/>
          <w:b/>
          <w:bCs/>
          <w:sz w:val="20"/>
          <w:szCs w:val="20"/>
        </w:rPr>
        <w:t xml:space="preserve">94.67%</w:t>
      </w:r>
      <w:r>
        <w:rPr>
          <w:rFonts w:ascii="Times New Roman" w:cs="Times New Roman" w:eastAsia="Times New Roman" w:hAnsi="Times New Roman"/>
          <w:sz w:val="20"/>
          <w:szCs w:val="20"/>
        </w:rPr>
        <w:t xml:space="preserve"> (max 97.50%, std 1.68) on ORL and </w:t>
      </w:r>
      <w:r>
        <w:rPr>
          <w:rFonts w:ascii="Times New Roman" w:cs="Times New Roman" w:eastAsia="Times New Roman" w:hAnsi="Times New Roman"/>
          <w:b/>
          <w:bCs/>
          <w:sz w:val="20"/>
          <w:szCs w:val="20"/>
        </w:rPr>
        <w:t xml:space="preserve">85.56%</w:t>
      </w:r>
      <w:r>
        <w:rPr>
          <w:rFonts w:ascii="Times New Roman" w:cs="Times New Roman" w:eastAsia="Times New Roman" w:hAnsi="Times New Roman"/>
          <w:sz w:val="20"/>
          <w:szCs w:val="20"/>
        </w:rPr>
        <w:t xml:space="preserve"> (max 91.11%, std 4.79) on Yale. On Yale the training accuracy reaches 100% on only 120 images, and data augmentation did not help, which points to over-fitting. Min–max pixel scaling beat Gaussian scaling on both datasets. Remaining work: ablations, noise studies, hardware readiness and a feature-extraction stage to reduce circuit cost.</w:t>
      </w:r>
    </w:p>
    <w:p>
      <w:pPr>
        <w:keepNext/>
        <w:spacing w:after="60" w:before="140"/>
      </w:pPr>
      <w:r>
        <w:rPr>
          <w:rFonts w:ascii="Times New Roman" w:cs="Times New Roman" w:eastAsia="Times New Roman" w:hAnsi="Times New Roman"/>
          <w:b/>
          <w:bCs/>
          <w:sz w:val="25"/>
          <w:szCs w:val="25"/>
        </w:rPr>
        <w:t xml:space="preserve">1. Introduction</w:t>
      </w:r>
    </w:p>
    <w:p>
      <w:pPr>
        <w:spacing w:after="70" w:before="0" w:line="240"/>
        <w:jc w:val="both"/>
      </w:pPr>
      <w:r>
        <w:rPr>
          <w:rFonts w:ascii="Times New Roman" w:cs="Times New Roman" w:eastAsia="Times New Roman" w:hAnsi="Times New Roman"/>
          <w:sz w:val="20"/>
          <w:szCs w:val="20"/>
        </w:rPr>
        <w:t xml:space="preserve">Face recognition identifies or verifies a person from a face image and is used in banking, security and government services. A typical system pre-processes the image, extracts facial features and matches them against known identities; feature-extraction quality largely decides accuracy [1]. Classical methods such as KNN and SVM were replaced by deep learning, in particular CNNs [5], whose shared kernels suit images with correlated neighbouring pixels (DeepFace: 97.35% on LFW [6]), but at ever larger compute budgets [2].</w:t>
      </w:r>
    </w:p>
    <w:p>
      <w:pPr>
        <w:spacing w:after="70" w:before="0" w:line="240"/>
        <w:jc w:val="both"/>
      </w:pPr>
      <w:r>
        <w:rPr>
          <w:rFonts w:ascii="Times New Roman" w:cs="Times New Roman" w:eastAsia="Times New Roman" w:hAnsi="Times New Roman"/>
          <w:sz w:val="20"/>
          <w:szCs w:val="20"/>
        </w:rPr>
        <w:t xml:space="preserve">Quantum computing is a candidate for more efficient learning [3, 7], but current NISQ hardware offers only a few tens of reliable qubits, so a practical approach must extract features from small regions with few qubits, like a classical kernel that processes one window at a time. The MG-QCNN of Zhu </w:t>
      </w:r>
      <w:r>
        <w:rPr>
          <w:rFonts w:ascii="Times New Roman" w:cs="Times New Roman" w:eastAsia="Times New Roman" w:hAnsi="Times New Roman"/>
          <w:i/>
          <w:iCs/>
          <w:sz w:val="20"/>
          <w:szCs w:val="20"/>
        </w:rPr>
        <w:t xml:space="preserve">et al.</w:t>
      </w:r>
      <w:r>
        <w:rPr>
          <w:rFonts w:ascii="Times New Roman" w:cs="Times New Roman" w:eastAsia="Times New Roman" w:hAnsi="Times New Roman"/>
          <w:sz w:val="20"/>
          <w:szCs w:val="20"/>
        </w:rPr>
        <w:t xml:space="preserve"> [4] follows this idea: a fixed four-qubit variational circuit is used as a “quanvolutional” filter on every 2×2 patch. The objectives of the project are:</w:t>
      </w:r>
    </w:p>
    <w:p>
      <w:pPr>
        <w:pStyle w:val="ListParagraph"/>
        <w:numPr>
          <w:ilvl w:val="0"/>
          <w:numId w:val="2"/>
        </w:numPr>
        <w:spacing w:after="30" w:line="250"/>
        <w:jc w:val="both"/>
      </w:pPr>
      <w:r>
        <w:rPr>
          <w:rFonts w:ascii="Times New Roman" w:cs="Times New Roman" w:eastAsia="Times New Roman" w:hAnsi="Times New Roman"/>
          <w:sz w:val="20"/>
          <w:szCs w:val="20"/>
        </w:rPr>
        <w:t xml:space="preserve">To study quantum machine learning: angle encoding, variational circuits and quanvolution.</w:t>
      </w:r>
    </w:p>
    <w:p>
      <w:pPr>
        <w:pStyle w:val="ListParagraph"/>
        <w:numPr>
          <w:ilvl w:val="0"/>
          <w:numId w:val="2"/>
        </w:numPr>
        <w:spacing w:after="30" w:line="250"/>
        <w:jc w:val="both"/>
      </w:pPr>
      <w:r>
        <w:rPr>
          <w:rFonts w:ascii="Times New Roman" w:cs="Times New Roman" w:eastAsia="Times New Roman" w:hAnsi="Times New Roman"/>
          <w:sz w:val="20"/>
          <w:szCs w:val="20"/>
        </w:rPr>
        <w:t xml:space="preserve">To implement the MG-QCNN with PennyLane and PyTorch and derive its filter function analytically.</w:t>
      </w:r>
    </w:p>
    <w:p>
      <w:pPr>
        <w:pStyle w:val="ListParagraph"/>
        <w:numPr>
          <w:ilvl w:val="0"/>
          <w:numId w:val="2"/>
        </w:numPr>
        <w:spacing w:after="30" w:line="250"/>
        <w:jc w:val="both"/>
      </w:pPr>
      <w:r>
        <w:rPr>
          <w:rFonts w:ascii="Times New Roman" w:cs="Times New Roman" w:eastAsia="Times New Roman" w:hAnsi="Times New Roman"/>
          <w:sz w:val="20"/>
          <w:szCs w:val="20"/>
        </w:rPr>
        <w:t xml:space="preserve">To evaluate it on the ORL and Yale databases with a statistically sound protocol (ten random splits, finite-shot testing).</w:t>
      </w:r>
    </w:p>
    <w:p>
      <w:pPr>
        <w:pStyle w:val="ListParagraph"/>
        <w:numPr>
          <w:ilvl w:val="0"/>
          <w:numId w:val="2"/>
        </w:numPr>
        <w:spacing w:after="30" w:line="250"/>
        <w:jc w:val="both"/>
      </w:pPr>
      <w:r>
        <w:rPr>
          <w:rFonts w:ascii="Times New Roman" w:cs="Times New Roman" w:eastAsia="Times New Roman" w:hAnsi="Times New Roman"/>
          <w:sz w:val="20"/>
          <w:szCs w:val="20"/>
        </w:rPr>
        <w:t xml:space="preserve">To analyse the role of gates, entanglement, filter size, shot noise and hardware cost.</w:t>
      </w:r>
    </w:p>
    <w:p>
      <w:pPr>
        <w:keepNext/>
        <w:spacing w:after="60" w:before="140"/>
      </w:pPr>
      <w:r>
        <w:rPr>
          <w:rFonts w:ascii="Times New Roman" w:cs="Times New Roman" w:eastAsia="Times New Roman" w:hAnsi="Times New Roman"/>
          <w:b/>
          <w:bCs/>
          <w:sz w:val="25"/>
          <w:szCs w:val="25"/>
        </w:rPr>
        <w:t xml:space="preserve">2. Literature Review</w:t>
      </w:r>
    </w:p>
    <w:p>
      <w:pPr>
        <w:spacing w:after="70" w:before="0" w:line="240"/>
        <w:jc w:val="both"/>
      </w:pPr>
      <w:r>
        <w:rPr>
          <w:rFonts w:ascii="Times New Roman" w:cs="Times New Roman" w:eastAsia="Times New Roman" w:hAnsi="Times New Roman"/>
          <w:b/>
          <w:bCs/>
          <w:sz w:val="20"/>
          <w:szCs w:val="20"/>
        </w:rPr>
        <w:t xml:space="preserve">Classical face recognition.</w:t>
      </w:r>
      <w:r>
        <w:rPr>
          <w:rFonts w:ascii="Times New Roman" w:cs="Times New Roman" w:eastAsia="Times New Roman" w:hAnsi="Times New Roman"/>
          <w:sz w:val="20"/>
          <w:szCs w:val="20"/>
        </w:rPr>
        <w:t xml:space="preserve"> Hand-crafted features (Gabor responses, elastic graph matching) with KNN or SVM gave way to deep CNNs [1], whose computational requirements grow faster than hardware efficiency [2]; this motivates models with far fewer trainable resources. </w:t>
      </w:r>
      <w:r>
        <w:rPr>
          <w:rFonts w:ascii="Times New Roman" w:cs="Times New Roman" w:eastAsia="Times New Roman" w:hAnsi="Times New Roman"/>
          <w:b/>
          <w:bCs/>
          <w:sz w:val="20"/>
          <w:szCs w:val="20"/>
        </w:rPr>
        <w:t xml:space="preserve">Variational circuits and quanvolution.</w:t>
      </w:r>
      <w:r>
        <w:rPr>
          <w:rFonts w:ascii="Times New Roman" w:cs="Times New Roman" w:eastAsia="Times New Roman" w:hAnsi="Times New Roman"/>
          <w:sz w:val="20"/>
          <w:szCs w:val="20"/>
        </w:rPr>
        <w:t xml:space="preserve"> Variational quantum algorithms train a parameterised circuit with a classical optimiser: rotation angles act as weights, the output is an expectation value, and parameters are updated by gradient descent [7]. They are the natural building block for hybrid networks on NISQ devices [3]. Highly random or expressive circuits on many qubits suffer from barren plateaus, where gradients vanish exponentially [8, 9], so small, fixed, structured circuits are preferred. Cong </w:t>
      </w:r>
      <w:r>
        <w:rPr>
          <w:rFonts w:ascii="Times New Roman" w:cs="Times New Roman" w:eastAsia="Times New Roman" w:hAnsi="Times New Roman"/>
          <w:i/>
          <w:iCs/>
          <w:sz w:val="20"/>
          <w:szCs w:val="20"/>
        </w:rPr>
        <w:t xml:space="preserve">et al.</w:t>
      </w:r>
      <w:r>
        <w:rPr>
          <w:rFonts w:ascii="Times New Roman" w:cs="Times New Roman" w:eastAsia="Times New Roman" w:hAnsi="Times New Roman"/>
          <w:sz w:val="20"/>
          <w:szCs w:val="20"/>
        </w:rPr>
        <w:t xml:space="preserve"> introduced a QCNN for many-body physics without a sliding filter, which would need one qubit per pixel for images [10]. Henderson </w:t>
      </w:r>
      <w:r>
        <w:rPr>
          <w:rFonts w:ascii="Times New Roman" w:cs="Times New Roman" w:eastAsia="Times New Roman" w:hAnsi="Times New Roman"/>
          <w:i/>
          <w:iCs/>
          <w:sz w:val="20"/>
          <w:szCs w:val="20"/>
        </w:rPr>
        <w:t xml:space="preserve">et al.</w:t>
      </w:r>
      <w:r>
        <w:rPr>
          <w:rFonts w:ascii="Times New Roman" w:cs="Times New Roman" w:eastAsia="Times New Roman" w:hAnsi="Times New Roman"/>
          <w:sz w:val="20"/>
          <w:szCs w:val="20"/>
        </w:rPr>
        <w:t xml:space="preserve"> proposed the quanvolutional network with random, non-trainable filters [11]; Mattern </w:t>
      </w:r>
      <w:r>
        <w:rPr>
          <w:rFonts w:ascii="Times New Roman" w:cs="Times New Roman" w:eastAsia="Times New Roman" w:hAnsi="Times New Roman"/>
          <w:i/>
          <w:iCs/>
          <w:sz w:val="20"/>
          <w:szCs w:val="20"/>
        </w:rPr>
        <w:t xml:space="preserve">et al.</w:t>
      </w:r>
      <w:r>
        <w:rPr>
          <w:rFonts w:ascii="Times New Roman" w:cs="Times New Roman" w:eastAsia="Times New Roman" w:hAnsi="Times New Roman"/>
          <w:sz w:val="20"/>
          <w:szCs w:val="20"/>
        </w:rPr>
        <w:t xml:space="preserve"> added trainable gates (VQNN) but kept random circuits [12]; Oh </w:t>
      </w:r>
      <w:r>
        <w:rPr>
          <w:rFonts w:ascii="Times New Roman" w:cs="Times New Roman" w:eastAsia="Times New Roman" w:hAnsi="Times New Roman"/>
          <w:i/>
          <w:iCs/>
          <w:sz w:val="20"/>
          <w:szCs w:val="20"/>
        </w:rPr>
        <w:t xml:space="preserve">et al.</w:t>
      </w:r>
      <w:r>
        <w:rPr>
          <w:rFonts w:ascii="Times New Roman" w:cs="Times New Roman" w:eastAsia="Times New Roman" w:hAnsi="Times New Roman"/>
          <w:sz w:val="20"/>
          <w:szCs w:val="20"/>
        </w:rPr>
        <w:t xml:space="preserve"> used a fixed circuit with one measured qubit and several kernels [13]. Other hybrids are HQCCNN [14], HQNN [15] and a QCNN for classical data [16]. In [4] these models use 11 to 22 gates and 2,304 (HQNN) to 23,040 (HQCCNN) quantum parameters on Yale, measure either all or a single qubit, and only VQNN uses a random circuit.</w:t>
      </w:r>
    </w:p>
    <w:p>
      <w:pPr>
        <w:spacing w:after="70" w:before="60" w:line="240"/>
        <w:jc w:val="both"/>
      </w:pPr>
      <w:r>
        <w:rPr>
          <w:rFonts w:ascii="Times New Roman" w:cs="Times New Roman" w:eastAsia="Times New Roman" w:hAnsi="Times New Roman"/>
          <w:b/>
          <w:bCs/>
          <w:sz w:val="20"/>
          <w:szCs w:val="20"/>
        </w:rPr>
        <w:t xml:space="preserve">Research gap.</w:t>
      </w:r>
      <w:r>
        <w:rPr>
          <w:rFonts w:ascii="Times New Roman" w:cs="Times New Roman" w:eastAsia="Times New Roman" w:hAnsi="Times New Roman"/>
          <w:sz w:val="20"/>
          <w:szCs w:val="20"/>
        </w:rPr>
        <w:t xml:space="preserve"> The MG-QCNN [4] combines a fixed circuit, trainable R</w:t>
      </w:r>
      <w:r>
        <w:rPr>
          <w:rFonts w:ascii="Times New Roman" w:cs="Times New Roman" w:eastAsia="Times New Roman" w:hAnsi="Times New Roman"/>
          <w:sz w:val="20"/>
          <w:szCs w:val="20"/>
          <w:vertAlign w:val="subscript"/>
        </w:rPr>
        <w:t xml:space="preserve">X</w:t>
      </w:r>
      <w:r>
        <w:rPr>
          <w:rFonts w:ascii="Times New Roman" w:cs="Times New Roman" w:eastAsia="Times New Roman" w:hAnsi="Times New Roman"/>
          <w:sz w:val="20"/>
          <w:szCs w:val="20"/>
        </w:rPr>
        <w:t xml:space="preserve">/R</w:t>
      </w:r>
      <w:r>
        <w:rPr>
          <w:rFonts w:ascii="Times New Roman" w:cs="Times New Roman" w:eastAsia="Times New Roman" w:hAnsi="Times New Roman"/>
          <w:sz w:val="20"/>
          <w:szCs w:val="20"/>
          <w:vertAlign w:val="subscript"/>
        </w:rPr>
        <w:t xml:space="preserve">Z</w:t>
      </w:r>
      <w:r>
        <w:rPr>
          <w:rFonts w:ascii="Times New Roman" w:cs="Times New Roman" w:eastAsia="Times New Roman" w:hAnsi="Times New Roman"/>
          <w:sz w:val="20"/>
          <w:szCs w:val="20"/>
        </w:rPr>
        <w:t xml:space="preserve"> rotations after R</w:t>
      </w:r>
      <w:r>
        <w:rPr>
          <w:rFonts w:ascii="Times New Roman" w:cs="Times New Roman" w:eastAsia="Times New Roman" w:hAnsi="Times New Roman"/>
          <w:sz w:val="20"/>
          <w:szCs w:val="20"/>
          <w:vertAlign w:val="subscript"/>
        </w:rPr>
        <w:t xml:space="preserve">Y</w:t>
      </w:r>
      <w:r>
        <w:rPr>
          <w:rFonts w:ascii="Times New Roman" w:cs="Times New Roman" w:eastAsia="Times New Roman" w:hAnsi="Times New Roman"/>
          <w:sz w:val="20"/>
          <w:szCs w:val="20"/>
        </w:rPr>
        <w:t xml:space="preserve"> encoding, CNOT entanglement, measurement of all qubits and a sliding 2×2 filter. The authors note that only small datasets were used, simulation was noise-free, a 3×3 kernel is already near the barren-plateau limit, and no hardware experiment was run. Independent implementation, a careful statistical evaluation, an analytical understanding of the filter and an analysis of the training cost and noise are therefore the focus of our work.</w:t>
      </w:r>
    </w:p>
    <w:p>
      <w:pPr>
        <w:keepNext/>
        <w:spacing w:after="60" w:before="140"/>
      </w:pPr>
      <w:r>
        <w:rPr>
          <w:rFonts w:ascii="Times New Roman" w:cs="Times New Roman" w:eastAsia="Times New Roman" w:hAnsi="Times New Roman"/>
          <w:b/>
          <w:bCs/>
          <w:sz w:val="25"/>
          <w:szCs w:val="25"/>
        </w:rPr>
        <w:t xml:space="preserve">3. Methodology</w:t>
      </w:r>
    </w:p>
    <w:p>
      <w:pPr>
        <w:keepNext/>
        <w:spacing w:after="40" w:before="80"/>
      </w:pPr>
      <w:r>
        <w:rPr>
          <w:rFonts w:ascii="Times New Roman" w:cs="Times New Roman" w:eastAsia="Times New Roman" w:hAnsi="Times New Roman"/>
          <w:b/>
          <w:bCs/>
          <w:i/>
          <w:iCs/>
          <w:sz w:val="20"/>
          <w:szCs w:val="20"/>
        </w:rPr>
        <w:t xml:space="preserve">3.1 System overview and data</w:t>
      </w:r>
    </w:p>
    <w:p>
      <w:pPr>
        <w:spacing w:after="70" w:before="0" w:line="240"/>
        <w:jc w:val="both"/>
      </w:pPr>
      <w:r>
        <w:rPr>
          <w:rFonts w:ascii="Times New Roman" w:cs="Times New Roman" w:eastAsia="Times New Roman" w:hAnsi="Times New Roman"/>
          <w:sz w:val="20"/>
          <w:szCs w:val="20"/>
        </w:rPr>
        <w:t xml:space="preserve">The system is a hybrid network with one quantum convolution layer followed by one classical fully connected layer (Fig. 1). A 48×48 grayscale image is divided into non-overlapping 2×2 patches (stride 2), giving </w:t>
      </w:r>
      <w:r>
        <w:rPr>
          <w:rFonts w:ascii="Times New Roman" w:cs="Times New Roman" w:eastAsia="Times New Roman" w:hAnsi="Times New Roman"/>
          <w:i/>
          <w:iCs/>
          <w:sz w:val="20"/>
          <w:szCs w:val="20"/>
        </w:rPr>
        <w:t xml:space="preserve">M</w:t>
      </w:r>
      <w:r>
        <w:rPr>
          <w:rFonts w:ascii="Times New Roman" w:cs="Times New Roman" w:eastAsia="Times New Roman" w:hAnsi="Times New Roman"/>
          <w:sz w:val="20"/>
          <w:szCs w:val="20"/>
        </w:rPr>
        <w:t xml:space="preserve"> = 24×24 = 576 patches. The same four-qubit circuit is applied to every patch and returns four real numbers, so the layer outputs a 24×24×4 tensor, which is flattened to 2304 values and mapped to the 40 ORL subjects (15 for Yale) by a linear layer with softmax.</w:t>
      </w:r>
    </w:p>
    <w:p>
      <w:pPr>
        <w:keepNext/>
        <w:spacing w:after="0" w:before="0"/>
        <w:jc w:val="center"/>
      </w:pPr>
      <w:r>
        <w:drawing>
          <wp:inline distT="0" distB="0" distL="0" distR="0">
            <wp:extent cx="4572000" cy="1466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1466850"/>
                    </a:xfrm>
                    <a:prstGeom prst="rect">
                      <a:avLst/>
                    </a:prstGeom>
                  </pic:spPr>
                </pic:pic>
              </a:graphicData>
            </a:graphic>
          </wp:inline>
        </w:drawing>
      </w:r>
    </w:p>
    <w:p>
      <w:pPr>
        <w:spacing w:after="90" w:before="20"/>
        <w:jc w:val="center"/>
      </w:pPr>
      <w:r>
        <w:rPr>
          <w:rFonts w:ascii="Times New Roman" w:cs="Times New Roman" w:eastAsia="Times New Roman" w:hAnsi="Times New Roman"/>
          <w:b/>
          <w:bCs/>
          <w:sz w:val="18"/>
          <w:szCs w:val="18"/>
        </w:rPr>
        <w:t xml:space="preserve">Fig. 1.</w:t>
      </w:r>
      <w:r>
        <w:rPr>
          <w:rFonts w:ascii="Times New Roman" w:cs="Times New Roman" w:eastAsia="Times New Roman" w:hAnsi="Times New Roman"/>
          <w:sz w:val="18"/>
          <w:szCs w:val="18"/>
        </w:rPr>
        <w:t xml:space="preserve"> Overall architecture of the implemented MG-QCNN.</w:t>
      </w:r>
    </w:p>
    <w:p>
      <w:pPr>
        <w:spacing w:after="70" w:before="0" w:line="240"/>
        <w:jc w:val="both"/>
      </w:pPr>
      <w:r>
        <w:rPr>
          <w:rFonts w:ascii="Times New Roman" w:cs="Times New Roman" w:eastAsia="Times New Roman" w:hAnsi="Times New Roman"/>
          <w:sz w:val="20"/>
          <w:szCs w:val="20"/>
        </w:rPr>
        <w:t xml:space="preserve">The ORL database [17] has 400 images of 40 subjects (92×112 pixels, 10 per subject, varying expression, lighting and glasses); the Yale database [18] has 165 images of 15 subjects (11 each; 320×243 pixels; centre-/left-/right-light, glasses, happy, sad, sleepy, surprised, wink, normal). Images are converted to grayscale and resized to 48×48 (for Yale a centred square crop followed by a further 85% centre crop). Loaders assert the image counts (Kaggle duplicates and an extra non-ORL subject are removed). Splits are random 70:30 for ORL (280/120) and 120/45 for Yale. Each pixel </w:t>
      </w:r>
      <w:r>
        <w:rPr>
          <w:rFonts w:ascii="Times New Roman" w:cs="Times New Roman" w:eastAsia="Times New Roman" w:hAnsi="Times New Roman"/>
          <w:i/>
          <w:iCs/>
          <w:sz w:val="20"/>
          <w:szCs w:val="20"/>
        </w:rPr>
        <w:t xml:space="preserve">a</w:t>
      </w:r>
      <w:r>
        <w:rPr>
          <w:rFonts w:ascii="Times New Roman" w:cs="Times New Roman" w:eastAsia="Times New Roman" w:hAnsi="Times New Roman"/>
          <w:sz w:val="20"/>
          <w:szCs w:val="20"/>
        </w:rPr>
        <w:t xml:space="preserve"> is scaled per image by min–max to [−1, 1] and multiplied by π, so it becomes a rotation angle:</w:t>
      </w:r>
    </w:p>
    <w:p>
      <w:pPr>
        <w:tabs>
          <w:tab w:val="center" w:pos="4680"/>
          <w:tab w:val="right" w:pos="9360"/>
        </w:tabs>
        <w:spacing w:after="70" w:before="50"/>
      </w:pPr>
      <w:r>
        <w:rPr>
          <w:rFonts w:ascii="Times New Roman" w:cs="Times New Roman" w:eastAsia="Times New Roman" w:hAnsi="Times New Roman"/>
          <w:sz w:val="20"/>
          <w:szCs w:val="20"/>
        </w:rPr>
        <w:tab/>
      </w:r>
      <m:oMath>
        <m:sSub>
          <m:sSubPr/>
          <m:e>
            <m:r>
              <m:t>x</m:t>
            </m:r>
          </m:e>
          <m:sub>
            <m:r>
              <m:t>i</m:t>
            </m:r>
          </m:sub>
        </m:sSub>
        <m:r>
          <m:t> = π</m:t>
        </m:r>
        <m:r>
          <m:t>(</m:t>
        </m:r>
        <m:f>
          <m:num>
            <m:r>
              <m:t>2</m:t>
            </m:r>
            <m:r>
              <m:t>(</m:t>
            </m:r>
            <m:sSub>
              <m:sSubPr/>
              <m:e>
                <m:r>
                  <m:t>a</m:t>
                </m:r>
              </m:e>
              <m:sub>
                <m:r>
                  <m:t>i</m:t>
                </m:r>
              </m:sub>
            </m:sSub>
            <m:r>
              <m:t> − </m:t>
            </m:r>
            <m:sSub>
              <m:sSubPr/>
              <m:e>
                <m:r>
                  <m:t>a</m:t>
                </m:r>
              </m:e>
              <m:sub>
                <m:r>
                  <m:t>min</m:t>
                </m:r>
              </m:sub>
            </m:sSub>
            <m:r>
              <m:t>)</m:t>
            </m:r>
          </m:num>
          <m:den>
            <m:sSub>
              <m:sSubPr/>
              <m:e>
                <m:r>
                  <m:t>a</m:t>
                </m:r>
              </m:e>
              <m:sub>
                <m:r>
                  <m:t>max</m:t>
                </m:r>
              </m:sub>
            </m:sSub>
            <m:r>
              <m:t> − </m:t>
            </m:r>
            <m:sSub>
              <m:sSubPr/>
              <m:e>
                <m:r>
                  <m:t>a</m:t>
                </m:r>
              </m:e>
              <m:sub>
                <m:r>
                  <m:t>min</m:t>
                </m:r>
              </m:sub>
            </m:sSub>
          </m:den>
        </m:f>
        <m:r>
          <m:t> − 1</m:t>
        </m:r>
        <m:r>
          <m:t>)</m:t>
        </m:r>
      </m:oMath>
      <w:r>
        <w:rPr>
          <w:rFonts w:ascii="Times New Roman" w:cs="Times New Roman" w:eastAsia="Times New Roman" w:hAnsi="Times New Roman"/>
          <w:sz w:val="20"/>
          <w:szCs w:val="20"/>
        </w:rPr>
        <w:tab/>
        <w:t xml:space="preserve">(1)</w:t>
      </w:r>
    </w:p>
    <w:p>
      <w:pPr>
        <w:spacing w:after="70" w:before="0" w:line="240"/>
        <w:jc w:val="both"/>
      </w:pPr>
      <w:r>
        <w:rPr>
          <w:rFonts w:ascii="Times New Roman" w:cs="Times New Roman" w:eastAsia="Times New Roman" w:hAnsi="Times New Roman"/>
          <w:sz w:val="20"/>
          <w:szCs w:val="20"/>
        </w:rPr>
        <w:t xml:space="preserve">Min–max scaling was compared with per-image z-score standardisation clipped to [−1, 1] (the variant described in [4]); on identical splits min–max was higher on all ten seeds for both datasets (Table 2), so it was adopted. A plausible reason is that min–max uses the full angle range for every image, whereas clipping saturates bright and dark pixels at ±π; this explanation was not tested separately.</w:t>
      </w:r>
    </w:p>
    <w:p>
      <w:pPr>
        <w:keepNext/>
        <w:spacing w:after="40" w:before="80"/>
      </w:pPr>
      <w:r>
        <w:rPr>
          <w:rFonts w:ascii="Times New Roman" w:cs="Times New Roman" w:eastAsia="Times New Roman" w:hAnsi="Times New Roman"/>
          <w:b/>
          <w:bCs/>
          <w:i/>
          <w:iCs/>
          <w:sz w:val="20"/>
          <w:szCs w:val="20"/>
        </w:rPr>
        <w:t xml:space="preserve">3.2 Quantum convolution layer</w:t>
      </w:r>
    </w:p>
    <w:p>
      <w:pPr>
        <w:spacing w:after="70" w:before="0" w:line="240"/>
        <w:jc w:val="both"/>
      </w:pPr>
      <w:r>
        <w:rPr>
          <w:rFonts w:ascii="Times New Roman" w:cs="Times New Roman" w:eastAsia="Times New Roman" w:hAnsi="Times New Roman"/>
          <w:b/>
          <w:bCs/>
          <w:sz w:val="20"/>
          <w:szCs w:val="20"/>
        </w:rPr>
        <w:t xml:space="preserve">Encoder.</w:t>
      </w:r>
      <w:r>
        <w:rPr>
          <w:rFonts w:ascii="Times New Roman" w:cs="Times New Roman" w:eastAsia="Times New Roman" w:hAnsi="Times New Roman"/>
          <w:sz w:val="20"/>
          <w:szCs w:val="20"/>
        </w:rPr>
        <w:t xml:space="preserve"> The four pixels of a patch </w:t>
      </w:r>
      <w:r>
        <w:rPr>
          <w:rFonts w:ascii="Times New Roman" w:cs="Times New Roman" w:eastAsia="Times New Roman" w:hAnsi="Times New Roman"/>
          <w:b/>
          <w:bCs/>
          <w:sz w:val="20"/>
          <w:szCs w:val="20"/>
        </w:rPr>
        <w:t xml:space="preserve">x</w:t>
      </w:r>
      <w:r>
        <w:rPr>
          <w:rFonts w:ascii="Times New Roman" w:cs="Times New Roman" w:eastAsia="Times New Roman" w:hAnsi="Times New Roman"/>
          <w:sz w:val="20"/>
          <w:szCs w:val="20"/>
        </w:rPr>
        <w:t xml:space="preserve"> = (</w:t>
      </w:r>
      <w:r>
        <w:rPr>
          <w:rFonts w:ascii="Times New Roman" w:cs="Times New Roman" w:eastAsia="Times New Roman" w:hAnsi="Times New Roman"/>
          <w:i/>
          <w:iCs/>
          <w:sz w:val="20"/>
          <w:szCs w:val="20"/>
        </w:rPr>
        <w:t xml:space="preserve">x</w:t>
      </w:r>
      <w:r>
        <w:rPr>
          <w:rFonts w:ascii="Times New Roman" w:cs="Times New Roman" w:eastAsia="Times New Roman" w:hAnsi="Times New Roman"/>
          <w:sz w:val="20"/>
          <w:szCs w:val="20"/>
          <w:vertAlign w:val="subscript"/>
        </w:rPr>
        <w:t xml:space="preserve">0</w:t>
      </w:r>
      <w:r>
        <w:rPr>
          <w:rFonts w:ascii="Times New Roman" w:cs="Times New Roman" w:eastAsia="Times New Roman" w:hAnsi="Times New Roman"/>
          <w:sz w:val="20"/>
          <w:szCs w:val="20"/>
        </w:rPr>
        <w:t xml:space="preserve">,…,</w:t>
      </w:r>
      <w:r>
        <w:rPr>
          <w:rFonts w:ascii="Times New Roman" w:cs="Times New Roman" w:eastAsia="Times New Roman" w:hAnsi="Times New Roman"/>
          <w:i/>
          <w:iCs/>
          <w:sz w:val="20"/>
          <w:szCs w:val="20"/>
        </w:rPr>
        <w:t xml:space="preserve">x</w:t>
      </w:r>
      <w:r>
        <w:rPr>
          <w:rFonts w:ascii="Times New Roman" w:cs="Times New Roman" w:eastAsia="Times New Roman" w:hAnsi="Times New Roman"/>
          <w:sz w:val="20"/>
          <w:szCs w:val="20"/>
          <w:vertAlign w:val="subscript"/>
        </w:rPr>
        <w:t xml:space="preserve">3</w:t>
      </w:r>
      <w:r>
        <w:rPr>
          <w:rFonts w:ascii="Times New Roman" w:cs="Times New Roman" w:eastAsia="Times New Roman" w:hAnsi="Times New Roman"/>
          <w:sz w:val="20"/>
          <w:szCs w:val="20"/>
        </w:rPr>
        <w:t xml:space="preserve">) are loaded onto four qubits initialised in |0⟩ by R</w:t>
      </w:r>
      <w:r>
        <w:rPr>
          <w:rFonts w:ascii="Times New Roman" w:cs="Times New Roman" w:eastAsia="Times New Roman" w:hAnsi="Times New Roman"/>
          <w:sz w:val="20"/>
          <w:szCs w:val="20"/>
          <w:vertAlign w:val="subscript"/>
        </w:rPr>
        <w:t xml:space="preserve">Y</w:t>
      </w:r>
      <w:r>
        <w:rPr>
          <w:rFonts w:ascii="Times New Roman" w:cs="Times New Roman" w:eastAsia="Times New Roman" w:hAnsi="Times New Roman"/>
          <w:sz w:val="20"/>
          <w:szCs w:val="20"/>
        </w:rPr>
        <w:t xml:space="preserve"> rotations, where for a Pauli operator </w:t>
      </w:r>
      <w:r>
        <w:rPr>
          <w:rFonts w:ascii="Times New Roman" w:cs="Times New Roman" w:eastAsia="Times New Roman" w:hAnsi="Times New Roman"/>
          <w:i/>
          <w:iCs/>
          <w:sz w:val="20"/>
          <w:szCs w:val="20"/>
        </w:rPr>
        <w:t xml:space="preserve">P</w:t>
      </w:r>
      <w:r>
        <w:rPr>
          <w:rFonts w:ascii="Times New Roman" w:cs="Times New Roman" w:eastAsia="Times New Roman" w:hAnsi="Times New Roman"/>
          <w:sz w:val="20"/>
          <w:szCs w:val="20"/>
        </w:rPr>
        <w:t xml:space="preserve"> the rotation is R</w:t>
      </w:r>
      <w:r>
        <w:rPr>
          <w:rFonts w:ascii="Times New Roman" w:cs="Times New Roman" w:eastAsia="Times New Roman" w:hAnsi="Times New Roman"/>
          <w:sz w:val="20"/>
          <w:szCs w:val="20"/>
          <w:vertAlign w:val="subscript"/>
        </w:rPr>
        <w:t xml:space="preserve">P</w:t>
      </w:r>
      <w:r>
        <w:rPr>
          <w:rFonts w:ascii="Times New Roman" w:cs="Times New Roman" w:eastAsia="Times New Roman" w:hAnsi="Times New Roman"/>
          <w:sz w:val="20"/>
          <w:szCs w:val="20"/>
        </w:rPr>
        <w:t xml:space="preserve">(φ) = exp(−iφ</w:t>
      </w:r>
      <w:r>
        <w:rPr>
          <w:rFonts w:ascii="Times New Roman" w:cs="Times New Roman" w:eastAsia="Times New Roman" w:hAnsi="Times New Roman"/>
          <w:i/>
          <w:iCs/>
          <w:sz w:val="20"/>
          <w:szCs w:val="20"/>
        </w:rPr>
        <w:t xml:space="preserve">P</w:t>
      </w:r>
      <w:r>
        <w:rPr>
          <w:rFonts w:ascii="Times New Roman" w:cs="Times New Roman" w:eastAsia="Times New Roman" w:hAnsi="Times New Roman"/>
          <w:sz w:val="20"/>
          <w:szCs w:val="20"/>
        </w:rPr>
        <w:t xml:space="preserve">/2) = cos(φ/2) </w:t>
      </w:r>
      <w:r>
        <w:rPr>
          <w:rFonts w:ascii="Times New Roman" w:cs="Times New Roman" w:eastAsia="Times New Roman" w:hAnsi="Times New Roman"/>
          <w:i/>
          <w:iCs/>
          <w:sz w:val="20"/>
          <w:szCs w:val="20"/>
        </w:rPr>
        <w:t xml:space="preserve">I</w:t>
      </w:r>
      <w:r>
        <w:rPr>
          <w:rFonts w:ascii="Times New Roman" w:cs="Times New Roman" w:eastAsia="Times New Roman" w:hAnsi="Times New Roman"/>
          <w:sz w:val="20"/>
          <w:szCs w:val="20"/>
        </w:rPr>
        <w:t xml:space="preserve"> − i sin(φ/2) </w:t>
      </w:r>
      <w:r>
        <w:rPr>
          <w:rFonts w:ascii="Times New Roman" w:cs="Times New Roman" w:eastAsia="Times New Roman" w:hAnsi="Times New Roman"/>
          <w:i/>
          <w:iCs/>
          <w:sz w:val="20"/>
          <w:szCs w:val="20"/>
        </w:rPr>
        <w:t xml:space="preserve">P</w:t>
      </w:r>
      <w:r>
        <w:rPr>
          <w:rFonts w:ascii="Times New Roman" w:cs="Times New Roman" w:eastAsia="Times New Roman" w:hAnsi="Times New Roman"/>
          <w:sz w:val="20"/>
          <w:szCs w:val="20"/>
        </w:rPr>
        <w:t xml:space="preserve">. Each qubit then sits on the Bloch sphere at (sin </w:t>
      </w:r>
      <w:r>
        <w:rPr>
          <w:rFonts w:ascii="Times New Roman" w:cs="Times New Roman" w:eastAsia="Times New Roman" w:hAnsi="Times New Roman"/>
          <w:i/>
          <w:iCs/>
          <w:sz w:val="20"/>
          <w:szCs w:val="20"/>
        </w:rPr>
        <w:t xml:space="preserve">x</w:t>
      </w:r>
      <w:r>
        <w:rPr>
          <w:rFonts w:ascii="Times New Roman" w:cs="Times New Roman" w:eastAsia="Times New Roman" w:hAnsi="Times New Roman"/>
          <w:sz w:val="20"/>
          <w:szCs w:val="20"/>
          <w:vertAlign w:val="subscript"/>
        </w:rPr>
        <w:t xml:space="preserve">i</w:t>
      </w:r>
      <w:r>
        <w:rPr>
          <w:rFonts w:ascii="Times New Roman" w:cs="Times New Roman" w:eastAsia="Times New Roman" w:hAnsi="Times New Roman"/>
          <w:sz w:val="20"/>
          <w:szCs w:val="20"/>
        </w:rPr>
        <w:t xml:space="preserve">, 0, cos </w:t>
      </w:r>
      <w:r>
        <w:rPr>
          <w:rFonts w:ascii="Times New Roman" w:cs="Times New Roman" w:eastAsia="Times New Roman" w:hAnsi="Times New Roman"/>
          <w:i/>
          <w:iCs/>
          <w:sz w:val="20"/>
          <w:szCs w:val="20"/>
        </w:rPr>
        <w:t xml:space="preserve">x</w:t>
      </w:r>
      <w:r>
        <w:rPr>
          <w:rFonts w:ascii="Times New Roman" w:cs="Times New Roman" w:eastAsia="Times New Roman" w:hAnsi="Times New Roman"/>
          <w:sz w:val="20"/>
          <w:szCs w:val="20"/>
          <w:vertAlign w:val="subscript"/>
        </w:rPr>
        <w:t xml:space="preserve">i</w:t>
      </w:r>
      <w:r>
        <w:rPr>
          <w:rFonts w:ascii="Times New Roman" w:cs="Times New Roman" w:eastAsia="Times New Roman" w:hAnsi="Times New Roman"/>
          <w:sz w:val="20"/>
          <w:szCs w:val="20"/>
        </w:rPr>
        <w:t xml:space="preserve">):</w:t>
      </w:r>
    </w:p>
    <w:p>
      <w:pPr>
        <w:tabs>
          <w:tab w:val="center" w:pos="4680"/>
          <w:tab w:val="right" w:pos="9360"/>
        </w:tabs>
        <w:spacing w:after="70" w:before="50"/>
      </w:pPr>
      <w:r>
        <w:rPr>
          <w:rFonts w:ascii="Times New Roman" w:cs="Times New Roman" w:eastAsia="Times New Roman" w:hAnsi="Times New Roman"/>
          <w:sz w:val="20"/>
          <w:szCs w:val="20"/>
        </w:rPr>
        <w:tab/>
      </w:r>
      <m:oMath>
        <m:d>
          <m:dPr>
            <m:begChr m:val="|"/>
            <m:endChr m:val="⟩"/>
          </m:dPr>
          <m:e>
            <m:sSub>
              <m:sSubPr/>
              <m:e>
                <m:r>
                  <m:t>ψ</m:t>
                </m:r>
              </m:e>
              <m:sub>
                <m:r>
                  <m:t>0</m:t>
                </m:r>
              </m:sub>
            </m:sSub>
          </m:e>
        </m:d>
        <m:r>
          <m:t> = </m:t>
        </m:r>
        <m:sSubSup>
          <m:sSubSupPr/>
          <m:e>
            <m:r>
              <m:t>⨂</m:t>
            </m:r>
          </m:e>
          <m:sub>
            <m:r>
              <m:t>i=0</m:t>
            </m:r>
          </m:sub>
          <m:sup>
            <m:r>
              <m:t>3</m:t>
            </m:r>
          </m:sup>
        </m:sSubSup>
        <m:sSub>
          <m:sSubPr/>
          <m:e>
            <m:r>
              <m:t>R</m:t>
            </m:r>
          </m:e>
          <m:sub>
            <m:r>
              <m:t>Y</m:t>
            </m:r>
          </m:sub>
        </m:sSub>
        <m:r>
          <m:t>(</m:t>
        </m:r>
        <m:sSub>
          <m:sSubPr/>
          <m:e>
            <m:r>
              <m:t>x</m:t>
            </m:r>
          </m:e>
          <m:sub>
            <m:r>
              <m:t>i</m:t>
            </m:r>
          </m:sub>
        </m:sSub>
        <m:r>
          <m:t>)</m:t>
        </m:r>
        <m:d>
          <m:dPr>
            <m:begChr m:val="|"/>
            <m:endChr m:val="⟩"/>
          </m:dPr>
          <m:e>
            <m:r>
              <m:t>0</m:t>
            </m:r>
          </m:e>
        </m:d>
        <m:r>
          <m:t>,   i = 0,…,3</m:t>
        </m:r>
      </m:oMath>
      <w:r>
        <w:rPr>
          <w:rFonts w:ascii="Times New Roman" w:cs="Times New Roman" w:eastAsia="Times New Roman" w:hAnsi="Times New Roman"/>
          <w:sz w:val="20"/>
          <w:szCs w:val="20"/>
        </w:rPr>
        <w:tab/>
        <w:t xml:space="preserve">(2)</w:t>
      </w:r>
    </w:p>
    <w:p>
      <w:pPr>
        <w:spacing w:after="70" w:before="0" w:line="240"/>
        <w:jc w:val="both"/>
      </w:pPr>
      <w:r>
        <w:rPr>
          <w:rFonts w:ascii="Times New Roman" w:cs="Times New Roman" w:eastAsia="Times New Roman" w:hAnsi="Times New Roman"/>
          <w:b/>
          <w:bCs/>
          <w:sz w:val="20"/>
          <w:szCs w:val="20"/>
        </w:rPr>
        <w:t xml:space="preserve">Variational circuit.</w:t>
      </w:r>
      <w:r>
        <w:rPr>
          <w:rFonts w:ascii="Times New Roman" w:cs="Times New Roman" w:eastAsia="Times New Roman" w:hAnsi="Times New Roman"/>
          <w:sz w:val="20"/>
          <w:szCs w:val="20"/>
        </w:rPr>
        <w:t xml:space="preserve"> Each qubit passes through a trainable R</w:t>
      </w:r>
      <w:r>
        <w:rPr>
          <w:rFonts w:ascii="Times New Roman" w:cs="Times New Roman" w:eastAsia="Times New Roman" w:hAnsi="Times New Roman"/>
          <w:sz w:val="20"/>
          <w:szCs w:val="20"/>
          <w:vertAlign w:val="subscript"/>
        </w:rPr>
        <w:t xml:space="preserve">Z</w:t>
      </w:r>
      <w:r>
        <w:rPr>
          <w:rFonts w:ascii="Times New Roman" w:cs="Times New Roman" w:eastAsia="Times New Roman" w:hAnsi="Times New Roman"/>
          <w:sz w:val="20"/>
          <w:szCs w:val="20"/>
        </w:rPr>
        <w:t xml:space="preserve"> and R</w:t>
      </w:r>
      <w:r>
        <w:rPr>
          <w:rFonts w:ascii="Times New Roman" w:cs="Times New Roman" w:eastAsia="Times New Roman" w:hAnsi="Times New Roman"/>
          <w:sz w:val="20"/>
          <w:szCs w:val="20"/>
          <w:vertAlign w:val="subscript"/>
        </w:rPr>
        <w:t xml:space="preserve">X</w:t>
      </w:r>
      <w:r>
        <w:rPr>
          <w:rFonts w:ascii="Times New Roman" w:cs="Times New Roman" w:eastAsia="Times New Roman" w:hAnsi="Times New Roman"/>
          <w:sz w:val="20"/>
          <w:szCs w:val="20"/>
        </w:rPr>
        <w:t xml:space="preserve">, giving eight parameters θ</w:t>
      </w:r>
      <w:r>
        <w:rPr>
          <w:rFonts w:ascii="Times New Roman" w:cs="Times New Roman" w:eastAsia="Times New Roman" w:hAnsi="Times New Roman"/>
          <w:sz w:val="20"/>
          <w:szCs w:val="20"/>
          <w:vertAlign w:val="subscript"/>
        </w:rPr>
        <w:t xml:space="preserve">0</w:t>
      </w:r>
      <w:r>
        <w:rPr>
          <w:rFonts w:ascii="Times New Roman" w:cs="Times New Roman" w:eastAsia="Times New Roman" w:hAnsi="Times New Roman"/>
          <w:sz w:val="20"/>
          <w:szCs w:val="20"/>
        </w:rPr>
        <w:t xml:space="preserve">…θ</w:t>
      </w:r>
      <w:r>
        <w:rPr>
          <w:rFonts w:ascii="Times New Roman" w:cs="Times New Roman" w:eastAsia="Times New Roman" w:hAnsi="Times New Roman"/>
          <w:sz w:val="20"/>
          <w:szCs w:val="20"/>
          <w:vertAlign w:val="subscript"/>
        </w:rPr>
        <w:t xml:space="preserve">7</w:t>
      </w:r>
      <w:r>
        <w:rPr>
          <w:rFonts w:ascii="Times New Roman" w:cs="Times New Roman" w:eastAsia="Times New Roman" w:hAnsi="Times New Roman"/>
          <w:sz w:val="20"/>
          <w:szCs w:val="20"/>
        </w:rPr>
        <w:t xml:space="preserve"> (θ</w:t>
      </w:r>
      <w:r>
        <w:rPr>
          <w:rFonts w:ascii="Times New Roman" w:cs="Times New Roman" w:eastAsia="Times New Roman" w:hAnsi="Times New Roman"/>
          <w:sz w:val="20"/>
          <w:szCs w:val="20"/>
          <w:vertAlign w:val="subscript"/>
        </w:rPr>
        <w:t xml:space="preserve">2i</w:t>
      </w:r>
      <w:r>
        <w:rPr>
          <w:rFonts w:ascii="Times New Roman" w:cs="Times New Roman" w:eastAsia="Times New Roman" w:hAnsi="Times New Roman"/>
          <w:sz w:val="20"/>
          <w:szCs w:val="20"/>
        </w:rPr>
        <w:t xml:space="preserve"> for R</w:t>
      </w:r>
      <w:r>
        <w:rPr>
          <w:rFonts w:ascii="Times New Roman" w:cs="Times New Roman" w:eastAsia="Times New Roman" w:hAnsi="Times New Roman"/>
          <w:sz w:val="20"/>
          <w:szCs w:val="20"/>
          <w:vertAlign w:val="subscript"/>
        </w:rPr>
        <w:t xml:space="preserve">Z</w:t>
      </w:r>
      <w:r>
        <w:rPr>
          <w:rFonts w:ascii="Times New Roman" w:cs="Times New Roman" w:eastAsia="Times New Roman" w:hAnsi="Times New Roman"/>
          <w:sz w:val="20"/>
          <w:szCs w:val="20"/>
        </w:rPr>
        <w:t xml:space="preserve">, θ</w:t>
      </w:r>
      <w:r>
        <w:rPr>
          <w:rFonts w:ascii="Times New Roman" w:cs="Times New Roman" w:eastAsia="Times New Roman" w:hAnsi="Times New Roman"/>
          <w:sz w:val="20"/>
          <w:szCs w:val="20"/>
          <w:vertAlign w:val="subscript"/>
        </w:rPr>
        <w:t xml:space="preserve">2i+1</w:t>
      </w:r>
      <w:r>
        <w:rPr>
          <w:rFonts w:ascii="Times New Roman" w:cs="Times New Roman" w:eastAsia="Times New Roman" w:hAnsi="Times New Roman"/>
          <w:sz w:val="20"/>
          <w:szCs w:val="20"/>
        </w:rPr>
        <w:t xml:space="preserve"> for R</w:t>
      </w:r>
      <w:r>
        <w:rPr>
          <w:rFonts w:ascii="Times New Roman" w:cs="Times New Roman" w:eastAsia="Times New Roman" w:hAnsi="Times New Roman"/>
          <w:sz w:val="20"/>
          <w:szCs w:val="20"/>
          <w:vertAlign w:val="subscript"/>
        </w:rPr>
        <w:t xml:space="preserve">X</w:t>
      </w:r>
      <w:r>
        <w:rPr>
          <w:rFonts w:ascii="Times New Roman" w:cs="Times New Roman" w:eastAsia="Times New Roman" w:hAnsi="Times New Roman"/>
          <w:sz w:val="20"/>
          <w:szCs w:val="20"/>
        </w:rPr>
        <w:t xml:space="preserve">) shared by all patches, exactly like classical kernel weights. A chain of three CNOT gates entangles neighbouring qubits, so the outputs depend on correlations between pixels. The filter has 15 gates (4 R</w:t>
      </w:r>
      <w:r>
        <w:rPr>
          <w:rFonts w:ascii="Times New Roman" w:cs="Times New Roman" w:eastAsia="Times New Roman" w:hAnsi="Times New Roman"/>
          <w:sz w:val="20"/>
          <w:szCs w:val="20"/>
          <w:vertAlign w:val="subscript"/>
        </w:rPr>
        <w:t xml:space="preserve">Y</w:t>
      </w:r>
      <w:r>
        <w:rPr>
          <w:rFonts w:ascii="Times New Roman" w:cs="Times New Roman" w:eastAsia="Times New Roman" w:hAnsi="Times New Roman"/>
          <w:sz w:val="20"/>
          <w:szCs w:val="20"/>
        </w:rPr>
        <w:t xml:space="preserve">, 4 R</w:t>
      </w:r>
      <w:r>
        <w:rPr>
          <w:rFonts w:ascii="Times New Roman" w:cs="Times New Roman" w:eastAsia="Times New Roman" w:hAnsi="Times New Roman"/>
          <w:sz w:val="20"/>
          <w:szCs w:val="20"/>
          <w:vertAlign w:val="subscript"/>
        </w:rPr>
        <w:t xml:space="preserve">Z</w:t>
      </w:r>
      <w:r>
        <w:rPr>
          <w:rFonts w:ascii="Times New Roman" w:cs="Times New Roman" w:eastAsia="Times New Roman" w:hAnsi="Times New Roman"/>
          <w:sz w:val="20"/>
          <w:szCs w:val="20"/>
        </w:rPr>
        <w:t xml:space="preserve">, 4 R</w:t>
      </w:r>
      <w:r>
        <w:rPr>
          <w:rFonts w:ascii="Times New Roman" w:cs="Times New Roman" w:eastAsia="Times New Roman" w:hAnsi="Times New Roman"/>
          <w:sz w:val="20"/>
          <w:szCs w:val="20"/>
          <w:vertAlign w:val="subscript"/>
        </w:rPr>
        <w:t xml:space="preserve">X</w:t>
      </w:r>
      <w:r>
        <w:rPr>
          <w:rFonts w:ascii="Times New Roman" w:cs="Times New Roman" w:eastAsia="Times New Roman" w:hAnsi="Times New Roman"/>
          <w:sz w:val="20"/>
          <w:szCs w:val="20"/>
        </w:rPr>
        <w:t xml:space="preserve">, 3 CNOT) and depth six (Fig. 2). The circuit is fixed rather than random, which makes results reproducible and helps avoid barren plateaus [8, 9]:</w:t>
      </w:r>
    </w:p>
    <w:p>
      <w:pPr>
        <w:tabs>
          <w:tab w:val="center" w:pos="4680"/>
          <w:tab w:val="right" w:pos="9360"/>
        </w:tabs>
        <w:spacing w:after="70" w:before="50"/>
      </w:pPr>
      <w:r>
        <w:rPr>
          <w:rFonts w:ascii="Times New Roman" w:cs="Times New Roman" w:eastAsia="Times New Roman" w:hAnsi="Times New Roman"/>
          <w:sz w:val="20"/>
          <w:szCs w:val="20"/>
        </w:rPr>
        <w:tab/>
      </w:r>
      <m:oMath>
        <m:d>
          <m:dPr>
            <m:begChr m:val="|"/>
            <m:endChr m:val="⟩"/>
          </m:dPr>
          <m:e>
            <m:r>
              <m:t>ψ</m:t>
            </m:r>
          </m:e>
        </m:d>
        <m:r>
          <m:t> = C </m:t>
        </m:r>
        <m:sSubSup>
          <m:sSubSupPr/>
          <m:e>
            <m:r>
              <m:t>⨂</m:t>
            </m:r>
          </m:e>
          <m:sub>
            <m:r>
              <m:t>i=0</m:t>
            </m:r>
          </m:sub>
          <m:sup>
            <m:r>
              <m:t>3</m:t>
            </m:r>
          </m:sup>
        </m:sSubSup>
        <m:r>
          <m:t>[</m:t>
        </m:r>
        <m:sSub>
          <m:sSubPr/>
          <m:e>
            <m:r>
              <m:t>R</m:t>
            </m:r>
          </m:e>
          <m:sub>
            <m:r>
              <m:t>X</m:t>
            </m:r>
          </m:sub>
        </m:sSub>
        <m:r>
          <m:t>(</m:t>
        </m:r>
        <m:sSub>
          <m:sSubPr/>
          <m:e>
            <m:r>
              <m:t>θ</m:t>
            </m:r>
          </m:e>
          <m:sub>
            <m:r>
              <m:t>2i+1</m:t>
            </m:r>
          </m:sub>
        </m:sSub>
        <m:r>
          <m:t>)</m:t>
        </m:r>
        <m:sSub>
          <m:sSubPr/>
          <m:e>
            <m:r>
              <m:t>R</m:t>
            </m:r>
          </m:e>
          <m:sub>
            <m:r>
              <m:t>Z</m:t>
            </m:r>
          </m:sub>
        </m:sSub>
        <m:r>
          <m:t>(</m:t>
        </m:r>
        <m:sSub>
          <m:sSubPr/>
          <m:e>
            <m:r>
              <m:t>θ</m:t>
            </m:r>
          </m:e>
          <m:sub>
            <m:r>
              <m:t>2i</m:t>
            </m:r>
          </m:sub>
        </m:sSub>
        <m:r>
          <m:t>)</m:t>
        </m:r>
        <m:sSub>
          <m:sSubPr/>
          <m:e>
            <m:r>
              <m:t>R</m:t>
            </m:r>
          </m:e>
          <m:sub>
            <m:r>
              <m:t>Y</m:t>
            </m:r>
          </m:sub>
        </m:sSub>
        <m:r>
          <m:t>(</m:t>
        </m:r>
        <m:sSub>
          <m:sSubPr/>
          <m:e>
            <m:r>
              <m:t>x</m:t>
            </m:r>
          </m:e>
          <m:sub>
            <m:r>
              <m:t>i</m:t>
            </m:r>
          </m:sub>
        </m:sSub>
        <m:r>
          <m:t>)</m:t>
        </m:r>
        <m:r>
          <m:t>]</m:t>
        </m:r>
        <m:d>
          <m:dPr>
            <m:begChr m:val="|"/>
            <m:endChr m:val="⟩"/>
          </m:dPr>
          <m:e>
            <m:r>
              <m:t>0000</m:t>
            </m:r>
          </m:e>
        </m:d>
        <m:r>
          <m:t>,   C = </m:t>
        </m:r>
        <m:sSub>
          <m:sSubPr/>
          <m:e>
            <m:r>
              <m:t>CNOT</m:t>
            </m:r>
          </m:e>
          <m:sub>
            <m:r>
              <m:t>2→3</m:t>
            </m:r>
          </m:sub>
        </m:sSub>
        <m:sSub>
          <m:sSubPr/>
          <m:e>
            <m:r>
              <m:t>CNOT</m:t>
            </m:r>
          </m:e>
          <m:sub>
            <m:r>
              <m:t>1→2</m:t>
            </m:r>
          </m:sub>
        </m:sSub>
        <m:sSub>
          <m:sSubPr/>
          <m:e>
            <m:r>
              <m:t>CNOT</m:t>
            </m:r>
          </m:e>
          <m:sub>
            <m:r>
              <m:t>0→1</m:t>
            </m:r>
          </m:sub>
        </m:sSub>
      </m:oMath>
      <w:r>
        <w:rPr>
          <w:rFonts w:ascii="Times New Roman" w:cs="Times New Roman" w:eastAsia="Times New Roman" w:hAnsi="Times New Roman"/>
          <w:sz w:val="20"/>
          <w:szCs w:val="20"/>
        </w:rPr>
        <w:tab/>
        <w:t xml:space="preserve">(3)</w:t>
      </w:r>
    </w:p>
    <w:p>
      <w:pPr>
        <w:spacing w:after="70" w:before="0" w:line="240"/>
        <w:jc w:val="both"/>
      </w:pPr>
      <w:r>
        <w:rPr>
          <w:rFonts w:ascii="Times New Roman" w:cs="Times New Roman" w:eastAsia="Times New Roman" w:hAnsi="Times New Roman"/>
          <w:b/>
          <w:bCs/>
          <w:sz w:val="20"/>
          <w:szCs w:val="20"/>
        </w:rPr>
        <w:t xml:space="preserve">Decoder.</w:t>
      </w:r>
      <w:r>
        <w:rPr>
          <w:rFonts w:ascii="Times New Roman" w:cs="Times New Roman" w:eastAsia="Times New Roman" w:hAnsi="Times New Roman"/>
          <w:sz w:val="20"/>
          <w:szCs w:val="20"/>
        </w:rPr>
        <w:t xml:space="preserve"> All four qubits are measured and the Pauli-Z expectation value of each is the feature value (exact in training, estimated from 1000 shots at test time):</w:t>
      </w:r>
    </w:p>
    <w:p>
      <w:pPr>
        <w:tabs>
          <w:tab w:val="center" w:pos="4680"/>
          <w:tab w:val="right" w:pos="9360"/>
        </w:tabs>
        <w:spacing w:after="70" w:before="50"/>
      </w:pPr>
      <w:r>
        <w:rPr>
          <w:rFonts w:ascii="Times New Roman" w:cs="Times New Roman" w:eastAsia="Times New Roman" w:hAnsi="Times New Roman"/>
          <w:sz w:val="20"/>
          <w:szCs w:val="20"/>
        </w:rPr>
        <w:tab/>
      </w:r>
      <m:oMath>
        <m:sSub>
          <m:sSubPr/>
          <m:e>
            <m:r>
              <m:t>f</m:t>
            </m:r>
          </m:e>
          <m:sub>
            <m:r>
              <m:t>k</m:t>
            </m:r>
          </m:sub>
        </m:sSub>
        <m:r>
          <m:t>(</m:t>
        </m:r>
        <m:r>
          <m:t>x, θ</m:t>
        </m:r>
        <m:r>
          <m:t>)</m:t>
        </m:r>
        <m:r>
          <m:t> = </m:t>
        </m:r>
        <m:d>
          <m:dPr>
            <m:begChr m:val="⟨"/>
            <m:sepChr m:val="|"/>
            <m:endChr m:val="⟩"/>
          </m:dPr>
          <m:e>
            <m:r>
              <m:t>ψ</m:t>
            </m:r>
          </m:e>
          <m:e>
            <m:sSub>
              <m:sSubPr/>
              <m:e>
                <m:r>
                  <m:t>Z</m:t>
                </m:r>
              </m:e>
              <m:sub>
                <m:r>
                  <m:t>k</m:t>
                </m:r>
              </m:sub>
            </m:sSub>
          </m:e>
          <m:e>
            <m:r>
              <m:t>ψ</m:t>
            </m:r>
          </m:e>
        </m:d>
      </m:oMath>
      <w:r>
        <w:rPr>
          <w:rFonts w:ascii="Times New Roman" w:cs="Times New Roman" w:eastAsia="Times New Roman" w:hAnsi="Times New Roman"/>
          <w:sz w:val="20"/>
          <w:szCs w:val="20"/>
        </w:rPr>
        <w:tab/>
        <w:t xml:space="preserve">(4)</w:t>
      </w:r>
    </w:p>
    <w:p>
      <w:pPr>
        <w:keepNext/>
        <w:spacing w:after="0" w:before="20"/>
        <w:jc w:val="center"/>
      </w:pPr>
      <w:r>
        <w:drawing>
          <wp:inline distT="0" distB="0" distL="0" distR="0">
            <wp:extent cx="3019425" cy="133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019425" cy="1333500"/>
                    </a:xfrm>
                    <a:prstGeom prst="rect">
                      <a:avLst/>
                    </a:prstGeom>
                  </pic:spPr>
                </pic:pic>
              </a:graphicData>
            </a:graphic>
          </wp:inline>
        </w:drawing>
      </w:r>
    </w:p>
    <w:p>
      <w:pPr>
        <w:spacing w:after="60" w:before="20"/>
        <w:jc w:val="center"/>
      </w:pPr>
      <w:r>
        <w:rPr>
          <w:rFonts w:ascii="Times New Roman" w:cs="Times New Roman" w:eastAsia="Times New Roman" w:hAnsi="Times New Roman"/>
          <w:b/>
          <w:bCs/>
          <w:sz w:val="18"/>
          <w:szCs w:val="18"/>
        </w:rPr>
        <w:t xml:space="preserve">Fig. 2.</w:t>
      </w:r>
      <w:r>
        <w:rPr>
          <w:rFonts w:ascii="Times New Roman" w:cs="Times New Roman" w:eastAsia="Times New Roman" w:hAnsi="Times New Roman"/>
          <w:sz w:val="18"/>
          <w:szCs w:val="18"/>
        </w:rPr>
        <w:t xml:space="preserve"> Four-qubit MG-QCNN filter drawn from the implemented PennyLane circuit.</w:t>
      </w:r>
    </w:p>
    <w:p>
      <w:pPr>
        <w:spacing w:after="70" w:before="0" w:line="240"/>
        <w:jc w:val="both"/>
      </w:pPr>
      <w:r>
        <w:rPr>
          <w:rFonts w:ascii="Times New Roman" w:cs="Times New Roman" w:eastAsia="Times New Roman" w:hAnsi="Times New Roman"/>
          <w:b/>
          <w:bCs/>
          <w:sz w:val="20"/>
          <w:szCs w:val="20"/>
        </w:rPr>
        <w:t xml:space="preserve">Closed-form filter output.</w:t>
      </w:r>
      <w:r>
        <w:rPr>
          <w:rFonts w:ascii="Times New Roman" w:cs="Times New Roman" w:eastAsia="Times New Roman" w:hAnsi="Times New Roman"/>
          <w:sz w:val="20"/>
          <w:szCs w:val="20"/>
        </w:rPr>
        <w:t xml:space="preserve"> The pre-CNOT state is a product state. For one qubit, R</w:t>
      </w:r>
      <w:r>
        <w:rPr>
          <w:rFonts w:ascii="Times New Roman" w:cs="Times New Roman" w:eastAsia="Times New Roman" w:hAnsi="Times New Roman"/>
          <w:sz w:val="20"/>
          <w:szCs w:val="20"/>
          <w:vertAlign w:val="subscript"/>
        </w:rPr>
        <w:t xml:space="preserve">Y</w:t>
      </w:r>
      <w:r>
        <w:rPr>
          <w:rFonts w:ascii="Times New Roman" w:cs="Times New Roman" w:eastAsia="Times New Roman" w:hAnsi="Times New Roman"/>
          <w:sz w:val="20"/>
          <w:szCs w:val="20"/>
        </w:rPr>
        <w:t xml:space="preserve">(</w:t>
      </w:r>
      <w:r>
        <w:rPr>
          <w:rFonts w:ascii="Times New Roman" w:cs="Times New Roman" w:eastAsia="Times New Roman" w:hAnsi="Times New Roman"/>
          <w:i/>
          <w:iCs/>
          <w:sz w:val="20"/>
          <w:szCs w:val="20"/>
        </w:rPr>
        <w:t xml:space="preserve">x</w:t>
      </w:r>
      <w:r>
        <w:rPr>
          <w:rFonts w:ascii="Times New Roman" w:cs="Times New Roman" w:eastAsia="Times New Roman" w:hAnsi="Times New Roman"/>
          <w:sz w:val="20"/>
          <w:szCs w:val="20"/>
        </w:rPr>
        <w:t xml:space="preserve">) places the Bloch vector at (sin </w:t>
      </w:r>
      <w:r>
        <w:rPr>
          <w:rFonts w:ascii="Times New Roman" w:cs="Times New Roman" w:eastAsia="Times New Roman" w:hAnsi="Times New Roman"/>
          <w:i/>
          <w:iCs/>
          <w:sz w:val="20"/>
          <w:szCs w:val="20"/>
        </w:rPr>
        <w:t xml:space="preserve">x</w:t>
      </w:r>
      <w:r>
        <w:rPr>
          <w:rFonts w:ascii="Times New Roman" w:cs="Times New Roman" w:eastAsia="Times New Roman" w:hAnsi="Times New Roman"/>
          <w:sz w:val="20"/>
          <w:szCs w:val="20"/>
        </w:rPr>
        <w:t xml:space="preserve">, 0, cos </w:t>
      </w:r>
      <w:r>
        <w:rPr>
          <w:rFonts w:ascii="Times New Roman" w:cs="Times New Roman" w:eastAsia="Times New Roman" w:hAnsi="Times New Roman"/>
          <w:i/>
          <w:iCs/>
          <w:sz w:val="20"/>
          <w:szCs w:val="20"/>
        </w:rPr>
        <w:t xml:space="preserve">x</w:t>
      </w:r>
      <w:r>
        <w:rPr>
          <w:rFonts w:ascii="Times New Roman" w:cs="Times New Roman" w:eastAsia="Times New Roman" w:hAnsi="Times New Roman"/>
          <w:sz w:val="20"/>
          <w:szCs w:val="20"/>
        </w:rPr>
        <w:t xml:space="preserve">); R</w:t>
      </w:r>
      <w:r>
        <w:rPr>
          <w:rFonts w:ascii="Times New Roman" w:cs="Times New Roman" w:eastAsia="Times New Roman" w:hAnsi="Times New Roman"/>
          <w:sz w:val="20"/>
          <w:szCs w:val="20"/>
          <w:vertAlign w:val="subscript"/>
        </w:rPr>
        <w:t xml:space="preserve">Z</w:t>
      </w:r>
      <w:r>
        <w:rPr>
          <w:rFonts w:ascii="Times New Roman" w:cs="Times New Roman" w:eastAsia="Times New Roman" w:hAnsi="Times New Roman"/>
          <w:sz w:val="20"/>
          <w:szCs w:val="20"/>
        </w:rPr>
        <w:t xml:space="preserve">(θ</w:t>
      </w:r>
      <w:r>
        <w:rPr>
          <w:rFonts w:ascii="Times New Roman" w:cs="Times New Roman" w:eastAsia="Times New Roman" w:hAnsi="Times New Roman"/>
          <w:sz w:val="20"/>
          <w:szCs w:val="20"/>
          <w:vertAlign w:val="subscript"/>
        </w:rPr>
        <w:t xml:space="preserve">Z</w:t>
      </w:r>
      <w:r>
        <w:rPr>
          <w:rFonts w:ascii="Times New Roman" w:cs="Times New Roman" w:eastAsia="Times New Roman" w:hAnsi="Times New Roman"/>
          <w:sz w:val="20"/>
          <w:szCs w:val="20"/>
        </w:rPr>
        <w:t xml:space="preserve">) rotates it about z and R</w:t>
      </w:r>
      <w:r>
        <w:rPr>
          <w:rFonts w:ascii="Times New Roman" w:cs="Times New Roman" w:eastAsia="Times New Roman" w:hAnsi="Times New Roman"/>
          <w:sz w:val="20"/>
          <w:szCs w:val="20"/>
          <w:vertAlign w:val="subscript"/>
        </w:rPr>
        <w:t xml:space="preserve">X</w:t>
      </w:r>
      <w:r>
        <w:rPr>
          <w:rFonts w:ascii="Times New Roman" w:cs="Times New Roman" w:eastAsia="Times New Roman" w:hAnsi="Times New Roman"/>
          <w:sz w:val="20"/>
          <w:szCs w:val="20"/>
        </w:rPr>
        <w:t xml:space="preserve">(θ</w:t>
      </w:r>
      <w:r>
        <w:rPr>
          <w:rFonts w:ascii="Times New Roman" w:cs="Times New Roman" w:eastAsia="Times New Roman" w:hAnsi="Times New Roman"/>
          <w:sz w:val="20"/>
          <w:szCs w:val="20"/>
          <w:vertAlign w:val="subscript"/>
        </w:rPr>
        <w:t xml:space="preserve">X</w:t>
      </w:r>
      <w:r>
        <w:rPr>
          <w:rFonts w:ascii="Times New Roman" w:cs="Times New Roman" w:eastAsia="Times New Roman" w:hAnsi="Times New Roman"/>
          <w:sz w:val="20"/>
          <w:szCs w:val="20"/>
        </w:rPr>
        <w:t xml:space="preserve">) about x, giving the z-component</w:t>
      </w:r>
    </w:p>
    <w:p>
      <w:pPr>
        <w:tabs>
          <w:tab w:val="center" w:pos="4680"/>
          <w:tab w:val="right" w:pos="9360"/>
        </w:tabs>
        <w:spacing w:after="70" w:before="50"/>
      </w:pPr>
      <w:r>
        <w:rPr>
          <w:rFonts w:ascii="Times New Roman" w:cs="Times New Roman" w:eastAsia="Times New Roman" w:hAnsi="Times New Roman"/>
          <w:sz w:val="20"/>
          <w:szCs w:val="20"/>
        </w:rPr>
        <w:tab/>
      </w:r>
      <m:oMath>
        <m:sSub>
          <m:sSubPr/>
          <m:e>
            <m:r>
              <m:t>s</m:t>
            </m:r>
          </m:e>
          <m:sub>
            <m:r>
              <m:t>i</m:t>
            </m:r>
          </m:sub>
        </m:sSub>
        <m:r>
          <m:t> = cos</m:t>
        </m:r>
        <m:sSub>
          <m:sSubPr/>
          <m:e>
            <m:r>
              <m:t>θ</m:t>
            </m:r>
          </m:e>
          <m:sub>
            <m:r>
              <m:t>2i+1</m:t>
            </m:r>
          </m:sub>
        </m:sSub>
        <m:r>
          <m:t> cos </m:t>
        </m:r>
        <m:sSub>
          <m:sSubPr/>
          <m:e>
            <m:r>
              <m:t>x</m:t>
            </m:r>
          </m:e>
          <m:sub>
            <m:r>
              <m:t>i</m:t>
            </m:r>
          </m:sub>
        </m:sSub>
        <m:r>
          <m:t> + sin</m:t>
        </m:r>
        <m:sSub>
          <m:sSubPr/>
          <m:e>
            <m:r>
              <m:t>θ</m:t>
            </m:r>
          </m:e>
          <m:sub>
            <m:r>
              <m:t>2i+1</m:t>
            </m:r>
          </m:sub>
        </m:sSub>
        <m:r>
          <m:t> sin</m:t>
        </m:r>
        <m:sSub>
          <m:sSubPr/>
          <m:e>
            <m:r>
              <m:t>θ</m:t>
            </m:r>
          </m:e>
          <m:sub>
            <m:r>
              <m:t>2i</m:t>
            </m:r>
          </m:sub>
        </m:sSub>
        <m:r>
          <m:t> sin </m:t>
        </m:r>
        <m:sSub>
          <m:sSubPr/>
          <m:e>
            <m:r>
              <m:t>x</m:t>
            </m:r>
          </m:e>
          <m:sub>
            <m:r>
              <m:t>i</m:t>
            </m:r>
          </m:sub>
        </m:sSub>
      </m:oMath>
      <w:r>
        <w:rPr>
          <w:rFonts w:ascii="Times New Roman" w:cs="Times New Roman" w:eastAsia="Times New Roman" w:hAnsi="Times New Roman"/>
          <w:sz w:val="20"/>
          <w:szCs w:val="20"/>
        </w:rPr>
        <w:tab/>
        <w:t xml:space="preserve">(5)</w:t>
      </w:r>
    </w:p>
    <w:p>
      <w:pPr>
        <w:spacing w:after="70" w:before="0" w:line="240"/>
        <w:jc w:val="both"/>
      </w:pPr>
      <w:r>
        <w:rPr>
          <w:rFonts w:ascii="Times New Roman" w:cs="Times New Roman" w:eastAsia="Times New Roman" w:hAnsi="Times New Roman"/>
          <w:sz w:val="20"/>
          <w:szCs w:val="20"/>
        </w:rPr>
        <w:t xml:space="preserve">A CNOT with control </w:t>
      </w:r>
      <w:r>
        <w:rPr>
          <w:rFonts w:ascii="Times New Roman" w:cs="Times New Roman" w:eastAsia="Times New Roman" w:hAnsi="Times New Roman"/>
          <w:i/>
          <w:iCs/>
          <w:sz w:val="20"/>
          <w:szCs w:val="20"/>
        </w:rPr>
        <w:t xml:space="preserve">c</w:t>
      </w:r>
      <w:r>
        <w:rPr>
          <w:rFonts w:ascii="Times New Roman" w:cs="Times New Roman" w:eastAsia="Times New Roman" w:hAnsi="Times New Roman"/>
          <w:sz w:val="20"/>
          <w:szCs w:val="20"/>
        </w:rPr>
        <w:t xml:space="preserve"> and target </w:t>
      </w:r>
      <w:r>
        <w:rPr>
          <w:rFonts w:ascii="Times New Roman" w:cs="Times New Roman" w:eastAsia="Times New Roman" w:hAnsi="Times New Roman"/>
          <w:i/>
          <w:iCs/>
          <w:sz w:val="20"/>
          <w:szCs w:val="20"/>
        </w:rPr>
        <w:t xml:space="preserve">t</w:t>
      </w:r>
      <w:r>
        <w:rPr>
          <w:rFonts w:ascii="Times New Roman" w:cs="Times New Roman" w:eastAsia="Times New Roman" w:hAnsi="Times New Roman"/>
          <w:sz w:val="20"/>
          <w:szCs w:val="20"/>
        </w:rPr>
        <w:t xml:space="preserve"> maps </w:t>
      </w:r>
      <w:r>
        <w:rPr>
          <w:rFonts w:ascii="Times New Roman" w:cs="Times New Roman" w:eastAsia="Times New Roman" w:hAnsi="Times New Roman"/>
          <w:i/>
          <w:iCs/>
          <w:sz w:val="20"/>
          <w:szCs w:val="20"/>
        </w:rPr>
        <w:t xml:space="preserve">Z</w:t>
      </w:r>
      <w:r>
        <w:rPr>
          <w:rFonts w:ascii="Times New Roman" w:cs="Times New Roman" w:eastAsia="Times New Roman" w:hAnsi="Times New Roman"/>
          <w:sz w:val="20"/>
          <w:szCs w:val="20"/>
          <w:vertAlign w:val="subscript"/>
        </w:rPr>
        <w:t xml:space="preserve">t</w:t>
      </w:r>
      <w:r>
        <w:rPr>
          <w:rFonts w:ascii="Times New Roman" w:cs="Times New Roman" w:eastAsia="Times New Roman" w:hAnsi="Times New Roman"/>
          <w:sz w:val="20"/>
          <w:szCs w:val="20"/>
        </w:rPr>
        <w:t xml:space="preserve"> → </w:t>
      </w:r>
      <w:r>
        <w:rPr>
          <w:rFonts w:ascii="Times New Roman" w:cs="Times New Roman" w:eastAsia="Times New Roman" w:hAnsi="Times New Roman"/>
          <w:i/>
          <w:iCs/>
          <w:sz w:val="20"/>
          <w:szCs w:val="20"/>
        </w:rPr>
        <w:t xml:space="preserve">Z</w:t>
      </w:r>
      <w:r>
        <w:rPr>
          <w:rFonts w:ascii="Times New Roman" w:cs="Times New Roman" w:eastAsia="Times New Roman" w:hAnsi="Times New Roman"/>
          <w:sz w:val="20"/>
          <w:szCs w:val="20"/>
          <w:vertAlign w:val="subscript"/>
        </w:rPr>
        <w:t xml:space="preserve">c</w:t>
      </w:r>
      <w:r>
        <w:rPr>
          <w:rFonts w:ascii="Times New Roman" w:cs="Times New Roman" w:eastAsia="Times New Roman" w:hAnsi="Times New Roman"/>
          <w:i/>
          <w:iCs/>
          <w:sz w:val="20"/>
          <w:szCs w:val="20"/>
        </w:rPr>
        <w:t xml:space="preserve">Z</w:t>
      </w:r>
      <w:r>
        <w:rPr>
          <w:rFonts w:ascii="Times New Roman" w:cs="Times New Roman" w:eastAsia="Times New Roman" w:hAnsi="Times New Roman"/>
          <w:sz w:val="20"/>
          <w:szCs w:val="20"/>
          <w:vertAlign w:val="subscript"/>
        </w:rPr>
        <w:t xml:space="preserve">t</w:t>
      </w:r>
      <w:r>
        <w:rPr>
          <w:rFonts w:ascii="Times New Roman" w:cs="Times New Roman" w:eastAsia="Times New Roman" w:hAnsi="Times New Roman"/>
          <w:sz w:val="20"/>
          <w:szCs w:val="20"/>
        </w:rPr>
        <w:t xml:space="preserve"> and leaves </w:t>
      </w:r>
      <w:r>
        <w:rPr>
          <w:rFonts w:ascii="Times New Roman" w:cs="Times New Roman" w:eastAsia="Times New Roman" w:hAnsi="Times New Roman"/>
          <w:i/>
          <w:iCs/>
          <w:sz w:val="20"/>
          <w:szCs w:val="20"/>
        </w:rPr>
        <w:t xml:space="preserve">Z</w:t>
      </w:r>
      <w:r>
        <w:rPr>
          <w:rFonts w:ascii="Times New Roman" w:cs="Times New Roman" w:eastAsia="Times New Roman" w:hAnsi="Times New Roman"/>
          <w:sz w:val="20"/>
          <w:szCs w:val="20"/>
          <w:vertAlign w:val="subscript"/>
        </w:rPr>
        <w:t xml:space="preserve">c</w:t>
      </w:r>
      <w:r>
        <w:rPr>
          <w:rFonts w:ascii="Times New Roman" w:cs="Times New Roman" w:eastAsia="Times New Roman" w:hAnsi="Times New Roman"/>
          <w:sz w:val="20"/>
          <w:szCs w:val="20"/>
        </w:rPr>
        <w:t xml:space="preserve"> unchanged. Propagating </w:t>
      </w:r>
      <w:r>
        <w:rPr>
          <w:rFonts w:ascii="Times New Roman" w:cs="Times New Roman" w:eastAsia="Times New Roman" w:hAnsi="Times New Roman"/>
          <w:i/>
          <w:iCs/>
          <w:sz w:val="20"/>
          <w:szCs w:val="20"/>
        </w:rPr>
        <w:t xml:space="preserve">Z</w:t>
      </w:r>
      <w:r>
        <w:rPr>
          <w:rFonts w:ascii="Times New Roman" w:cs="Times New Roman" w:eastAsia="Times New Roman" w:hAnsi="Times New Roman"/>
          <w:sz w:val="20"/>
          <w:szCs w:val="20"/>
          <w:vertAlign w:val="subscript"/>
        </w:rPr>
        <w:t xml:space="preserve">k</w:t>
      </w:r>
      <w:r>
        <w:rPr>
          <w:rFonts w:ascii="Times New Roman" w:cs="Times New Roman" w:eastAsia="Times New Roman" w:hAnsi="Times New Roman"/>
          <w:sz w:val="20"/>
          <w:szCs w:val="20"/>
        </w:rPr>
        <w:t xml:space="preserve"> back through the chain gives </w:t>
      </w:r>
      <w:r>
        <w:rPr>
          <w:rFonts w:ascii="Times New Roman" w:cs="Times New Roman" w:eastAsia="Times New Roman" w:hAnsi="Times New Roman"/>
          <w:i/>
          <w:iCs/>
          <w:sz w:val="20"/>
          <w:szCs w:val="20"/>
        </w:rPr>
        <w:t xml:space="preserve">C</w:t>
      </w:r>
      <w:r>
        <w:rPr>
          <w:rFonts w:ascii="Times New Roman" w:cs="Times New Roman" w:eastAsia="Times New Roman" w:hAnsi="Times New Roman"/>
          <w:sz w:val="20"/>
          <w:szCs w:val="20"/>
          <w:vertAlign w:val="superscript"/>
        </w:rPr>
        <w:t xml:space="preserve">†</w:t>
      </w:r>
      <w:r>
        <w:rPr>
          <w:rFonts w:ascii="Times New Roman" w:cs="Times New Roman" w:eastAsia="Times New Roman" w:hAnsi="Times New Roman"/>
          <w:i/>
          <w:iCs/>
          <w:sz w:val="20"/>
          <w:szCs w:val="20"/>
        </w:rPr>
        <w:t xml:space="preserve">Z</w:t>
      </w:r>
      <w:r>
        <w:rPr>
          <w:rFonts w:ascii="Times New Roman" w:cs="Times New Roman" w:eastAsia="Times New Roman" w:hAnsi="Times New Roman"/>
          <w:sz w:val="20"/>
          <w:szCs w:val="20"/>
          <w:vertAlign w:val="subscript"/>
        </w:rPr>
        <w:t xml:space="preserve">k</w:t>
      </w:r>
      <w:r>
        <w:rPr>
          <w:rFonts w:ascii="Times New Roman" w:cs="Times New Roman" w:eastAsia="Times New Roman" w:hAnsi="Times New Roman"/>
          <w:i/>
          <w:iCs/>
          <w:sz w:val="20"/>
          <w:szCs w:val="20"/>
        </w:rPr>
        <w:t xml:space="preserve">C</w:t>
      </w:r>
      <w:r>
        <w:rPr>
          <w:rFonts w:ascii="Times New Roman" w:cs="Times New Roman" w:eastAsia="Times New Roman" w:hAnsi="Times New Roman"/>
          <w:sz w:val="20"/>
          <w:szCs w:val="20"/>
        </w:rPr>
        <w:t xml:space="preserve"> = </w:t>
      </w:r>
      <w:r>
        <w:rPr>
          <w:rFonts w:ascii="Times New Roman" w:cs="Times New Roman" w:eastAsia="Times New Roman" w:hAnsi="Times New Roman"/>
          <w:i/>
          <w:iCs/>
          <w:sz w:val="20"/>
          <w:szCs w:val="20"/>
        </w:rPr>
        <w:t xml:space="preserve">Z</w:t>
      </w:r>
      <w:r>
        <w:rPr>
          <w:rFonts w:ascii="Times New Roman" w:cs="Times New Roman" w:eastAsia="Times New Roman" w:hAnsi="Times New Roman"/>
          <w:sz w:val="20"/>
          <w:szCs w:val="20"/>
          <w:vertAlign w:val="subscript"/>
        </w:rPr>
        <w:t xml:space="preserve">0</w:t>
      </w:r>
      <w:r>
        <w:rPr>
          <w:rFonts w:ascii="Times New Roman" w:cs="Times New Roman" w:eastAsia="Times New Roman" w:hAnsi="Times New Roman"/>
          <w:i/>
          <w:iCs/>
          <w:sz w:val="20"/>
          <w:szCs w:val="20"/>
        </w:rPr>
        <w:t xml:space="preserve">Z</w:t>
      </w:r>
      <w:r>
        <w:rPr>
          <w:rFonts w:ascii="Times New Roman" w:cs="Times New Roman" w:eastAsia="Times New Roman" w:hAnsi="Times New Roman"/>
          <w:sz w:val="20"/>
          <w:szCs w:val="20"/>
          <w:vertAlign w:val="subscript"/>
        </w:rPr>
        <w:t xml:space="preserve">1</w:t>
      </w:r>
      <w:r>
        <w:rPr>
          <w:rFonts w:ascii="Times New Roman" w:cs="Times New Roman" w:eastAsia="Times New Roman" w:hAnsi="Times New Roman"/>
          <w:sz w:val="20"/>
          <w:szCs w:val="20"/>
        </w:rPr>
        <w:t xml:space="preserve">⋯</w:t>
      </w:r>
      <w:r>
        <w:rPr>
          <w:rFonts w:ascii="Times New Roman" w:cs="Times New Roman" w:eastAsia="Times New Roman" w:hAnsi="Times New Roman"/>
          <w:i/>
          <w:iCs/>
          <w:sz w:val="20"/>
          <w:szCs w:val="20"/>
        </w:rPr>
        <w:t xml:space="preserve">Z</w:t>
      </w:r>
      <w:r>
        <w:rPr>
          <w:rFonts w:ascii="Times New Roman" w:cs="Times New Roman" w:eastAsia="Times New Roman" w:hAnsi="Times New Roman"/>
          <w:sz w:val="20"/>
          <w:szCs w:val="20"/>
          <w:vertAlign w:val="subscript"/>
        </w:rPr>
        <w:t xml:space="preserve">k</w:t>
      </w:r>
      <w:r>
        <w:rPr>
          <w:rFonts w:ascii="Times New Roman" w:cs="Times New Roman" w:eastAsia="Times New Roman" w:hAnsi="Times New Roman"/>
          <w:sz w:val="20"/>
          <w:szCs w:val="20"/>
        </w:rPr>
        <w:t xml:space="preserve">, hence</w:t>
      </w:r>
    </w:p>
    <w:p>
      <w:pPr>
        <w:tabs>
          <w:tab w:val="center" w:pos="4680"/>
          <w:tab w:val="right" w:pos="9360"/>
        </w:tabs>
        <w:spacing w:after="70" w:before="50"/>
      </w:pPr>
      <w:r>
        <w:rPr>
          <w:rFonts w:ascii="Times New Roman" w:cs="Times New Roman" w:eastAsia="Times New Roman" w:hAnsi="Times New Roman"/>
          <w:sz w:val="20"/>
          <w:szCs w:val="20"/>
        </w:rPr>
        <w:tab/>
      </w:r>
      <m:oMath>
        <m:sSub>
          <m:sSubPr/>
          <m:e>
            <m:r>
              <m:t>f</m:t>
            </m:r>
          </m:e>
          <m:sub>
            <m:r>
              <m:t>k</m:t>
            </m:r>
          </m:sub>
        </m:sSub>
        <m:r>
          <m:t> = </m:t>
        </m:r>
        <m:sSub>
          <m:sSubPr/>
          <m:e>
            <m:r>
              <m:t>s</m:t>
            </m:r>
          </m:e>
          <m:sub>
            <m:r>
              <m:t>0</m:t>
            </m:r>
          </m:sub>
        </m:sSub>
        <m:sSub>
          <m:sSubPr/>
          <m:e>
            <m:r>
              <m:t>s</m:t>
            </m:r>
          </m:e>
          <m:sub>
            <m:r>
              <m:t>1</m:t>
            </m:r>
          </m:sub>
        </m:sSub>
        <m:r>
          <m:t>⋯</m:t>
        </m:r>
        <m:sSub>
          <m:sSubPr/>
          <m:e>
            <m:r>
              <m:t>s</m:t>
            </m:r>
          </m:e>
          <m:sub>
            <m:r>
              <m:t>k</m:t>
            </m:r>
          </m:sub>
        </m:sSub>
      </m:oMath>
      <w:r>
        <w:rPr>
          <w:rFonts w:ascii="Times New Roman" w:cs="Times New Roman" w:eastAsia="Times New Roman" w:hAnsi="Times New Roman"/>
          <w:sz w:val="20"/>
          <w:szCs w:val="20"/>
        </w:rPr>
        <w:tab/>
        <w:t xml:space="preserve">(6)</w:t>
      </w:r>
    </w:p>
    <w:p>
      <w:pPr>
        <w:spacing w:after="70" w:before="0" w:line="240"/>
        <w:jc w:val="both"/>
      </w:pPr>
      <w:r>
        <w:rPr>
          <w:rFonts w:ascii="Times New Roman" w:cs="Times New Roman" w:eastAsia="Times New Roman" w:hAnsi="Times New Roman"/>
          <w:sz w:val="20"/>
          <w:szCs w:val="20"/>
        </w:rPr>
        <w:t xml:space="preserve">This was checked numerically against the full state-vector circuit on 200 random patches and parameter sets (maximum difference 6.7×10</w:t>
      </w:r>
      <w:r>
        <w:rPr>
          <w:rFonts w:ascii="Times New Roman" w:cs="Times New Roman" w:eastAsia="Times New Roman" w:hAnsi="Times New Roman"/>
          <w:sz w:val="20"/>
          <w:szCs w:val="20"/>
          <w:vertAlign w:val="superscript"/>
        </w:rPr>
        <w:t xml:space="preserve">−16</w:t>
      </w:r>
      <w:r>
        <w:rPr>
          <w:rFonts w:ascii="Times New Roman" w:cs="Times New Roman" w:eastAsia="Times New Roman" w:hAnsi="Times New Roman"/>
          <w:sz w:val="20"/>
          <w:szCs w:val="20"/>
        </w:rPr>
        <w:t xml:space="preserve">). It shows that (i) </w:t>
      </w:r>
      <w:r>
        <w:rPr>
          <w:rFonts w:ascii="Times New Roman" w:cs="Times New Roman" w:eastAsia="Times New Roman" w:hAnsi="Times New Roman"/>
          <w:i/>
          <w:iCs/>
          <w:sz w:val="20"/>
          <w:szCs w:val="20"/>
        </w:rPr>
        <w:t xml:space="preserve">f</w:t>
      </w:r>
      <w:r>
        <w:rPr>
          <w:rFonts w:ascii="Times New Roman" w:cs="Times New Roman" w:eastAsia="Times New Roman" w:hAnsi="Times New Roman"/>
          <w:sz w:val="20"/>
          <w:szCs w:val="20"/>
          <w:vertAlign w:val="subscript"/>
        </w:rPr>
        <w:t xml:space="preserve">0</w:t>
      </w:r>
      <w:r>
        <w:rPr>
          <w:rFonts w:ascii="Times New Roman" w:cs="Times New Roman" w:eastAsia="Times New Roman" w:hAnsi="Times New Roman"/>
          <w:sz w:val="20"/>
          <w:szCs w:val="20"/>
        </w:rPr>
        <w:t xml:space="preserve"> depends on pixel 0 only and </w:t>
      </w:r>
      <w:r>
        <w:rPr>
          <w:rFonts w:ascii="Times New Roman" w:cs="Times New Roman" w:eastAsia="Times New Roman" w:hAnsi="Times New Roman"/>
          <w:i/>
          <w:iCs/>
          <w:sz w:val="20"/>
          <w:szCs w:val="20"/>
        </w:rPr>
        <w:t xml:space="preserve">f</w:t>
      </w:r>
      <w:r>
        <w:rPr>
          <w:rFonts w:ascii="Times New Roman" w:cs="Times New Roman" w:eastAsia="Times New Roman" w:hAnsi="Times New Roman"/>
          <w:sz w:val="20"/>
          <w:szCs w:val="20"/>
          <w:vertAlign w:val="subscript"/>
        </w:rPr>
        <w:t xml:space="preserve">3</w:t>
      </w:r>
      <w:r>
        <w:rPr>
          <w:rFonts w:ascii="Times New Roman" w:cs="Times New Roman" w:eastAsia="Times New Roman" w:hAnsi="Times New Roman"/>
          <w:sz w:val="20"/>
          <w:szCs w:val="20"/>
        </w:rPr>
        <w:t xml:space="preserve"> on all four pixels, so entanglement is what lets the outputs combine neighbouring pixels (Fig. 3b); without CNOTs each output is just </w:t>
      </w:r>
      <w:r>
        <w:rPr>
          <w:rFonts w:ascii="Times New Roman" w:cs="Times New Roman" w:eastAsia="Times New Roman" w:hAnsi="Times New Roman"/>
          <w:i/>
          <w:iCs/>
          <w:sz w:val="20"/>
          <w:szCs w:val="20"/>
        </w:rPr>
        <w:t xml:space="preserve">s</w:t>
      </w:r>
      <w:r>
        <w:rPr>
          <w:rFonts w:ascii="Times New Roman" w:cs="Times New Roman" w:eastAsia="Times New Roman" w:hAnsi="Times New Roman"/>
          <w:sz w:val="20"/>
          <w:szCs w:val="20"/>
          <w:vertAlign w:val="subscript"/>
        </w:rPr>
        <w:t xml:space="preserve">k</w:t>
      </w:r>
      <w:r>
        <w:rPr>
          <w:rFonts w:ascii="Times New Roman" w:cs="Times New Roman" w:eastAsia="Times New Roman" w:hAnsi="Times New Roman"/>
          <w:sz w:val="20"/>
          <w:szCs w:val="20"/>
        </w:rPr>
        <w:t xml:space="preserve"> of one pixel; (ii) every output is a bounded sinusoid in each pixel and in each θ (Fig. 3a); and (iii) since each θ enters with frequency one, the parameter-shift rule below is exact. Overall the model is a softmax classifier on 2304 trigonometric pixel features controlled by only eight quantum parameters.</w:t>
      </w:r>
    </w:p>
    <w:p>
      <w:pPr>
        <w:keepNext/>
        <w:spacing w:after="0" w:before="20"/>
        <w:jc w:val="center"/>
      </w:pPr>
      <w:r>
        <w:drawing>
          <wp:inline distT="0" distB="0" distL="0" distR="0">
            <wp:extent cx="4572000" cy="1562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1562100"/>
                    </a:xfrm>
                    <a:prstGeom prst="rect">
                      <a:avLst/>
                    </a:prstGeom>
                  </pic:spPr>
                </pic:pic>
              </a:graphicData>
            </a:graphic>
          </wp:inline>
        </w:drawing>
      </w:r>
    </w:p>
    <w:p>
      <w:pPr>
        <w:spacing w:after="90" w:before="20"/>
        <w:jc w:val="center"/>
      </w:pPr>
      <w:r>
        <w:rPr>
          <w:rFonts w:ascii="Times New Roman" w:cs="Times New Roman" w:eastAsia="Times New Roman" w:hAnsi="Times New Roman"/>
          <w:b/>
          <w:bCs/>
          <w:sz w:val="18"/>
          <w:szCs w:val="18"/>
        </w:rPr>
        <w:t xml:space="preserve">Fig. 3.</w:t>
      </w:r>
      <w:r>
        <w:rPr>
          <w:rFonts w:ascii="Times New Roman" w:cs="Times New Roman" w:eastAsia="Times New Roman" w:hAnsi="Times New Roman"/>
          <w:sz w:val="18"/>
          <w:szCs w:val="18"/>
        </w:rPr>
        <w:t xml:space="preserve"> (a) Single-qubit response </w:t>
      </w:r>
      <w:r>
        <w:rPr>
          <w:rFonts w:ascii="Times New Roman" w:cs="Times New Roman" w:eastAsia="Times New Roman" w:hAnsi="Times New Roman"/>
          <w:i/>
          <w:iCs/>
          <w:sz w:val="18"/>
          <w:szCs w:val="18"/>
        </w:rPr>
        <w:t xml:space="preserve">s</w:t>
      </w:r>
      <w:r>
        <w:rPr>
          <w:rFonts w:ascii="Times New Roman" w:cs="Times New Roman" w:eastAsia="Times New Roman" w:hAnsi="Times New Roman"/>
          <w:sz w:val="18"/>
          <w:szCs w:val="18"/>
          <w:vertAlign w:val="subscript"/>
        </w:rPr>
        <w:t xml:space="preserve">i</w:t>
      </w:r>
      <w:r>
        <w:rPr>
          <w:rFonts w:ascii="Times New Roman" w:cs="Times New Roman" w:eastAsia="Times New Roman" w:hAnsi="Times New Roman"/>
          <w:sz w:val="18"/>
          <w:szCs w:val="18"/>
        </w:rPr>
        <w:t xml:space="preserve">(</w:t>
      </w:r>
      <w:r>
        <w:rPr>
          <w:rFonts w:ascii="Times New Roman" w:cs="Times New Roman" w:eastAsia="Times New Roman" w:hAnsi="Times New Roman"/>
          <w:i/>
          <w:iCs/>
          <w:sz w:val="18"/>
          <w:szCs w:val="18"/>
        </w:rPr>
        <w:t xml:space="preserve">x</w:t>
      </w:r>
      <w:r>
        <w:rPr>
          <w:rFonts w:ascii="Times New Roman" w:cs="Times New Roman" w:eastAsia="Times New Roman" w:hAnsi="Times New Roman"/>
          <w:sz w:val="18"/>
          <w:szCs w:val="18"/>
          <w:vertAlign w:val="subscript"/>
        </w:rPr>
        <w:t xml:space="preserve">i</w:t>
      </w:r>
      <w:r>
        <w:rPr>
          <w:rFonts w:ascii="Times New Roman" w:cs="Times New Roman" w:eastAsia="Times New Roman" w:hAnsi="Times New Roman"/>
          <w:sz w:val="18"/>
          <w:szCs w:val="18"/>
        </w:rPr>
        <w:t xml:space="preserve">) for three settings of (θ</w:t>
      </w:r>
      <w:r>
        <w:rPr>
          <w:rFonts w:ascii="Times New Roman" w:cs="Times New Roman" w:eastAsia="Times New Roman" w:hAnsi="Times New Roman"/>
          <w:sz w:val="18"/>
          <w:szCs w:val="18"/>
          <w:vertAlign w:val="subscript"/>
        </w:rPr>
        <w:t xml:space="preserve">Z</w:t>
      </w:r>
      <w:r>
        <w:rPr>
          <w:rFonts w:ascii="Times New Roman" w:cs="Times New Roman" w:eastAsia="Times New Roman" w:hAnsi="Times New Roman"/>
          <w:sz w:val="18"/>
          <w:szCs w:val="18"/>
        </w:rPr>
        <w:t xml:space="preserve">, θ</w:t>
      </w:r>
      <w:r>
        <w:rPr>
          <w:rFonts w:ascii="Times New Roman" w:cs="Times New Roman" w:eastAsia="Times New Roman" w:hAnsi="Times New Roman"/>
          <w:sz w:val="18"/>
          <w:szCs w:val="18"/>
          <w:vertAlign w:val="subscript"/>
        </w:rPr>
        <w:t xml:space="preserve">X</w:t>
      </w:r>
      <w:r>
        <w:rPr>
          <w:rFonts w:ascii="Times New Roman" w:cs="Times New Roman" w:eastAsia="Times New Roman" w:hAnsi="Times New Roman"/>
          <w:sz w:val="18"/>
          <w:szCs w:val="18"/>
        </w:rPr>
        <w:t xml:space="preserve">). (b) The entangled output </w:t>
      </w:r>
      <w:r>
        <w:rPr>
          <w:rFonts w:ascii="Times New Roman" w:cs="Times New Roman" w:eastAsia="Times New Roman" w:hAnsi="Times New Roman"/>
          <w:i/>
          <w:iCs/>
          <w:sz w:val="18"/>
          <w:szCs w:val="18"/>
        </w:rPr>
        <w:t xml:space="preserve">f</w:t>
      </w:r>
      <w:r>
        <w:rPr>
          <w:rFonts w:ascii="Times New Roman" w:cs="Times New Roman" w:eastAsia="Times New Roman" w:hAnsi="Times New Roman"/>
          <w:sz w:val="18"/>
          <w:szCs w:val="18"/>
          <w:vertAlign w:val="subscript"/>
        </w:rPr>
        <w:t xml:space="preserve">1</w:t>
      </w:r>
      <w:r>
        <w:rPr>
          <w:rFonts w:ascii="Times New Roman" w:cs="Times New Roman" w:eastAsia="Times New Roman" w:hAnsi="Times New Roman"/>
          <w:sz w:val="18"/>
          <w:szCs w:val="18"/>
        </w:rPr>
        <w:t xml:space="preserve"> = </w:t>
      </w:r>
      <w:r>
        <w:rPr>
          <w:rFonts w:ascii="Times New Roman" w:cs="Times New Roman" w:eastAsia="Times New Roman" w:hAnsi="Times New Roman"/>
          <w:i/>
          <w:iCs/>
          <w:sz w:val="18"/>
          <w:szCs w:val="18"/>
        </w:rPr>
        <w:t xml:space="preserve">s</w:t>
      </w:r>
      <w:r>
        <w:rPr>
          <w:rFonts w:ascii="Times New Roman" w:cs="Times New Roman" w:eastAsia="Times New Roman" w:hAnsi="Times New Roman"/>
          <w:sz w:val="18"/>
          <w:szCs w:val="18"/>
          <w:vertAlign w:val="subscript"/>
        </w:rPr>
        <w:t xml:space="preserve">0</w:t>
      </w:r>
      <w:r>
        <w:rPr>
          <w:rFonts w:ascii="Times New Roman" w:cs="Times New Roman" w:eastAsia="Times New Roman" w:hAnsi="Times New Roman"/>
          <w:i/>
          <w:iCs/>
          <w:sz w:val="18"/>
          <w:szCs w:val="18"/>
        </w:rPr>
        <w:t xml:space="preserve">s</w:t>
      </w:r>
      <w:r>
        <w:rPr>
          <w:rFonts w:ascii="Times New Roman" w:cs="Times New Roman" w:eastAsia="Times New Roman" w:hAnsi="Times New Roman"/>
          <w:sz w:val="18"/>
          <w:szCs w:val="18"/>
          <w:vertAlign w:val="subscript"/>
        </w:rPr>
        <w:t xml:space="preserve">1</w:t>
      </w:r>
      <w:r>
        <w:rPr>
          <w:rFonts w:ascii="Times New Roman" w:cs="Times New Roman" w:eastAsia="Times New Roman" w:hAnsi="Times New Roman"/>
          <w:sz w:val="18"/>
          <w:szCs w:val="18"/>
        </w:rPr>
        <w:t xml:space="preserve"> as a function of two pixels, using the closed form in Eq. (6).</w:t>
      </w:r>
    </w:p>
    <w:p>
      <w:pPr>
        <w:keepNext/>
        <w:spacing w:after="40" w:before="80"/>
      </w:pPr>
      <w:r>
        <w:rPr>
          <w:rFonts w:ascii="Times New Roman" w:cs="Times New Roman" w:eastAsia="Times New Roman" w:hAnsi="Times New Roman"/>
          <w:b/>
          <w:bCs/>
          <w:i/>
          <w:iCs/>
          <w:sz w:val="20"/>
          <w:szCs w:val="20"/>
        </w:rPr>
        <w:t xml:space="preserve">3.3 Classifier, loss and training</w:t>
      </w:r>
    </w:p>
    <w:p>
      <w:pPr>
        <w:spacing w:after="70" w:before="0" w:line="240"/>
        <w:jc w:val="both"/>
      </w:pPr>
      <w:r>
        <w:rPr>
          <w:rFonts w:ascii="Times New Roman" w:cs="Times New Roman" w:eastAsia="Times New Roman" w:hAnsi="Times New Roman"/>
          <w:sz w:val="20"/>
          <w:szCs w:val="20"/>
        </w:rPr>
        <w:t xml:space="preserve">Let </w:t>
      </w:r>
      <w:r>
        <w:rPr>
          <w:rFonts w:ascii="Times New Roman" w:cs="Times New Roman" w:eastAsia="Times New Roman" w:hAnsi="Times New Roman"/>
          <w:b/>
          <w:bCs/>
          <w:sz w:val="20"/>
          <w:szCs w:val="20"/>
        </w:rPr>
        <w:t xml:space="preserve">F</w:t>
      </w:r>
      <w:r>
        <w:rPr>
          <w:rFonts w:ascii="Times New Roman" w:cs="Times New Roman" w:eastAsia="Times New Roman" w:hAnsi="Times New Roman"/>
          <w:sz w:val="20"/>
          <w:szCs w:val="20"/>
        </w:rPr>
        <w:t xml:space="preserve"> ∈ ℝ</w:t>
      </w:r>
      <w:r>
        <w:rPr>
          <w:rFonts w:ascii="Times New Roman" w:cs="Times New Roman" w:eastAsia="Times New Roman" w:hAnsi="Times New Roman"/>
          <w:sz w:val="20"/>
          <w:szCs w:val="20"/>
          <w:vertAlign w:val="superscript"/>
        </w:rPr>
        <w:t xml:space="preserve">2304</w:t>
      </w:r>
      <w:r>
        <w:rPr>
          <w:rFonts w:ascii="Times New Roman" w:cs="Times New Roman" w:eastAsia="Times New Roman" w:hAnsi="Times New Roman"/>
          <w:sz w:val="20"/>
          <w:szCs w:val="20"/>
        </w:rPr>
        <w:t xml:space="preserve"> hold the 576×4 feature values and </w:t>
      </w:r>
      <w:r>
        <w:rPr>
          <w:rFonts w:ascii="Times New Roman" w:cs="Times New Roman" w:eastAsia="Times New Roman" w:hAnsi="Times New Roman"/>
          <w:b/>
          <w:bCs/>
          <w:sz w:val="20"/>
          <w:szCs w:val="20"/>
        </w:rPr>
        <w:t xml:space="preserve">z</w:t>
      </w:r>
      <w:r>
        <w:rPr>
          <w:rFonts w:ascii="Times New Roman" w:cs="Times New Roman" w:eastAsia="Times New Roman" w:hAnsi="Times New Roman"/>
          <w:sz w:val="20"/>
          <w:szCs w:val="20"/>
        </w:rPr>
        <w:t xml:space="preserve"> = </w:t>
      </w:r>
      <w:r>
        <w:rPr>
          <w:rFonts w:ascii="Times New Roman" w:cs="Times New Roman" w:eastAsia="Times New Roman" w:hAnsi="Times New Roman"/>
          <w:b/>
          <w:bCs/>
          <w:sz w:val="20"/>
          <w:szCs w:val="20"/>
        </w:rPr>
        <w:t xml:space="preserve">WF</w:t>
      </w:r>
      <w:r>
        <w:rPr>
          <w:rFonts w:ascii="Times New Roman" w:cs="Times New Roman" w:eastAsia="Times New Roman" w:hAnsi="Times New Roman"/>
          <w:sz w:val="20"/>
          <w:szCs w:val="20"/>
        </w:rPr>
        <w:t xml:space="preserve"> + </w:t>
      </w:r>
      <w:r>
        <w:rPr>
          <w:rFonts w:ascii="Times New Roman" w:cs="Times New Roman" w:eastAsia="Times New Roman" w:hAnsi="Times New Roman"/>
          <w:b/>
          <w:bCs/>
          <w:sz w:val="20"/>
          <w:szCs w:val="20"/>
        </w:rPr>
        <w:t xml:space="preserve">b</w:t>
      </w:r>
      <w:r>
        <w:rPr>
          <w:rFonts w:ascii="Times New Roman" w:cs="Times New Roman" w:eastAsia="Times New Roman" w:hAnsi="Times New Roman"/>
          <w:sz w:val="20"/>
          <w:szCs w:val="20"/>
        </w:rPr>
        <w:t xml:space="preserve"> the logits. The network is trained with softmax cross-entropy over </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samples with true classes </w:t>
      </w:r>
      <w:r>
        <w:rPr>
          <w:rFonts w:ascii="Times New Roman" w:cs="Times New Roman" w:eastAsia="Times New Roman" w:hAnsi="Times New Roman"/>
          <w:i/>
          <w:iCs/>
          <w:sz w:val="20"/>
          <w:szCs w:val="20"/>
        </w:rPr>
        <w:t xml:space="preserve">y</w:t>
      </w:r>
      <w:r>
        <w:rPr>
          <w:rFonts w:ascii="Times New Roman" w:cs="Times New Roman" w:eastAsia="Times New Roman" w:hAnsi="Times New Roman"/>
          <w:sz w:val="20"/>
          <w:szCs w:val="20"/>
          <w:vertAlign w:val="subscript"/>
        </w:rPr>
        <w:t xml:space="preserve">n</w:t>
      </w:r>
      <w:r>
        <w:rPr>
          <w:rFonts w:ascii="Times New Roman" w:cs="Times New Roman" w:eastAsia="Times New Roman" w:hAnsi="Times New Roman"/>
          <w:sz w:val="20"/>
          <w:szCs w:val="20"/>
        </w:rPr>
        <w:t xml:space="preserve"> and </w:t>
      </w:r>
      <w:r>
        <w:rPr>
          <w:rFonts w:ascii="Times New Roman" w:cs="Times New Roman" w:eastAsia="Times New Roman" w:hAnsi="Times New Roman"/>
          <w:i/>
          <w:iCs/>
          <w:sz w:val="20"/>
          <w:szCs w:val="20"/>
        </w:rPr>
        <w:t xml:space="preserve">K</w:t>
      </w:r>
      <w:r>
        <w:rPr>
          <w:rFonts w:ascii="Times New Roman" w:cs="Times New Roman" w:eastAsia="Times New Roman" w:hAnsi="Times New Roman"/>
          <w:sz w:val="20"/>
          <w:szCs w:val="20"/>
        </w:rPr>
        <w:t xml:space="preserve"> classes (40 or 15):</w:t>
      </w:r>
    </w:p>
    <w:p>
      <w:pPr>
        <w:tabs>
          <w:tab w:val="center" w:pos="4680"/>
          <w:tab w:val="right" w:pos="9360"/>
        </w:tabs>
        <w:spacing w:after="70" w:before="50"/>
      </w:pPr>
      <w:r>
        <w:rPr>
          <w:rFonts w:ascii="Times New Roman" w:cs="Times New Roman" w:eastAsia="Times New Roman" w:hAnsi="Times New Roman"/>
          <w:sz w:val="20"/>
          <w:szCs w:val="20"/>
        </w:rPr>
        <w:tab/>
      </w:r>
      <m:oMath>
        <m:r>
          <m:t>L = − </m:t>
        </m:r>
        <m:f>
          <m:num>
            <m:r>
              <m:t>1</m:t>
            </m:r>
          </m:num>
          <m:den>
            <m:r>
              <m:t>N</m:t>
            </m:r>
          </m:den>
        </m:f>
        <m:nary>
          <m:naryPr>
            <m:chr m:val="∑"/>
            <m:limLoc m:val="undOvr"/>
          </m:naryPr>
          <m:sub>
            <m:r>
              <m:t>n=1</m:t>
            </m:r>
          </m:sub>
          <m:sup>
            <m:r>
              <m:t>N</m:t>
            </m:r>
          </m:sup>
          <m:e>
            <m:r>
              <m:t>ln </m:t>
            </m:r>
            <m:f>
              <m:num>
                <m:r>
                  <m:t>exp</m:t>
                </m:r>
                <m:r>
                  <m:t>(</m:t>
                </m:r>
                <m:sSub>
                  <m:sSubPr/>
                  <m:e>
                    <m:r>
                      <m:t>z</m:t>
                    </m:r>
                  </m:e>
                  <m:sub>
                    <m:r>
                      <m:t>n,yₙ</m:t>
                    </m:r>
                  </m:sub>
                </m:sSub>
                <m:r>
                  <m:t>)</m:t>
                </m:r>
              </m:num>
              <m:den>
                <m:nary>
                  <m:naryPr>
                    <m:chr m:val="∑"/>
                    <m:limLoc m:val="undOvr"/>
                  </m:naryPr>
                  <m:sub>
                    <m:r>
                      <m:t>c=1</m:t>
                    </m:r>
                  </m:sub>
                  <m:sup>
                    <m:r>
                      <m:t>K</m:t>
                    </m:r>
                  </m:sup>
                  <m:e>
                    <m:r>
                      <m:t>exp</m:t>
                    </m:r>
                    <m:r>
                      <m:t>(</m:t>
                    </m:r>
                    <m:sSub>
                      <m:sSubPr/>
                      <m:e>
                        <m:r>
                          <m:t>z</m:t>
                        </m:r>
                      </m:e>
                      <m:sub>
                        <m:r>
                          <m:t>n,c</m:t>
                        </m:r>
                      </m:sub>
                    </m:sSub>
                    <m:r>
                      <m:t>)</m:t>
                    </m:r>
                  </m:e>
                </m:nary>
              </m:den>
            </m:f>
          </m:e>
        </m:nary>
      </m:oMath>
      <w:r>
        <w:rPr>
          <w:rFonts w:ascii="Times New Roman" w:cs="Times New Roman" w:eastAsia="Times New Roman" w:hAnsi="Times New Roman"/>
          <w:sz w:val="20"/>
          <w:szCs w:val="20"/>
        </w:rPr>
        <w:tab/>
        <w:t xml:space="preserve">(7)</w:t>
      </w:r>
    </w:p>
    <w:p>
      <w:pPr>
        <w:spacing w:after="70" w:before="0" w:line="240"/>
        <w:jc w:val="both"/>
      </w:pPr>
      <w:r>
        <w:rPr>
          <w:rFonts w:ascii="Times New Roman" w:cs="Times New Roman" w:eastAsia="Times New Roman" w:hAnsi="Times New Roman"/>
          <w:sz w:val="20"/>
          <w:szCs w:val="20"/>
        </w:rPr>
        <w:t xml:space="preserve">Because the filter weights are shared, the gradient for each quantum parameter sums over all patches </w:t>
      </w:r>
      <w:r>
        <w:rPr>
          <w:rFonts w:ascii="Times New Roman" w:cs="Times New Roman" w:eastAsia="Times New Roman" w:hAnsi="Times New Roman"/>
          <w:i/>
          <w:iCs/>
          <w:sz w:val="20"/>
          <w:szCs w:val="20"/>
        </w:rPr>
        <w:t xml:space="preserve">p</w:t>
      </w:r>
      <w:r>
        <w:rPr>
          <w:rFonts w:ascii="Times New Roman" w:cs="Times New Roman" w:eastAsia="Times New Roman" w:hAnsi="Times New Roman"/>
          <w:sz w:val="20"/>
          <w:szCs w:val="20"/>
        </w:rPr>
        <w:t xml:space="preserve">:</w:t>
      </w:r>
    </w:p>
    <w:p>
      <w:pPr>
        <w:tabs>
          <w:tab w:val="center" w:pos="4680"/>
          <w:tab w:val="right" w:pos="9360"/>
        </w:tabs>
        <w:spacing w:after="70" w:before="50"/>
      </w:pPr>
      <w:r>
        <w:rPr>
          <w:rFonts w:ascii="Times New Roman" w:cs="Times New Roman" w:eastAsia="Times New Roman" w:hAnsi="Times New Roman"/>
          <w:sz w:val="20"/>
          <w:szCs w:val="20"/>
        </w:rPr>
        <w:tab/>
      </w:r>
      <m:oMath>
        <m:f>
          <m:num>
            <m:r>
              <m:t>∂L</m:t>
            </m:r>
          </m:num>
          <m:den>
            <m:r>
              <m:t>∂</m:t>
            </m:r>
            <m:sSub>
              <m:sSubPr/>
              <m:e>
                <m:r>
                  <m:t>θ</m:t>
                </m:r>
              </m:e>
              <m:sub>
                <m:r>
                  <m:t>m</m:t>
                </m:r>
              </m:sub>
            </m:sSub>
          </m:den>
        </m:f>
        <m:r>
          <m:t> = </m:t>
        </m:r>
        <m:nary>
          <m:naryPr>
            <m:chr m:val="∑"/>
            <m:limLoc m:val="undOvr"/>
          </m:naryPr>
          <m:sub>
            <m:r>
              <m:t>p=1</m:t>
            </m:r>
          </m:sub>
          <m:sup>
            <m:r>
              <m:t>576</m:t>
            </m:r>
          </m:sup>
          <m:e>
            <m:nary>
              <m:naryPr>
                <m:chr m:val="∑"/>
                <m:limLoc m:val="undOvr"/>
              </m:naryPr>
              <m:sub>
                <m:r>
                  <m:t>k=0</m:t>
                </m:r>
              </m:sub>
              <m:sup>
                <m:r>
                  <m:t>3</m:t>
                </m:r>
              </m:sup>
              <m:e>
                <m:f>
                  <m:num>
                    <m:r>
                      <m:t>∂L</m:t>
                    </m:r>
                  </m:num>
                  <m:den>
                    <m:r>
                      <m:t>∂</m:t>
                    </m:r>
                    <m:sSub>
                      <m:sSubPr/>
                      <m:e>
                        <m:r>
                          <m:t>F</m:t>
                        </m:r>
                      </m:e>
                      <m:sub>
                        <m:r>
                          <m:t>p,k</m:t>
                        </m:r>
                      </m:sub>
                    </m:sSub>
                  </m:den>
                </m:f>
                <m:f>
                  <m:num>
                    <m:r>
                      <m:t>∂</m:t>
                    </m:r>
                    <m:sSub>
                      <m:sSubPr/>
                      <m:e>
                        <m:r>
                          <m:t>f</m:t>
                        </m:r>
                      </m:e>
                      <m:sub>
                        <m:r>
                          <m:t>k</m:t>
                        </m:r>
                      </m:sub>
                    </m:sSub>
                    <m:r>
                      <m:t>(</m:t>
                    </m:r>
                    <m:sSub>
                      <m:sSubPr/>
                      <m:e>
                        <m:r>
                          <m:t>x</m:t>
                        </m:r>
                      </m:e>
                      <m:sub>
                        <m:r>
                          <m:t>p</m:t>
                        </m:r>
                      </m:sub>
                    </m:sSub>
                    <m:r>
                      <m:t>)</m:t>
                    </m:r>
                    <m:r>
                      <m:t> </m:t>
                    </m:r>
                  </m:num>
                  <m:den>
                    <m:r>
                      <m:t>∂</m:t>
                    </m:r>
                    <m:sSub>
                      <m:sSubPr/>
                      <m:e>
                        <m:r>
                          <m:t>θ</m:t>
                        </m:r>
                      </m:e>
                      <m:sub>
                        <m:r>
                          <m:t>m</m:t>
                        </m:r>
                      </m:sub>
                    </m:sSub>
                  </m:den>
                </m:f>
              </m:e>
            </m:nary>
          </m:e>
        </m:nary>
      </m:oMath>
      <w:r>
        <w:rPr>
          <w:rFonts w:ascii="Times New Roman" w:cs="Times New Roman" w:eastAsia="Times New Roman" w:hAnsi="Times New Roman"/>
          <w:sz w:val="20"/>
          <w:szCs w:val="20"/>
        </w:rPr>
        <w:tab/>
        <w:t xml:space="preserve">(8)</w:t>
      </w:r>
    </w:p>
    <w:p>
      <w:pPr>
        <w:spacing w:after="70" w:before="0" w:line="240"/>
        <w:jc w:val="both"/>
      </w:pPr>
      <w:r>
        <w:rPr>
          <w:rFonts w:ascii="Times New Roman" w:cs="Times New Roman" w:eastAsia="Times New Roman" w:hAnsi="Times New Roman"/>
          <w:sz w:val="20"/>
          <w:szCs w:val="20"/>
        </w:rPr>
        <w:t xml:space="preserve">The eight quantum parameters and the classical weights are updated together with Adam [19] at learning rate 10</w:t>
      </w:r>
      <w:r>
        <w:rPr>
          <w:rFonts w:ascii="Times New Roman" w:cs="Times New Roman" w:eastAsia="Times New Roman" w:hAnsi="Times New Roman"/>
          <w:sz w:val="20"/>
          <w:szCs w:val="20"/>
          <w:vertAlign w:val="superscript"/>
        </w:rPr>
        <w:t xml:space="preserve">−3</w:t>
      </w:r>
      <w:r>
        <w:rPr>
          <w:rFonts w:ascii="Times New Roman" w:cs="Times New Roman" w:eastAsia="Times New Roman" w:hAnsi="Times New Roman"/>
          <w:sz w:val="20"/>
          <w:szCs w:val="20"/>
        </w:rPr>
        <w:t xml:space="preserve">. For ORL the model has 8 quantum + 2304×40 + 40 = 92,200 classical parameters (92,208 in total); for Yale 8 + 34,575 = 34,583. The classical head therefore holds almost all trainable weights, and the quantum filter determines which features it sees. Table 1 lists the configuration; all runs use ten random splits (seeds 0–9), 1000 test shots, Python, PyTorch 2.11 and PennyLane 0.45.1 on Kaggle.</w:t>
      </w:r>
    </w:p>
    <w:p>
      <w:pPr>
        <w:keepNext/>
        <w:spacing w:after="30" w:before="20"/>
        <w:jc w:val="center"/>
      </w:pPr>
      <w:r>
        <w:rPr>
          <w:rFonts w:ascii="Times New Roman" w:cs="Times New Roman" w:eastAsia="Times New Roman" w:hAnsi="Times New Roman"/>
          <w:b/>
          <w:bCs/>
          <w:sz w:val="18"/>
          <w:szCs w:val="18"/>
        </w:rPr>
        <w:t xml:space="preserve">Table 1.</w:t>
      </w:r>
      <w:r>
        <w:rPr>
          <w:rFonts w:ascii="Times New Roman" w:cs="Times New Roman" w:eastAsia="Times New Roman" w:hAnsi="Times New Roman"/>
          <w:sz w:val="18"/>
          <w:szCs w:val="18"/>
        </w:rPr>
        <w:t xml:space="preserve"> Experimental configuration.</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2500"/>
        <w:gridCol w:w="3430"/>
        <w:gridCol w:w="3430"/>
      </w:tblGrid>
      <w:tr>
        <w:trPr>
          <w:cantSplit/>
          <w:tblHeader/>
        </w:trPr>
        <w:tc>
          <w:tcPr>
            <w:tcW w:type="dxa" w:w="2500"/>
            <w:tcBorders>
              <w:top w:val="single" w:color="999999" w:sz="4"/>
              <w:left w:val="single" w:color="999999" w:sz="4"/>
              <w:bottom w:val="single" w:color="999999" w:sz="4"/>
              <w:right w:val="single" w:color="999999" w:sz="4"/>
            </w:tcBorders>
            <w:shd w:fill="E7EAF0" w:color="auto" w:val="clear"/>
            <w:tcMar>
              <w:top w:type="dxa" w:w="25"/>
              <w:left w:type="dxa" w:w="70"/>
              <w:bottom w:type="dxa" w:w="25"/>
              <w:right w:type="dxa" w:w="70"/>
            </w:tcMar>
            <w:vAlign w:val="center"/>
          </w:tcPr>
          <w:p>
            <w:pPr>
              <w:keepNext/>
              <w:spacing w:after="0"/>
              <w:jc w:val="left"/>
            </w:pPr>
            <w:r>
              <w:rPr>
                <w:rFonts w:ascii="Times New Roman" w:cs="Times New Roman" w:eastAsia="Times New Roman" w:hAnsi="Times New Roman"/>
                <w:b/>
                <w:bCs/>
                <w:sz w:val="18"/>
                <w:szCs w:val="18"/>
              </w:rPr>
              <w:t xml:space="preserve">Item</w:t>
            </w:r>
          </w:p>
        </w:tc>
        <w:tc>
          <w:tcPr>
            <w:tcW w:type="dxa" w:w="3430"/>
            <w:tcBorders>
              <w:top w:val="single" w:color="999999" w:sz="4"/>
              <w:left w:val="single" w:color="999999" w:sz="4"/>
              <w:bottom w:val="single" w:color="999999" w:sz="4"/>
              <w:right w:val="single" w:color="999999" w:sz="4"/>
            </w:tcBorders>
            <w:shd w:fill="E7EAF0" w:color="auto" w:val="clear"/>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bCs/>
                <w:sz w:val="18"/>
                <w:szCs w:val="18"/>
              </w:rPr>
              <w:t xml:space="preserve">ORL</w:t>
            </w:r>
          </w:p>
        </w:tc>
        <w:tc>
          <w:tcPr>
            <w:tcW w:type="dxa" w:w="3430"/>
            <w:tcBorders>
              <w:top w:val="single" w:color="999999" w:sz="4"/>
              <w:left w:val="single" w:color="999999" w:sz="4"/>
              <w:bottom w:val="single" w:color="999999" w:sz="4"/>
              <w:right w:val="single" w:color="999999" w:sz="4"/>
            </w:tcBorders>
            <w:shd w:fill="E7EAF0" w:color="auto" w:val="clear"/>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bCs/>
                <w:sz w:val="18"/>
                <w:szCs w:val="18"/>
              </w:rPr>
              <w:t xml:space="preserve">Yale</w:t>
            </w:r>
          </w:p>
        </w:tc>
      </w:tr>
      <w:tr>
        <w:trPr>
          <w:cantSplit/>
          <w:tblHeader w:val="false"/>
        </w:trPr>
        <w:tc>
          <w:tcPr>
            <w:tcW w:type="dxa" w:w="25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left"/>
            </w:pPr>
            <w:r>
              <w:rPr>
                <w:rFonts w:ascii="Times New Roman" w:cs="Times New Roman" w:eastAsia="Times New Roman" w:hAnsi="Times New Roman"/>
                <w:b w:val="false"/>
                <w:bCs w:val="false"/>
                <w:sz w:val="18"/>
                <w:szCs w:val="18"/>
              </w:rPr>
              <w:t xml:space="preserve">Input / filter / stride</w:t>
            </w:r>
          </w:p>
        </w:tc>
        <w:tc>
          <w:tcPr>
            <w:tcW w:type="dxa" w:w="343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val="false"/>
                <w:bCs w:val="false"/>
                <w:sz w:val="18"/>
                <w:szCs w:val="18"/>
              </w:rPr>
              <w:t xml:space="preserve">48×48 gray / 2×2 / 2</w:t>
            </w:r>
          </w:p>
        </w:tc>
        <w:tc>
          <w:tcPr>
            <w:tcW w:type="dxa" w:w="343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val="false"/>
                <w:bCs w:val="false"/>
                <w:sz w:val="18"/>
                <w:szCs w:val="18"/>
              </w:rPr>
              <w:t xml:space="preserve">Same, after 85% centre crop</w:t>
            </w:r>
          </w:p>
        </w:tc>
      </w:tr>
      <w:tr>
        <w:trPr>
          <w:cantSplit/>
          <w:tblHeader w:val="false"/>
        </w:trPr>
        <w:tc>
          <w:tcPr>
            <w:tcW w:type="dxa" w:w="25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left"/>
            </w:pPr>
            <w:r>
              <w:rPr>
                <w:rFonts w:ascii="Times New Roman" w:cs="Times New Roman" w:eastAsia="Times New Roman" w:hAnsi="Times New Roman"/>
                <w:b w:val="false"/>
                <w:bCs w:val="false"/>
                <w:sz w:val="18"/>
                <w:szCs w:val="18"/>
              </w:rPr>
              <w:t xml:space="preserve">Qubits / quantum params</w:t>
            </w:r>
          </w:p>
        </w:tc>
        <w:tc>
          <w:tcPr>
            <w:tcW w:type="dxa" w:w="343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val="false"/>
                <w:bCs w:val="false"/>
                <w:sz w:val="18"/>
                <w:szCs w:val="18"/>
              </w:rPr>
              <w:t xml:space="preserve">4 / 8 (shared by all patches)</w:t>
            </w:r>
          </w:p>
        </w:tc>
        <w:tc>
          <w:tcPr>
            <w:tcW w:type="dxa" w:w="343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val="false"/>
                <w:bCs w:val="false"/>
                <w:sz w:val="18"/>
                <w:szCs w:val="18"/>
              </w:rPr>
              <w:t xml:space="preserve">Same</w:t>
            </w:r>
          </w:p>
        </w:tc>
      </w:tr>
      <w:tr>
        <w:trPr>
          <w:cantSplit/>
          <w:tblHeader w:val="false"/>
        </w:trPr>
        <w:tc>
          <w:tcPr>
            <w:tcW w:type="dxa" w:w="25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left"/>
            </w:pPr>
            <w:r>
              <w:rPr>
                <w:rFonts w:ascii="Times New Roman" w:cs="Times New Roman" w:eastAsia="Times New Roman" w:hAnsi="Times New Roman"/>
                <w:b w:val="false"/>
                <w:bCs w:val="false"/>
                <w:sz w:val="18"/>
                <w:szCs w:val="18"/>
              </w:rPr>
              <w:t xml:space="preserve">Feature map / classifier</w:t>
            </w:r>
          </w:p>
        </w:tc>
        <w:tc>
          <w:tcPr>
            <w:tcW w:type="dxa" w:w="343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val="false"/>
                <w:bCs w:val="false"/>
                <w:sz w:val="18"/>
                <w:szCs w:val="18"/>
              </w:rPr>
              <w:t xml:space="preserve">24×24×4 = 2304 → FC (40)</w:t>
            </w:r>
          </w:p>
        </w:tc>
        <w:tc>
          <w:tcPr>
            <w:tcW w:type="dxa" w:w="343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val="false"/>
                <w:bCs w:val="false"/>
                <w:sz w:val="18"/>
                <w:szCs w:val="18"/>
              </w:rPr>
              <w:t xml:space="preserve">2304 → FC (15)</w:t>
            </w:r>
          </w:p>
        </w:tc>
      </w:tr>
      <w:tr>
        <w:trPr>
          <w:cantSplit/>
          <w:tblHeader w:val="false"/>
        </w:trPr>
        <w:tc>
          <w:tcPr>
            <w:tcW w:type="dxa" w:w="25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left"/>
            </w:pPr>
            <w:r>
              <w:rPr>
                <w:rFonts w:ascii="Times New Roman" w:cs="Times New Roman" w:eastAsia="Times New Roman" w:hAnsi="Times New Roman"/>
                <w:b w:val="false"/>
                <w:bCs w:val="false"/>
                <w:sz w:val="18"/>
                <w:szCs w:val="18"/>
              </w:rPr>
              <w:t xml:space="preserve">Loss / optimiser</w:t>
            </w:r>
          </w:p>
        </w:tc>
        <w:tc>
          <w:tcPr>
            <w:tcW w:type="dxa" w:w="343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val="false"/>
                <w:bCs w:val="false"/>
                <w:sz w:val="18"/>
                <w:szCs w:val="18"/>
              </w:rPr>
              <w:t xml:space="preserve">Cross-entropy / Adam, lr 10</w:t>
            </w:r>
            <w:r>
              <w:rPr>
                <w:rFonts w:ascii="Times New Roman" w:cs="Times New Roman" w:eastAsia="Times New Roman" w:hAnsi="Times New Roman"/>
                <w:b w:val="false"/>
                <w:bCs w:val="false"/>
                <w:sz w:val="18"/>
                <w:szCs w:val="18"/>
                <w:vertAlign w:val="superscript"/>
              </w:rPr>
              <w:t xml:space="preserve">−3</w:t>
            </w:r>
          </w:p>
        </w:tc>
        <w:tc>
          <w:tcPr>
            <w:tcW w:type="dxa" w:w="343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val="false"/>
                <w:bCs w:val="false"/>
                <w:sz w:val="18"/>
                <w:szCs w:val="18"/>
              </w:rPr>
              <w:t xml:space="preserve">Cross-entropy / Adam, lr 10</w:t>
            </w:r>
            <w:r>
              <w:rPr>
                <w:rFonts w:ascii="Times New Roman" w:cs="Times New Roman" w:eastAsia="Times New Roman" w:hAnsi="Times New Roman"/>
                <w:b w:val="false"/>
                <w:bCs w:val="false"/>
                <w:sz w:val="18"/>
                <w:szCs w:val="18"/>
                <w:vertAlign w:val="superscript"/>
              </w:rPr>
              <w:t xml:space="preserve">−3</w:t>
            </w:r>
          </w:p>
        </w:tc>
      </w:tr>
      <w:tr>
        <w:trPr>
          <w:cantSplit/>
          <w:tblHeader w:val="false"/>
        </w:trPr>
        <w:tc>
          <w:tcPr>
            <w:tcW w:type="dxa" w:w="25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left"/>
            </w:pPr>
            <w:r>
              <w:rPr>
                <w:rFonts w:ascii="Times New Roman" w:cs="Times New Roman" w:eastAsia="Times New Roman" w:hAnsi="Times New Roman"/>
                <w:b w:val="false"/>
                <w:bCs w:val="false"/>
                <w:sz w:val="18"/>
                <w:szCs w:val="18"/>
              </w:rPr>
              <w:t xml:space="preserve">Epochs / batch size</w:t>
            </w:r>
          </w:p>
        </w:tc>
        <w:tc>
          <w:tcPr>
            <w:tcW w:type="dxa" w:w="343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val="false"/>
                <w:bCs w:val="false"/>
                <w:sz w:val="18"/>
                <w:szCs w:val="18"/>
              </w:rPr>
              <w:t xml:space="preserve">30 / 10</w:t>
            </w:r>
          </w:p>
        </w:tc>
        <w:tc>
          <w:tcPr>
            <w:tcW w:type="dxa" w:w="343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val="false"/>
                <w:bCs w:val="false"/>
                <w:sz w:val="18"/>
                <w:szCs w:val="18"/>
              </w:rPr>
              <w:t xml:space="preserve">60 / 6</w:t>
            </w:r>
          </w:p>
        </w:tc>
      </w:tr>
      <w:tr>
        <w:trPr>
          <w:cantSplit/>
          <w:tblHeader w:val="false"/>
        </w:trPr>
        <w:tc>
          <w:tcPr>
            <w:tcW w:type="dxa" w:w="25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val="false"/>
              <w:spacing w:after="0"/>
              <w:jc w:val="left"/>
            </w:pPr>
            <w:r>
              <w:rPr>
                <w:rFonts w:ascii="Times New Roman" w:cs="Times New Roman" w:eastAsia="Times New Roman" w:hAnsi="Times New Roman"/>
                <w:b w:val="false"/>
                <w:bCs w:val="false"/>
                <w:sz w:val="18"/>
                <w:szCs w:val="18"/>
              </w:rPr>
              <w:t xml:space="preserve">Train / test split</w:t>
            </w:r>
          </w:p>
        </w:tc>
        <w:tc>
          <w:tcPr>
            <w:tcW w:type="dxa" w:w="343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val="false"/>
              <w:spacing w:after="0"/>
              <w:jc w:val="center"/>
            </w:pPr>
            <w:r>
              <w:rPr>
                <w:rFonts w:ascii="Times New Roman" w:cs="Times New Roman" w:eastAsia="Times New Roman" w:hAnsi="Times New Roman"/>
                <w:b w:val="false"/>
                <w:bCs w:val="false"/>
                <w:sz w:val="18"/>
                <w:szCs w:val="18"/>
              </w:rPr>
              <w:t xml:space="preserve">280 / 120 (70:30)</w:t>
            </w:r>
          </w:p>
        </w:tc>
        <w:tc>
          <w:tcPr>
            <w:tcW w:type="dxa" w:w="343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val="false"/>
              <w:spacing w:after="0"/>
              <w:jc w:val="center"/>
            </w:pPr>
            <w:r>
              <w:rPr>
                <w:rFonts w:ascii="Times New Roman" w:cs="Times New Roman" w:eastAsia="Times New Roman" w:hAnsi="Times New Roman"/>
                <w:b w:val="false"/>
                <w:bCs w:val="false"/>
                <w:sz w:val="18"/>
                <w:szCs w:val="18"/>
              </w:rPr>
              <w:t xml:space="preserve">120 / 45</w:t>
            </w:r>
          </w:p>
        </w:tc>
      </w:tr>
    </w:tbl>
    <w:p>
      <w:pPr>
        <w:keepNext/>
        <w:spacing w:after="40" w:before="80"/>
      </w:pPr>
      <w:r>
        <w:rPr>
          <w:rFonts w:ascii="Times New Roman" w:cs="Times New Roman" w:eastAsia="Times New Roman" w:hAnsi="Times New Roman"/>
          <w:b/>
          <w:bCs/>
          <w:i/>
          <w:iCs/>
          <w:sz w:val="20"/>
          <w:szCs w:val="20"/>
        </w:rPr>
        <w:t xml:space="preserve">3.4 Gradient computation and cost on hardware</w:t>
      </w:r>
    </w:p>
    <w:p>
      <w:pPr>
        <w:spacing w:after="70" w:before="0" w:line="240"/>
        <w:jc w:val="both"/>
      </w:pPr>
      <w:r>
        <w:rPr>
          <w:rFonts w:ascii="Times New Roman" w:cs="Times New Roman" w:eastAsia="Times New Roman" w:hAnsi="Times New Roman"/>
          <w:sz w:val="20"/>
          <w:szCs w:val="20"/>
        </w:rPr>
        <w:t xml:space="preserve">On real hardware the quantum state cannot be read out, so gradients come from the parameter-shift rule [22, 23]: for a gate exp(−iθ</w:t>
      </w:r>
      <w:r>
        <w:rPr>
          <w:rFonts w:ascii="Times New Roman" w:cs="Times New Roman" w:eastAsia="Times New Roman" w:hAnsi="Times New Roman"/>
          <w:i/>
          <w:iCs/>
          <w:sz w:val="20"/>
          <w:szCs w:val="20"/>
        </w:rPr>
        <w:t xml:space="preserve">P</w:t>
      </w:r>
      <w:r>
        <w:rPr>
          <w:rFonts w:ascii="Times New Roman" w:cs="Times New Roman" w:eastAsia="Times New Roman" w:hAnsi="Times New Roman"/>
          <w:sz w:val="20"/>
          <w:szCs w:val="20"/>
        </w:rPr>
        <w:t xml:space="preserve">/2) with Pauli generator </w:t>
      </w:r>
      <w:r>
        <w:rPr>
          <w:rFonts w:ascii="Times New Roman" w:cs="Times New Roman" w:eastAsia="Times New Roman" w:hAnsi="Times New Roman"/>
          <w:i/>
          <w:iCs/>
          <w:sz w:val="20"/>
          <w:szCs w:val="20"/>
        </w:rPr>
        <w:t xml:space="preserve">P</w:t>
      </w:r>
      <w:r>
        <w:rPr>
          <w:rFonts w:ascii="Times New Roman" w:cs="Times New Roman" w:eastAsia="Times New Roman" w:hAnsi="Times New Roman"/>
          <w:sz w:val="20"/>
          <w:szCs w:val="20"/>
        </w:rPr>
        <w:t xml:space="preserve"> (R</w:t>
      </w:r>
      <w:r>
        <w:rPr>
          <w:rFonts w:ascii="Times New Roman" w:cs="Times New Roman" w:eastAsia="Times New Roman" w:hAnsi="Times New Roman"/>
          <w:sz w:val="20"/>
          <w:szCs w:val="20"/>
          <w:vertAlign w:val="subscript"/>
        </w:rPr>
        <w:t xml:space="preserve">X</w:t>
      </w:r>
      <w:r>
        <w:rPr>
          <w:rFonts w:ascii="Times New Roman" w:cs="Times New Roman" w:eastAsia="Times New Roman" w:hAnsi="Times New Roman"/>
          <w:sz w:val="20"/>
          <w:szCs w:val="20"/>
        </w:rPr>
        <w:t xml:space="preserve">, R</w:t>
      </w:r>
      <w:r>
        <w:rPr>
          <w:rFonts w:ascii="Times New Roman" w:cs="Times New Roman" w:eastAsia="Times New Roman" w:hAnsi="Times New Roman"/>
          <w:sz w:val="20"/>
          <w:szCs w:val="20"/>
          <w:vertAlign w:val="subscript"/>
        </w:rPr>
        <w:t xml:space="preserve">Z</w:t>
      </w:r>
      <w:r>
        <w:rPr>
          <w:rFonts w:ascii="Times New Roman" w:cs="Times New Roman" w:eastAsia="Times New Roman" w:hAnsi="Times New Roman"/>
          <w:sz w:val="20"/>
          <w:szCs w:val="20"/>
        </w:rPr>
        <w:t xml:space="preserve">) the exact derivative of an expectation value is</w:t>
      </w:r>
    </w:p>
    <w:p>
      <w:pPr>
        <w:tabs>
          <w:tab w:val="center" w:pos="4680"/>
          <w:tab w:val="right" w:pos="9360"/>
        </w:tabs>
        <w:spacing w:after="70" w:before="50"/>
      </w:pPr>
      <w:r>
        <w:rPr>
          <w:rFonts w:ascii="Times New Roman" w:cs="Times New Roman" w:eastAsia="Times New Roman" w:hAnsi="Times New Roman"/>
          <w:sz w:val="20"/>
          <w:szCs w:val="20"/>
        </w:rPr>
        <w:tab/>
      </w:r>
      <m:oMath>
        <m:f>
          <m:num>
            <m:r>
              <m:t>∂f</m:t>
            </m:r>
          </m:num>
          <m:den>
            <m:r>
              <m:t>∂θ</m:t>
            </m:r>
          </m:den>
        </m:f>
        <m:r>
          <m:t> = </m:t>
        </m:r>
        <m:f>
          <m:num>
            <m:r>
              <m:t>1</m:t>
            </m:r>
          </m:num>
          <m:den>
            <m:r>
              <m:t>2</m:t>
            </m:r>
          </m:den>
        </m:f>
        <m:r>
          <m:t>[</m:t>
        </m:r>
        <m:r>
          <m:t>f</m:t>
        </m:r>
        <m:r>
          <m:t>(</m:t>
        </m:r>
        <m:r>
          <m:t>θ + π/2</m:t>
        </m:r>
        <m:r>
          <m:t>)</m:t>
        </m:r>
        <m:r>
          <m:t> − f</m:t>
        </m:r>
        <m:r>
          <m:t>(</m:t>
        </m:r>
        <m:r>
          <m:t>θ − π/2</m:t>
        </m:r>
        <m:r>
          <m:t>)</m:t>
        </m:r>
        <m:r>
          <m:t>]</m:t>
        </m:r>
      </m:oMath>
      <w:r>
        <w:rPr>
          <w:rFonts w:ascii="Times New Roman" w:cs="Times New Roman" w:eastAsia="Times New Roman" w:hAnsi="Times New Roman"/>
          <w:sz w:val="20"/>
          <w:szCs w:val="20"/>
        </w:rPr>
        <w:tab/>
        <w:t xml:space="preserve">(9)</w:t>
      </w:r>
    </w:p>
    <w:p>
      <w:pPr>
        <w:spacing w:after="70" w:before="0" w:line="240"/>
        <w:jc w:val="both"/>
      </w:pPr>
      <w:r>
        <w:rPr>
          <w:rFonts w:ascii="Times New Roman" w:cs="Times New Roman" w:eastAsia="Times New Roman" w:hAnsi="Times New Roman"/>
          <w:sz w:val="20"/>
          <w:szCs w:val="20"/>
        </w:rPr>
        <w:t xml:space="preserve">This costs two extra runs per parameter. Since all four qubits are measured in one run, one patch needs 1 forward + 2×8 shifted = 17 runs, so one image and one gradient step need</w:t>
      </w:r>
    </w:p>
    <w:p>
      <w:pPr>
        <w:tabs>
          <w:tab w:val="center" w:pos="4680"/>
          <w:tab w:val="right" w:pos="9360"/>
        </w:tabs>
        <w:spacing w:after="70" w:before="50"/>
      </w:pPr>
      <w:r>
        <w:rPr>
          <w:rFonts w:ascii="Times New Roman" w:cs="Times New Roman" w:eastAsia="Times New Roman" w:hAnsi="Times New Roman"/>
          <w:sz w:val="20"/>
          <w:szCs w:val="20"/>
        </w:rPr>
        <w:tab/>
      </w:r>
      <m:oMath>
        <m:sSub>
          <m:sSubPr/>
          <m:e>
            <m:r>
              <m:t>N</m:t>
            </m:r>
          </m:e>
          <m:sub>
            <m:r>
              <m:t>runs</m:t>
            </m:r>
          </m:sub>
        </m:sSub>
        <m:r>
          <m:t> = </m:t>
        </m:r>
        <m:r>
          <m:t>(</m:t>
        </m:r>
        <m:r>
          <m:t>1 + 2P</m:t>
        </m:r>
        <m:r>
          <m:t>)</m:t>
        </m:r>
        <m:r>
          <m:t>M = 17 × 576 = 9,792,</m:t>
        </m:r>
      </m:oMath>
      <w:r>
        <w:rPr>
          <w:rFonts w:ascii="Times New Roman" w:cs="Times New Roman" w:eastAsia="Times New Roman" w:hAnsi="Times New Roman"/>
          <w:sz w:val="20"/>
          <w:szCs w:val="20"/>
        </w:rPr>
        <w:tab/>
        <w:t xml:space="preserve">(10)</w:t>
      </w:r>
    </w:p>
    <w:p>
      <w:pPr>
        <w:spacing w:after="70" w:before="0" w:line="240"/>
        <w:jc w:val="both"/>
      </w:pPr>
      <w:r>
        <w:rPr>
          <w:rFonts w:ascii="Times New Roman" w:cs="Times New Roman" w:eastAsia="Times New Roman" w:hAnsi="Times New Roman"/>
          <w:sz w:val="20"/>
          <w:szCs w:val="20"/>
        </w:rPr>
        <w:t xml:space="preserve">with </w:t>
      </w:r>
      <w:r>
        <w:rPr>
          <w:rFonts w:ascii="Times New Roman" w:cs="Times New Roman" w:eastAsia="Times New Roman" w:hAnsi="Times New Roman"/>
          <w:i/>
          <w:iCs/>
          <w:sz w:val="20"/>
          <w:szCs w:val="20"/>
        </w:rPr>
        <w:t xml:space="preserve">P</w:t>
      </w:r>
      <w:r>
        <w:rPr>
          <w:rFonts w:ascii="Times New Roman" w:cs="Times New Roman" w:eastAsia="Times New Roman" w:hAnsi="Times New Roman"/>
          <w:sz w:val="20"/>
          <w:szCs w:val="20"/>
        </w:rPr>
        <w:t xml:space="preserve"> = 8 parameters and </w:t>
      </w:r>
      <w:r>
        <w:rPr>
          <w:rFonts w:ascii="Times New Roman" w:cs="Times New Roman" w:eastAsia="Times New Roman" w:hAnsi="Times New Roman"/>
          <w:i/>
          <w:iCs/>
          <w:sz w:val="20"/>
          <w:szCs w:val="20"/>
        </w:rPr>
        <w:t xml:space="preserve">M</w:t>
      </w:r>
      <w:r>
        <w:rPr>
          <w:rFonts w:ascii="Times New Roman" w:cs="Times New Roman" w:eastAsia="Times New Roman" w:hAnsi="Times New Roman"/>
          <w:sz w:val="20"/>
          <w:szCs w:val="20"/>
        </w:rPr>
        <w:t xml:space="preserve"> = 576 patches. Over an ORL training run (280 images × 30 epochs) this is about 8.2×10</w:t>
      </w:r>
      <w:r>
        <w:rPr>
          <w:rFonts w:ascii="Times New Roman" w:cs="Times New Roman" w:eastAsia="Times New Roman" w:hAnsi="Times New Roman"/>
          <w:sz w:val="20"/>
          <w:szCs w:val="20"/>
          <w:vertAlign w:val="superscript"/>
        </w:rPr>
        <w:t xml:space="preserve">7</w:t>
      </w:r>
      <w:r>
        <w:rPr>
          <w:rFonts w:ascii="Times New Roman" w:cs="Times New Roman" w:eastAsia="Times New Roman" w:hAnsi="Times New Roman"/>
          <w:sz w:val="20"/>
          <w:szCs w:val="20"/>
        </w:rPr>
        <w:t xml:space="preserve"> circuit executions, and about 3.5×10</w:t>
      </w:r>
      <w:r>
        <w:rPr>
          <w:rFonts w:ascii="Times New Roman" w:cs="Times New Roman" w:eastAsia="Times New Roman" w:hAnsi="Times New Roman"/>
          <w:sz w:val="20"/>
          <w:szCs w:val="20"/>
          <w:vertAlign w:val="superscript"/>
        </w:rPr>
        <w:t xml:space="preserve">7</w:t>
      </w:r>
      <w:r>
        <w:rPr>
          <w:rFonts w:ascii="Times New Roman" w:cs="Times New Roman" w:eastAsia="Times New Roman" w:hAnsi="Times New Roman"/>
          <w:sz w:val="20"/>
          <w:szCs w:val="20"/>
        </w:rPr>
        <w:t xml:space="preserve"> for Yale; at 1000 shots each the ORL run alone would need about 8.2×10</w:t>
      </w:r>
      <w:r>
        <w:rPr>
          <w:rFonts w:ascii="Times New Roman" w:cs="Times New Roman" w:eastAsia="Times New Roman" w:hAnsi="Times New Roman"/>
          <w:sz w:val="20"/>
          <w:szCs w:val="20"/>
          <w:vertAlign w:val="superscript"/>
        </w:rPr>
        <w:t xml:space="preserve">10</w:t>
      </w:r>
      <w:r>
        <w:rPr>
          <w:rFonts w:ascii="Times New Roman" w:cs="Times New Roman" w:eastAsia="Times New Roman" w:hAnsi="Times New Roman"/>
          <w:sz w:val="20"/>
          <w:szCs w:val="20"/>
        </w:rPr>
        <w:t xml:space="preserve"> measurements, before any queue time on cloud hardware. Inference needs only the </w:t>
      </w:r>
      <w:r>
        <w:rPr>
          <w:rFonts w:ascii="Times New Roman" w:cs="Times New Roman" w:eastAsia="Times New Roman" w:hAnsi="Times New Roman"/>
          <w:i/>
          <w:iCs/>
          <w:sz w:val="20"/>
          <w:szCs w:val="20"/>
        </w:rPr>
        <w:t xml:space="preserve">M</w:t>
      </w:r>
      <w:r>
        <w:rPr>
          <w:rFonts w:ascii="Times New Roman" w:cs="Times New Roman" w:eastAsia="Times New Roman" w:hAnsi="Times New Roman"/>
          <w:sz w:val="20"/>
          <w:szCs w:val="20"/>
        </w:rPr>
        <w:t xml:space="preserve"> = 576 forward runs per image (Fig. 4a). The cost grows linearly with the number of patches.</w:t>
      </w:r>
    </w:p>
    <w:p>
      <w:pPr>
        <w:spacing w:after="70" w:before="0" w:line="240"/>
        <w:jc w:val="both"/>
      </w:pPr>
      <w:r>
        <w:rPr>
          <w:rFonts w:ascii="Times New Roman" w:cs="Times New Roman" w:eastAsia="Times New Roman" w:hAnsi="Times New Roman"/>
          <w:sz w:val="20"/>
          <w:szCs w:val="20"/>
        </w:rPr>
        <w:t xml:space="preserve">A state-vector simulator stores the whole state, so the same function is differentiated by backpropagation in one forward and backward pass with all patches of a mini-batch processed together. Both give the exact derivative of the same noise-free expectation value, so the gradients are mathematically identical; on 20 random patches the eight components agree to 2.2×10</w:t>
      </w:r>
      <w:r>
        <w:rPr>
          <w:rFonts w:ascii="Times New Roman" w:cs="Times New Roman" w:eastAsia="Times New Roman" w:hAnsi="Times New Roman"/>
          <w:sz w:val="20"/>
          <w:szCs w:val="20"/>
          <w:vertAlign w:val="superscript"/>
        </w:rPr>
        <w:t xml:space="preserve">−15</w:t>
      </w:r>
      <w:r>
        <w:rPr>
          <w:rFonts w:ascii="Times New Roman" w:cs="Times New Roman" w:eastAsia="Times New Roman" w:hAnsi="Times New Roman"/>
          <w:sz w:val="20"/>
          <w:szCs w:val="20"/>
        </w:rPr>
        <w:t xml:space="preserve">. Backpropagation is therefore used for training, purely for speed (about 1.3 s per epoch and 40 s per 30-epoch ORL run), and the layer is run with 1000 shots at test time. Each expectation estimated from </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vertAlign w:val="subscript"/>
        </w:rPr>
        <w:t xml:space="preserve">s</w:t>
      </w:r>
      <w:r>
        <w:rPr>
          <w:rFonts w:ascii="Times New Roman" w:cs="Times New Roman" w:eastAsia="Times New Roman" w:hAnsi="Times New Roman"/>
          <w:sz w:val="20"/>
          <w:szCs w:val="20"/>
        </w:rPr>
        <w:t xml:space="preserve"> shots has standard deviation</w:t>
      </w:r>
    </w:p>
    <w:p>
      <w:pPr>
        <w:tabs>
          <w:tab w:val="center" w:pos="4680"/>
          <w:tab w:val="right" w:pos="9360"/>
        </w:tabs>
        <w:spacing w:after="70" w:before="50"/>
      </w:pPr>
      <w:r>
        <w:rPr>
          <w:rFonts w:ascii="Times New Roman" w:cs="Times New Roman" w:eastAsia="Times New Roman" w:hAnsi="Times New Roman"/>
          <w:sz w:val="20"/>
          <w:szCs w:val="20"/>
        </w:rPr>
        <w:tab/>
      </w:r>
      <m:oMath>
        <m:r>
          <m:t>σ = </m:t>
        </m:r>
        <m:rad>
          <m:radPr>
            <m:degHide m:val="1"/>
          </m:radPr>
          <m:deg/>
          <m:e>
            <m:f>
              <m:num>
                <m:r>
                  <m:t>1 − </m:t>
                </m:r>
                <m:sSup>
                  <m:sSupPr/>
                  <m:e>
                    <m:r>
                      <m:t>f</m:t>
                    </m:r>
                  </m:e>
                  <m:sup>
                    <m:r>
                      <m:t>2</m:t>
                    </m:r>
                  </m:sup>
                </m:sSup>
              </m:num>
              <m:den>
                <m:sSub>
                  <m:sSubPr/>
                  <m:e>
                    <m:r>
                      <m:t>N</m:t>
                    </m:r>
                  </m:e>
                  <m:sub>
                    <m:r>
                      <m:t>s</m:t>
                    </m:r>
                  </m:sub>
                </m:sSub>
              </m:den>
            </m:f>
          </m:e>
        </m:rad>
        <m:r>
          <m:t> ≤ </m:t>
        </m:r>
        <m:f>
          <m:num>
            <m:r>
              <m:t>1</m:t>
            </m:r>
          </m:num>
          <m:den>
            <m:rad>
              <m:radPr>
                <m:degHide m:val="1"/>
              </m:radPr>
              <m:deg/>
              <m:e>
                <m:sSub>
                  <m:sSubPr/>
                  <m:e>
                    <m:r>
                      <m:t>N</m:t>
                    </m:r>
                  </m:e>
                  <m:sub>
                    <m:r>
                      <m:t>s</m:t>
                    </m:r>
                  </m:sub>
                </m:sSub>
              </m:e>
            </m:rad>
          </m:den>
        </m:f>
        <m:r>
          <m:t> ≈ 0.032 for </m:t>
        </m:r>
        <m:sSub>
          <m:sSubPr/>
          <m:e>
            <m:r>
              <m:t>N</m:t>
            </m:r>
          </m:e>
          <m:sub>
            <m:r>
              <m:t>s</m:t>
            </m:r>
          </m:sub>
        </m:sSub>
        <m:r>
          <m:t> = 1000</m:t>
        </m:r>
      </m:oMath>
      <w:r>
        <w:rPr>
          <w:rFonts w:ascii="Times New Roman" w:cs="Times New Roman" w:eastAsia="Times New Roman" w:hAnsi="Times New Roman"/>
          <w:sz w:val="20"/>
          <w:szCs w:val="20"/>
        </w:rPr>
        <w:tab/>
        <w:t xml:space="preserve">(11)</w:t>
      </w:r>
    </w:p>
    <w:p>
      <w:pPr>
        <w:keepNext/>
        <w:spacing w:after="0" w:before="20"/>
        <w:jc w:val="center"/>
      </w:pPr>
      <w:r>
        <w:drawing>
          <wp:inline distT="0" distB="0" distL="0" distR="0">
            <wp:extent cx="4572000" cy="1562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1562100"/>
                    </a:xfrm>
                    <a:prstGeom prst="rect">
                      <a:avLst/>
                    </a:prstGeom>
                  </pic:spPr>
                </pic:pic>
              </a:graphicData>
            </a:graphic>
          </wp:inline>
        </w:drawing>
      </w:r>
    </w:p>
    <w:p>
      <w:pPr>
        <w:spacing w:after="90" w:before="20"/>
        <w:jc w:val="center"/>
      </w:pPr>
      <w:r>
        <w:rPr>
          <w:rFonts w:ascii="Times New Roman" w:cs="Times New Roman" w:eastAsia="Times New Roman" w:hAnsi="Times New Roman"/>
          <w:b/>
          <w:bCs/>
          <w:sz w:val="18"/>
          <w:szCs w:val="18"/>
        </w:rPr>
        <w:t xml:space="preserve">Fig. 4.</w:t>
      </w:r>
      <w:r>
        <w:rPr>
          <w:rFonts w:ascii="Times New Roman" w:cs="Times New Roman" w:eastAsia="Times New Roman" w:hAnsi="Times New Roman"/>
          <w:sz w:val="18"/>
          <w:szCs w:val="18"/>
        </w:rPr>
        <w:t xml:space="preserve"> (a) Circuit runs per image and gradient step against the number of patches </w:t>
      </w:r>
      <w:r>
        <w:rPr>
          <w:rFonts w:ascii="Times New Roman" w:cs="Times New Roman" w:eastAsia="Times New Roman" w:hAnsi="Times New Roman"/>
          <w:i/>
          <w:iCs/>
          <w:sz w:val="18"/>
          <w:szCs w:val="18"/>
        </w:rPr>
        <w:t xml:space="preserve">M</w:t>
      </w:r>
      <w:r>
        <w:rPr>
          <w:rFonts w:ascii="Times New Roman" w:cs="Times New Roman" w:eastAsia="Times New Roman" w:hAnsi="Times New Roman"/>
          <w:sz w:val="18"/>
          <w:szCs w:val="18"/>
        </w:rPr>
        <w:t xml:space="preserve">. (b) Standard error of a Pauli-Z estimate against the number of shots.</w:t>
      </w:r>
    </w:p>
    <w:p>
      <w:pPr>
        <w:spacing w:after="70" w:before="0" w:line="240"/>
        <w:jc w:val="both"/>
      </w:pPr>
      <w:r>
        <w:rPr>
          <w:rFonts w:ascii="Times New Roman" w:cs="Times New Roman" w:eastAsia="Times New Roman" w:hAnsi="Times New Roman"/>
          <w:sz w:val="20"/>
          <w:szCs w:val="20"/>
        </w:rPr>
        <w:t xml:space="preserve">This is a classical simulation: a real implementation would submit the same circuit to a processor and train with the parameter-shift rule on shot-based estimates, where gate, decoherence and read-out errors also affect gradients and accuracy.</w:t>
      </w:r>
    </w:p>
    <w:p>
      <w:pPr>
        <w:spacing w:after="70" w:before="0" w:line="240"/>
        <w:jc w:val="both"/>
      </w:pPr>
      <w:r>
        <w:rPr>
          <w:rFonts w:ascii="Times New Roman" w:cs="Times New Roman" w:eastAsia="Times New Roman" w:hAnsi="Times New Roman"/>
          <w:b/>
          <w:bCs/>
          <w:sz w:val="20"/>
          <w:szCs w:val="20"/>
        </w:rPr>
        <w:t xml:space="preserve">Differences from the reference protocol [4].</w:t>
      </w:r>
      <w:r>
        <w:rPr>
          <w:rFonts w:ascii="Times New Roman" w:cs="Times New Roman" w:eastAsia="Times New Roman" w:hAnsi="Times New Roman"/>
          <w:sz w:val="20"/>
          <w:szCs w:val="20"/>
        </w:rPr>
        <w:t xml:space="preserve"> Pixel scaling: min–max instead of Gaussian (tested, Section 4.2). Yale optimiser setting: lr 10</w:t>
      </w:r>
      <w:r>
        <w:rPr>
          <w:rFonts w:ascii="Times New Roman" w:cs="Times New Roman" w:eastAsia="Times New Roman" w:hAnsi="Times New Roman"/>
          <w:sz w:val="20"/>
          <w:szCs w:val="20"/>
          <w:vertAlign w:val="superscript"/>
        </w:rPr>
        <w:t xml:space="preserve">−3</w:t>
      </w:r>
      <w:r>
        <w:rPr>
          <w:rFonts w:ascii="Times New Roman" w:cs="Times New Roman" w:eastAsia="Times New Roman" w:hAnsi="Times New Roman"/>
          <w:sz w:val="20"/>
          <w:szCs w:val="20"/>
        </w:rPr>
        <w:t xml:space="preserve"> and 60 epochs, selected on a validation split, instead of 10</w:t>
      </w:r>
      <w:r>
        <w:rPr>
          <w:rFonts w:ascii="Times New Roman" w:cs="Times New Roman" w:eastAsia="Times New Roman" w:hAnsi="Times New Roman"/>
          <w:sz w:val="20"/>
          <w:szCs w:val="20"/>
          <w:vertAlign w:val="superscript"/>
        </w:rPr>
        <w:t xml:space="preserve">−4</w:t>
      </w:r>
      <w:r>
        <w:rPr>
          <w:rFonts w:ascii="Times New Roman" w:cs="Times New Roman" w:eastAsia="Times New Roman" w:hAnsi="Times New Roman"/>
          <w:sz w:val="20"/>
          <w:szCs w:val="20"/>
        </w:rPr>
        <w:t xml:space="preserve"> and 30 epochs. Mini-batch: 10 (ORL) and 6 (Yale) images. Everything else (circuit, 2×2 filter, stride 2, Adam, 1000 shots, 7:3 random splits) follows [4].</w:t>
      </w:r>
    </w:p>
    <w:p>
      <w:pPr>
        <w:keepNext/>
        <w:spacing w:after="60" w:before="140"/>
      </w:pPr>
      <w:r>
        <w:rPr>
          <w:rFonts w:ascii="Times New Roman" w:cs="Times New Roman" w:eastAsia="Times New Roman" w:hAnsi="Times New Roman"/>
          <w:b/>
          <w:bCs/>
          <w:sz w:val="25"/>
          <w:szCs w:val="25"/>
        </w:rPr>
        <w:t xml:space="preserve">4. Work Done Till Mid-Semester and Results</w:t>
      </w:r>
    </w:p>
    <w:p>
      <w:pPr>
        <w:keepNext/>
        <w:spacing w:after="40" w:before="80"/>
      </w:pPr>
      <w:r>
        <w:rPr>
          <w:rFonts w:ascii="Times New Roman" w:cs="Times New Roman" w:eastAsia="Times New Roman" w:hAnsi="Times New Roman"/>
          <w:b/>
          <w:bCs/>
          <w:i/>
          <w:iCs/>
          <w:sz w:val="20"/>
          <w:szCs w:val="20"/>
        </w:rPr>
        <w:t xml:space="preserve">4.1 Implementation and training behaviour</w:t>
      </w:r>
    </w:p>
    <w:p>
      <w:pPr>
        <w:spacing w:after="70" w:before="0" w:line="240"/>
        <w:jc w:val="both"/>
      </w:pPr>
      <w:r>
        <w:rPr>
          <w:rFonts w:ascii="Times New Roman" w:cs="Times New Roman" w:eastAsia="Times New Roman" w:hAnsi="Times New Roman"/>
          <w:sz w:val="20"/>
          <w:szCs w:val="20"/>
        </w:rPr>
        <w:t xml:space="preserve">The pipeline was implemented in Kaggle notebooks (one per dataset, same model code): a data loader with count checks; the quantum layer as a PyTorch module with an exact mode (backpropagation) for training and a 1000-shot mode for testing, where all patches of a mini-batch are sent to the circuit in one broadcast call; the full model; and a ten-seed loop with a new split, fresh initialisation and full training run per seed. The circuit was verified independently: 15 gates as in [4], eight trainable parameters, outputs within [−1, 1], matching backpropagation and parameter-shift gradients, and agreement with Eq. (6).</w:t>
      </w:r>
    </w:p>
    <w:p>
      <w:pPr>
        <w:spacing w:after="70" w:before="0" w:line="240"/>
        <w:jc w:val="both"/>
      </w:pPr>
      <w:r>
        <w:rPr>
          <w:rFonts w:ascii="Times New Roman" w:cs="Times New Roman" w:eastAsia="Times New Roman" w:hAnsi="Times New Roman"/>
          <w:sz w:val="20"/>
          <w:szCs w:val="20"/>
        </w:rPr>
        <w:t xml:space="preserve">For ORL seed 0 (Fig. 5) the loss falls from 3.03 in epoch 1 to 0.0031 at epoch 30. Training accuracy reaches 100% in epoch 3, while test accuracy rises from 63.33% (epoch 1) to 91.67% (epoch 2), exceeds 95% from epoch 7 and stays at 95.83% from epoch 14 (115 of 120 images). The 4.17-point train–test gap with 92,200 classical weights on 280 images shows some over-fitting.</w:t>
      </w:r>
    </w:p>
    <w:p>
      <w:pPr>
        <w:keepNext/>
        <w:spacing w:after="0" w:before="20"/>
        <w:jc w:val="center"/>
      </w:pPr>
      <w:r>
        <w:drawing>
          <wp:inline distT="0" distB="0" distL="0" distR="0">
            <wp:extent cx="3562350" cy="1381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562350" cy="1381125"/>
                    </a:xfrm>
                    <a:prstGeom prst="rect">
                      <a:avLst/>
                    </a:prstGeom>
                  </pic:spPr>
                </pic:pic>
              </a:graphicData>
            </a:graphic>
          </wp:inline>
        </w:drawing>
      </w:r>
    </w:p>
    <w:p>
      <w:pPr>
        <w:spacing w:after="90" w:before="20"/>
        <w:jc w:val="center"/>
      </w:pPr>
      <w:r>
        <w:rPr>
          <w:rFonts w:ascii="Times New Roman" w:cs="Times New Roman" w:eastAsia="Times New Roman" w:hAnsi="Times New Roman"/>
          <w:b/>
          <w:bCs/>
          <w:sz w:val="18"/>
          <w:szCs w:val="18"/>
        </w:rPr>
        <w:t xml:space="preserve">Fig. 5.</w:t>
      </w:r>
      <w:r>
        <w:rPr>
          <w:rFonts w:ascii="Times New Roman" w:cs="Times New Roman" w:eastAsia="Times New Roman" w:hAnsi="Times New Roman"/>
          <w:sz w:val="18"/>
          <w:szCs w:val="18"/>
        </w:rPr>
        <w:t xml:space="preserve"> Training of MG-QCNN on ORL, seed 0 (30 epochs, lr 10</w:t>
      </w:r>
      <w:r>
        <w:rPr>
          <w:rFonts w:ascii="Times New Roman" w:cs="Times New Roman" w:eastAsia="Times New Roman" w:hAnsi="Times New Roman"/>
          <w:sz w:val="18"/>
          <w:szCs w:val="18"/>
          <w:vertAlign w:val="superscript"/>
        </w:rPr>
        <w:t xml:space="preserve">−3</w:t>
      </w:r>
      <w:r>
        <w:rPr>
          <w:rFonts w:ascii="Times New Roman" w:cs="Times New Roman" w:eastAsia="Times New Roman" w:hAnsi="Times New Roman"/>
          <w:sz w:val="18"/>
          <w:szCs w:val="18"/>
        </w:rPr>
        <w:t xml:space="preserve">): (a) loss, log scale; (b) training and test accuracy.</w:t>
      </w:r>
    </w:p>
    <w:p>
      <w:pPr>
        <w:keepNext/>
        <w:spacing w:after="40" w:before="80"/>
      </w:pPr>
      <w:r>
        <w:rPr>
          <w:rFonts w:ascii="Times New Roman" w:cs="Times New Roman" w:eastAsia="Times New Roman" w:hAnsi="Times New Roman"/>
          <w:b/>
          <w:bCs/>
          <w:i/>
          <w:iCs/>
          <w:sz w:val="20"/>
          <w:szCs w:val="20"/>
        </w:rPr>
        <w:t xml:space="preserve">4.2 Ten-seed evaluation</w:t>
      </w:r>
    </w:p>
    <w:p>
      <w:pPr>
        <w:spacing w:after="70" w:before="0" w:line="240"/>
        <w:jc w:val="both"/>
      </w:pPr>
      <w:r>
        <w:rPr>
          <w:rFonts w:ascii="Times New Roman" w:cs="Times New Roman" w:eastAsia="Times New Roman" w:hAnsi="Times New Roman"/>
          <w:sz w:val="20"/>
          <w:szCs w:val="20"/>
        </w:rPr>
        <w:t xml:space="preserve">Table 2 and Fig. 6 give the 1000-shot test accuracy of each split. On ORL the mean is 94.667% (max 97.500%, std 1.675). On Yale the original set-up (full-frame resize, lr 10</w:t>
      </w:r>
      <w:r>
        <w:rPr>
          <w:rFonts w:ascii="Times New Roman" w:cs="Times New Roman" w:eastAsia="Times New Roman" w:hAnsi="Times New Roman"/>
          <w:sz w:val="20"/>
          <w:szCs w:val="20"/>
          <w:vertAlign w:val="superscript"/>
        </w:rPr>
        <w:t xml:space="preserve">−4</w:t>
      </w:r>
      <w:r>
        <w:rPr>
          <w:rFonts w:ascii="Times New Roman" w:cs="Times New Roman" w:eastAsia="Times New Roman" w:hAnsi="Times New Roman"/>
          <w:sz w:val="20"/>
          <w:szCs w:val="20"/>
        </w:rPr>
        <w:t xml:space="preserve">, 30 epochs) gave 78.889% (max 86.667%, std 5.984) and the selected set-up (85% centre crop, lr 10</w:t>
      </w:r>
      <w:r>
        <w:rPr>
          <w:rFonts w:ascii="Times New Roman" w:cs="Times New Roman" w:eastAsia="Times New Roman" w:hAnsi="Times New Roman"/>
          <w:sz w:val="20"/>
          <w:szCs w:val="20"/>
          <w:vertAlign w:val="superscript"/>
        </w:rPr>
        <w:t xml:space="preserve">−3</w:t>
      </w:r>
      <w:r>
        <w:rPr>
          <w:rFonts w:ascii="Times New Roman" w:cs="Times New Roman" w:eastAsia="Times New Roman" w:hAnsi="Times New Roman"/>
          <w:sz w:val="20"/>
          <w:szCs w:val="20"/>
        </w:rPr>
        <w:t xml:space="preserve">, 60 epochs) 85.556% (max 91.111%, std 4.792). The larger Yale spread is expected: one of 45 test images changes accuracy by 2.22 points, against 0.83 points on ORL (population standard deviations). Gaussian normalisation was lower on every seed, by 3.17 points on average for ORL and 8.44 for the original Yale set-up.</w:t>
      </w:r>
    </w:p>
    <w:p>
      <w:pPr>
        <w:keepNext/>
        <w:spacing w:after="30" w:before="20"/>
        <w:jc w:val="center"/>
      </w:pPr>
      <w:r>
        <w:rPr>
          <w:rFonts w:ascii="Times New Roman" w:cs="Times New Roman" w:eastAsia="Times New Roman" w:hAnsi="Times New Roman"/>
          <w:b/>
          <w:bCs/>
          <w:sz w:val="18"/>
          <w:szCs w:val="18"/>
        </w:rPr>
        <w:t xml:space="preserve">Table 2.</w:t>
      </w:r>
      <w:r>
        <w:rPr>
          <w:rFonts w:ascii="Times New Roman" w:cs="Times New Roman" w:eastAsia="Times New Roman" w:hAnsi="Times New Roman"/>
          <w:sz w:val="18"/>
          <w:szCs w:val="18"/>
        </w:rPr>
        <w:t xml:space="preserve"> Test accuracy (%) per seed, 1000 shots. “Gauss.” is z-score normalisation; the Yale “orig.” set-up is full-frame resize, lr 10</w:t>
      </w:r>
      <w:r>
        <w:rPr>
          <w:rFonts w:ascii="Times New Roman" w:cs="Times New Roman" w:eastAsia="Times New Roman" w:hAnsi="Times New Roman"/>
          <w:sz w:val="18"/>
          <w:szCs w:val="18"/>
          <w:vertAlign w:val="superscript"/>
        </w:rPr>
        <w:t xml:space="preserve">−4</w:t>
      </w:r>
      <w:r>
        <w:rPr>
          <w:rFonts w:ascii="Times New Roman" w:cs="Times New Roman" w:eastAsia="Times New Roman" w:hAnsi="Times New Roman"/>
          <w:sz w:val="18"/>
          <w:szCs w:val="18"/>
        </w:rPr>
        <w:t xml:space="preserve">, 30 epochs; “sel.” is the selected set-up.</w:t>
      </w:r>
    </w:p>
    <w:tbl>
      <w:tblPr>
        <w:tblW w:type="dxa" w:w="8500"/>
        <w:jc w:val="center"/>
        <w:tblBorders>
          <w:top w:val="single" w:color="auto" w:sz="4"/>
          <w:left w:val="single" w:color="auto" w:sz="4"/>
          <w:bottom w:val="single" w:color="auto" w:sz="4"/>
          <w:right w:val="single" w:color="auto" w:sz="4"/>
          <w:insideH w:val="single" w:color="auto" w:sz="4"/>
          <w:insideV w:val="single" w:color="auto" w:sz="4"/>
        </w:tblBorders>
      </w:tblPr>
      <w:tblGrid>
        <w:gridCol w:w="900"/>
        <w:gridCol w:w="1500"/>
        <w:gridCol w:w="1400"/>
        <w:gridCol w:w="1700"/>
        <w:gridCol w:w="1500"/>
        <w:gridCol w:w="1500"/>
      </w:tblGrid>
      <w:tr>
        <w:trPr>
          <w:cantSplit/>
          <w:tblHeader/>
        </w:trPr>
        <w:tc>
          <w:tcPr>
            <w:tcW w:type="dxa" w:w="900"/>
            <w:tcBorders>
              <w:top w:val="single" w:color="999999" w:sz="4"/>
              <w:left w:val="single" w:color="999999" w:sz="4"/>
              <w:bottom w:val="single" w:color="999999" w:sz="4"/>
              <w:right w:val="single" w:color="999999" w:sz="4"/>
            </w:tcBorders>
            <w:shd w:fill="E7EAF0" w:color="auto" w:val="clear"/>
            <w:tcMar>
              <w:top w:type="dxa" w:w="25"/>
              <w:left w:type="dxa" w:w="70"/>
              <w:bottom w:type="dxa" w:w="25"/>
              <w:right w:type="dxa" w:w="70"/>
            </w:tcMar>
            <w:vAlign w:val="center"/>
          </w:tcPr>
          <w:p>
            <w:pPr>
              <w:keepNext/>
              <w:spacing w:after="0"/>
              <w:jc w:val="left"/>
            </w:pPr>
            <w:r>
              <w:rPr>
                <w:rFonts w:ascii="Times New Roman" w:cs="Times New Roman" w:eastAsia="Times New Roman" w:hAnsi="Times New Roman"/>
                <w:b/>
                <w:bCs/>
                <w:sz w:val="16"/>
                <w:szCs w:val="16"/>
              </w:rPr>
              <w:t xml:space="preserve">Seed</w:t>
            </w:r>
          </w:p>
        </w:tc>
        <w:tc>
          <w:tcPr>
            <w:tcW w:type="dxa" w:w="1500"/>
            <w:tcBorders>
              <w:top w:val="single" w:color="999999" w:sz="4"/>
              <w:left w:val="single" w:color="999999" w:sz="4"/>
              <w:bottom w:val="single" w:color="999999" w:sz="4"/>
              <w:right w:val="single" w:color="999999" w:sz="4"/>
            </w:tcBorders>
            <w:shd w:fill="E7EAF0" w:color="auto" w:val="clear"/>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bCs/>
                <w:sz w:val="16"/>
                <w:szCs w:val="16"/>
              </w:rPr>
              <w:t xml:space="preserve">ORL min–max</w:t>
            </w:r>
          </w:p>
        </w:tc>
        <w:tc>
          <w:tcPr>
            <w:tcW w:type="dxa" w:w="1400"/>
            <w:tcBorders>
              <w:top w:val="single" w:color="999999" w:sz="4"/>
              <w:left w:val="single" w:color="999999" w:sz="4"/>
              <w:bottom w:val="single" w:color="999999" w:sz="4"/>
              <w:right w:val="single" w:color="999999" w:sz="4"/>
            </w:tcBorders>
            <w:shd w:fill="E7EAF0" w:color="auto" w:val="clear"/>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bCs/>
                <w:sz w:val="16"/>
                <w:szCs w:val="16"/>
              </w:rPr>
              <w:t xml:space="preserve">ORL Gauss.</w:t>
            </w:r>
          </w:p>
        </w:tc>
        <w:tc>
          <w:tcPr>
            <w:tcW w:type="dxa" w:w="1700"/>
            <w:tcBorders>
              <w:top w:val="single" w:color="999999" w:sz="4"/>
              <w:left w:val="single" w:color="999999" w:sz="4"/>
              <w:bottom w:val="single" w:color="999999" w:sz="4"/>
              <w:right w:val="single" w:color="999999" w:sz="4"/>
            </w:tcBorders>
            <w:shd w:fill="E7EAF0" w:color="auto" w:val="clear"/>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bCs/>
                <w:sz w:val="16"/>
                <w:szCs w:val="16"/>
              </w:rPr>
              <w:t xml:space="preserve">Yale orig. min–max</w:t>
            </w:r>
          </w:p>
        </w:tc>
        <w:tc>
          <w:tcPr>
            <w:tcW w:type="dxa" w:w="1500"/>
            <w:tcBorders>
              <w:top w:val="single" w:color="999999" w:sz="4"/>
              <w:left w:val="single" w:color="999999" w:sz="4"/>
              <w:bottom w:val="single" w:color="999999" w:sz="4"/>
              <w:right w:val="single" w:color="999999" w:sz="4"/>
            </w:tcBorders>
            <w:shd w:fill="E7EAF0" w:color="auto" w:val="clear"/>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bCs/>
                <w:sz w:val="16"/>
                <w:szCs w:val="16"/>
              </w:rPr>
              <w:t xml:space="preserve">Yale orig. Gauss.</w:t>
            </w:r>
          </w:p>
        </w:tc>
        <w:tc>
          <w:tcPr>
            <w:tcW w:type="dxa" w:w="1500"/>
            <w:tcBorders>
              <w:top w:val="single" w:color="999999" w:sz="4"/>
              <w:left w:val="single" w:color="999999" w:sz="4"/>
              <w:bottom w:val="single" w:color="999999" w:sz="4"/>
              <w:right w:val="single" w:color="999999" w:sz="4"/>
            </w:tcBorders>
            <w:shd w:fill="E7EAF0" w:color="auto" w:val="clear"/>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bCs/>
                <w:sz w:val="16"/>
                <w:szCs w:val="16"/>
              </w:rPr>
              <w:t xml:space="preserve">Yale sel. min–max</w:t>
            </w:r>
          </w:p>
        </w:tc>
      </w:tr>
      <w:tr>
        <w:trPr>
          <w:cantSplit/>
          <w:tblHeader w:val="false"/>
        </w:trPr>
        <w:tc>
          <w:tcPr>
            <w:tcW w:type="dxa" w:w="9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left"/>
            </w:pPr>
            <w:r>
              <w:rPr>
                <w:rFonts w:ascii="Times New Roman" w:cs="Times New Roman" w:eastAsia="Times New Roman" w:hAnsi="Times New Roman"/>
                <w:b w:val="false"/>
                <w:bCs w:val="false"/>
                <w:sz w:val="16"/>
                <w:szCs w:val="16"/>
              </w:rPr>
              <w:t xml:space="preserve">0</w:t>
            </w:r>
          </w:p>
        </w:tc>
        <w:tc>
          <w:tcPr>
            <w:tcW w:type="dxa" w:w="15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val="false"/>
                <w:bCs w:val="false"/>
                <w:sz w:val="16"/>
                <w:szCs w:val="16"/>
              </w:rPr>
              <w:t xml:space="preserve">95.83</w:t>
            </w:r>
          </w:p>
        </w:tc>
        <w:tc>
          <w:tcPr>
            <w:tcW w:type="dxa" w:w="14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val="false"/>
                <w:bCs w:val="false"/>
                <w:sz w:val="16"/>
                <w:szCs w:val="16"/>
              </w:rPr>
              <w:t xml:space="preserve">94.17</w:t>
            </w:r>
          </w:p>
        </w:tc>
        <w:tc>
          <w:tcPr>
            <w:tcW w:type="dxa" w:w="17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val="false"/>
                <w:bCs w:val="false"/>
                <w:sz w:val="16"/>
                <w:szCs w:val="16"/>
              </w:rPr>
              <w:t xml:space="preserve">82.22</w:t>
            </w:r>
          </w:p>
        </w:tc>
        <w:tc>
          <w:tcPr>
            <w:tcW w:type="dxa" w:w="15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val="false"/>
                <w:bCs w:val="false"/>
                <w:sz w:val="16"/>
                <w:szCs w:val="16"/>
              </w:rPr>
              <w:t xml:space="preserve">77.78</w:t>
            </w:r>
          </w:p>
        </w:tc>
        <w:tc>
          <w:tcPr>
            <w:tcW w:type="dxa" w:w="15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val="false"/>
                <w:bCs w:val="false"/>
                <w:sz w:val="16"/>
                <w:szCs w:val="16"/>
              </w:rPr>
              <w:t xml:space="preserve">91.11</w:t>
            </w:r>
          </w:p>
        </w:tc>
      </w:tr>
      <w:tr>
        <w:trPr>
          <w:cantSplit/>
          <w:tblHeader w:val="false"/>
        </w:trPr>
        <w:tc>
          <w:tcPr>
            <w:tcW w:type="dxa" w:w="9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left"/>
            </w:pPr>
            <w:r>
              <w:rPr>
                <w:rFonts w:ascii="Times New Roman" w:cs="Times New Roman" w:eastAsia="Times New Roman" w:hAnsi="Times New Roman"/>
                <w:b w:val="false"/>
                <w:bCs w:val="false"/>
                <w:sz w:val="16"/>
                <w:szCs w:val="16"/>
              </w:rPr>
              <w:t xml:space="preserve">1</w:t>
            </w:r>
          </w:p>
        </w:tc>
        <w:tc>
          <w:tcPr>
            <w:tcW w:type="dxa" w:w="15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val="false"/>
                <w:bCs w:val="false"/>
                <w:sz w:val="16"/>
                <w:szCs w:val="16"/>
              </w:rPr>
              <w:t xml:space="preserve">91.67</w:t>
            </w:r>
          </w:p>
        </w:tc>
        <w:tc>
          <w:tcPr>
            <w:tcW w:type="dxa" w:w="14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val="false"/>
                <w:bCs w:val="false"/>
                <w:sz w:val="16"/>
                <w:szCs w:val="16"/>
              </w:rPr>
              <w:t xml:space="preserve">89.17</w:t>
            </w:r>
          </w:p>
        </w:tc>
        <w:tc>
          <w:tcPr>
            <w:tcW w:type="dxa" w:w="17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val="false"/>
                <w:bCs w:val="false"/>
                <w:sz w:val="16"/>
                <w:szCs w:val="16"/>
              </w:rPr>
              <w:t xml:space="preserve">82.22</w:t>
            </w:r>
          </w:p>
        </w:tc>
        <w:tc>
          <w:tcPr>
            <w:tcW w:type="dxa" w:w="15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val="false"/>
                <w:bCs w:val="false"/>
                <w:sz w:val="16"/>
                <w:szCs w:val="16"/>
              </w:rPr>
              <w:t xml:space="preserve">71.11</w:t>
            </w:r>
          </w:p>
        </w:tc>
        <w:tc>
          <w:tcPr>
            <w:tcW w:type="dxa" w:w="15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val="false"/>
                <w:bCs w:val="false"/>
                <w:sz w:val="16"/>
                <w:szCs w:val="16"/>
              </w:rPr>
              <w:t xml:space="preserve">88.89</w:t>
            </w:r>
          </w:p>
        </w:tc>
      </w:tr>
      <w:tr>
        <w:trPr>
          <w:cantSplit/>
          <w:tblHeader w:val="false"/>
        </w:trPr>
        <w:tc>
          <w:tcPr>
            <w:tcW w:type="dxa" w:w="9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left"/>
            </w:pPr>
            <w:r>
              <w:rPr>
                <w:rFonts w:ascii="Times New Roman" w:cs="Times New Roman" w:eastAsia="Times New Roman" w:hAnsi="Times New Roman"/>
                <w:b w:val="false"/>
                <w:bCs w:val="false"/>
                <w:sz w:val="16"/>
                <w:szCs w:val="16"/>
              </w:rPr>
              <w:t xml:space="preserve">2</w:t>
            </w:r>
          </w:p>
        </w:tc>
        <w:tc>
          <w:tcPr>
            <w:tcW w:type="dxa" w:w="15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val="false"/>
                <w:bCs w:val="false"/>
                <w:sz w:val="16"/>
                <w:szCs w:val="16"/>
              </w:rPr>
              <w:t xml:space="preserve">94.17</w:t>
            </w:r>
          </w:p>
        </w:tc>
        <w:tc>
          <w:tcPr>
            <w:tcW w:type="dxa" w:w="14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val="false"/>
                <w:bCs w:val="false"/>
                <w:sz w:val="16"/>
                <w:szCs w:val="16"/>
              </w:rPr>
              <w:t xml:space="preserve">91.67</w:t>
            </w:r>
          </w:p>
        </w:tc>
        <w:tc>
          <w:tcPr>
            <w:tcW w:type="dxa" w:w="17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val="false"/>
                <w:bCs w:val="false"/>
                <w:sz w:val="16"/>
                <w:szCs w:val="16"/>
              </w:rPr>
              <w:t xml:space="preserve">68.89</w:t>
            </w:r>
          </w:p>
        </w:tc>
        <w:tc>
          <w:tcPr>
            <w:tcW w:type="dxa" w:w="15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val="false"/>
                <w:bCs w:val="false"/>
                <w:sz w:val="16"/>
                <w:szCs w:val="16"/>
              </w:rPr>
              <w:t xml:space="preserve">64.44</w:t>
            </w:r>
          </w:p>
        </w:tc>
        <w:tc>
          <w:tcPr>
            <w:tcW w:type="dxa" w:w="15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val="false"/>
                <w:bCs w:val="false"/>
                <w:sz w:val="16"/>
                <w:szCs w:val="16"/>
              </w:rPr>
              <w:t xml:space="preserve">82.22</w:t>
            </w:r>
          </w:p>
        </w:tc>
      </w:tr>
      <w:tr>
        <w:trPr>
          <w:cantSplit/>
          <w:tblHeader w:val="false"/>
        </w:trPr>
        <w:tc>
          <w:tcPr>
            <w:tcW w:type="dxa" w:w="9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left"/>
            </w:pPr>
            <w:r>
              <w:rPr>
                <w:rFonts w:ascii="Times New Roman" w:cs="Times New Roman" w:eastAsia="Times New Roman" w:hAnsi="Times New Roman"/>
                <w:b w:val="false"/>
                <w:bCs w:val="false"/>
                <w:sz w:val="16"/>
                <w:szCs w:val="16"/>
              </w:rPr>
              <w:t xml:space="preserve">3</w:t>
            </w:r>
          </w:p>
        </w:tc>
        <w:tc>
          <w:tcPr>
            <w:tcW w:type="dxa" w:w="15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val="false"/>
                <w:bCs w:val="false"/>
                <w:sz w:val="16"/>
                <w:szCs w:val="16"/>
              </w:rPr>
              <w:t xml:space="preserve">95.00</w:t>
            </w:r>
          </w:p>
        </w:tc>
        <w:tc>
          <w:tcPr>
            <w:tcW w:type="dxa" w:w="14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val="false"/>
                <w:bCs w:val="false"/>
                <w:sz w:val="16"/>
                <w:szCs w:val="16"/>
              </w:rPr>
              <w:t xml:space="preserve">90.00</w:t>
            </w:r>
          </w:p>
        </w:tc>
        <w:tc>
          <w:tcPr>
            <w:tcW w:type="dxa" w:w="17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val="false"/>
                <w:bCs w:val="false"/>
                <w:sz w:val="16"/>
                <w:szCs w:val="16"/>
              </w:rPr>
              <w:t xml:space="preserve">77.78</w:t>
            </w:r>
          </w:p>
        </w:tc>
        <w:tc>
          <w:tcPr>
            <w:tcW w:type="dxa" w:w="15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val="false"/>
                <w:bCs w:val="false"/>
                <w:sz w:val="16"/>
                <w:szCs w:val="16"/>
              </w:rPr>
              <w:t xml:space="preserve">71.11</w:t>
            </w:r>
          </w:p>
        </w:tc>
        <w:tc>
          <w:tcPr>
            <w:tcW w:type="dxa" w:w="15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val="false"/>
                <w:bCs w:val="false"/>
                <w:sz w:val="16"/>
                <w:szCs w:val="16"/>
              </w:rPr>
              <w:t xml:space="preserve">82.22</w:t>
            </w:r>
          </w:p>
        </w:tc>
      </w:tr>
      <w:tr>
        <w:trPr>
          <w:cantSplit/>
          <w:tblHeader w:val="false"/>
        </w:trPr>
        <w:tc>
          <w:tcPr>
            <w:tcW w:type="dxa" w:w="9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left"/>
            </w:pPr>
            <w:r>
              <w:rPr>
                <w:rFonts w:ascii="Times New Roman" w:cs="Times New Roman" w:eastAsia="Times New Roman" w:hAnsi="Times New Roman"/>
                <w:b w:val="false"/>
                <w:bCs w:val="false"/>
                <w:sz w:val="16"/>
                <w:szCs w:val="16"/>
              </w:rPr>
              <w:t xml:space="preserve">4</w:t>
            </w:r>
          </w:p>
        </w:tc>
        <w:tc>
          <w:tcPr>
            <w:tcW w:type="dxa" w:w="15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val="false"/>
                <w:bCs w:val="false"/>
                <w:sz w:val="16"/>
                <w:szCs w:val="16"/>
              </w:rPr>
              <w:t xml:space="preserve">94.17</w:t>
            </w:r>
          </w:p>
        </w:tc>
        <w:tc>
          <w:tcPr>
            <w:tcW w:type="dxa" w:w="14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val="false"/>
                <w:bCs w:val="false"/>
                <w:sz w:val="16"/>
                <w:szCs w:val="16"/>
              </w:rPr>
              <w:t xml:space="preserve">92.50</w:t>
            </w:r>
          </w:p>
        </w:tc>
        <w:tc>
          <w:tcPr>
            <w:tcW w:type="dxa" w:w="17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val="false"/>
                <w:bCs w:val="false"/>
                <w:sz w:val="16"/>
                <w:szCs w:val="16"/>
              </w:rPr>
              <w:t xml:space="preserve">82.22</w:t>
            </w:r>
          </w:p>
        </w:tc>
        <w:tc>
          <w:tcPr>
            <w:tcW w:type="dxa" w:w="15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val="false"/>
                <w:bCs w:val="false"/>
                <w:sz w:val="16"/>
                <w:szCs w:val="16"/>
              </w:rPr>
              <w:t xml:space="preserve">71.11</w:t>
            </w:r>
          </w:p>
        </w:tc>
        <w:tc>
          <w:tcPr>
            <w:tcW w:type="dxa" w:w="15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val="false"/>
                <w:bCs w:val="false"/>
                <w:sz w:val="16"/>
                <w:szCs w:val="16"/>
              </w:rPr>
              <w:t xml:space="preserve">84.44</w:t>
            </w:r>
          </w:p>
        </w:tc>
      </w:tr>
      <w:tr>
        <w:trPr>
          <w:cantSplit/>
          <w:tblHeader w:val="false"/>
        </w:trPr>
        <w:tc>
          <w:tcPr>
            <w:tcW w:type="dxa" w:w="9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left"/>
            </w:pPr>
            <w:r>
              <w:rPr>
                <w:rFonts w:ascii="Times New Roman" w:cs="Times New Roman" w:eastAsia="Times New Roman" w:hAnsi="Times New Roman"/>
                <w:b w:val="false"/>
                <w:bCs w:val="false"/>
                <w:sz w:val="16"/>
                <w:szCs w:val="16"/>
              </w:rPr>
              <w:t xml:space="preserve">5</w:t>
            </w:r>
          </w:p>
        </w:tc>
        <w:tc>
          <w:tcPr>
            <w:tcW w:type="dxa" w:w="15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val="false"/>
                <w:bCs w:val="false"/>
                <w:sz w:val="16"/>
                <w:szCs w:val="16"/>
              </w:rPr>
              <w:t xml:space="preserve">97.50</w:t>
            </w:r>
          </w:p>
        </w:tc>
        <w:tc>
          <w:tcPr>
            <w:tcW w:type="dxa" w:w="14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val="false"/>
                <w:bCs w:val="false"/>
                <w:sz w:val="16"/>
                <w:szCs w:val="16"/>
              </w:rPr>
              <w:t xml:space="preserve">92.50</w:t>
            </w:r>
          </w:p>
        </w:tc>
        <w:tc>
          <w:tcPr>
            <w:tcW w:type="dxa" w:w="17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val="false"/>
                <w:bCs w:val="false"/>
                <w:sz w:val="16"/>
                <w:szCs w:val="16"/>
              </w:rPr>
              <w:t xml:space="preserve">86.67</w:t>
            </w:r>
          </w:p>
        </w:tc>
        <w:tc>
          <w:tcPr>
            <w:tcW w:type="dxa" w:w="15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val="false"/>
                <w:bCs w:val="false"/>
                <w:sz w:val="16"/>
                <w:szCs w:val="16"/>
              </w:rPr>
              <w:t xml:space="preserve">75.56</w:t>
            </w:r>
          </w:p>
        </w:tc>
        <w:tc>
          <w:tcPr>
            <w:tcW w:type="dxa" w:w="15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val="false"/>
                <w:bCs w:val="false"/>
                <w:sz w:val="16"/>
                <w:szCs w:val="16"/>
              </w:rPr>
              <w:t xml:space="preserve">91.11</w:t>
            </w:r>
          </w:p>
        </w:tc>
      </w:tr>
      <w:tr>
        <w:trPr>
          <w:cantSplit/>
          <w:tblHeader w:val="false"/>
        </w:trPr>
        <w:tc>
          <w:tcPr>
            <w:tcW w:type="dxa" w:w="9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left"/>
            </w:pPr>
            <w:r>
              <w:rPr>
                <w:rFonts w:ascii="Times New Roman" w:cs="Times New Roman" w:eastAsia="Times New Roman" w:hAnsi="Times New Roman"/>
                <w:b w:val="false"/>
                <w:bCs w:val="false"/>
                <w:sz w:val="16"/>
                <w:szCs w:val="16"/>
              </w:rPr>
              <w:t xml:space="preserve">6</w:t>
            </w:r>
          </w:p>
        </w:tc>
        <w:tc>
          <w:tcPr>
            <w:tcW w:type="dxa" w:w="15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val="false"/>
                <w:bCs w:val="false"/>
                <w:sz w:val="16"/>
                <w:szCs w:val="16"/>
              </w:rPr>
              <w:t xml:space="preserve">96.67</w:t>
            </w:r>
          </w:p>
        </w:tc>
        <w:tc>
          <w:tcPr>
            <w:tcW w:type="dxa" w:w="14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val="false"/>
                <w:bCs w:val="false"/>
                <w:sz w:val="16"/>
                <w:szCs w:val="16"/>
              </w:rPr>
              <w:t xml:space="preserve">90.83</w:t>
            </w:r>
          </w:p>
        </w:tc>
        <w:tc>
          <w:tcPr>
            <w:tcW w:type="dxa" w:w="17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val="false"/>
                <w:bCs w:val="false"/>
                <w:sz w:val="16"/>
                <w:szCs w:val="16"/>
              </w:rPr>
              <w:t xml:space="preserve">84.44</w:t>
            </w:r>
          </w:p>
        </w:tc>
        <w:tc>
          <w:tcPr>
            <w:tcW w:type="dxa" w:w="15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val="false"/>
                <w:bCs w:val="false"/>
                <w:sz w:val="16"/>
                <w:szCs w:val="16"/>
              </w:rPr>
              <w:t xml:space="preserve">68.89</w:t>
            </w:r>
          </w:p>
        </w:tc>
        <w:tc>
          <w:tcPr>
            <w:tcW w:type="dxa" w:w="15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val="false"/>
                <w:bCs w:val="false"/>
                <w:sz w:val="16"/>
                <w:szCs w:val="16"/>
              </w:rPr>
              <w:t xml:space="preserve">84.44</w:t>
            </w:r>
          </w:p>
        </w:tc>
      </w:tr>
      <w:tr>
        <w:trPr>
          <w:cantSplit/>
          <w:tblHeader w:val="false"/>
        </w:trPr>
        <w:tc>
          <w:tcPr>
            <w:tcW w:type="dxa" w:w="9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left"/>
            </w:pPr>
            <w:r>
              <w:rPr>
                <w:rFonts w:ascii="Times New Roman" w:cs="Times New Roman" w:eastAsia="Times New Roman" w:hAnsi="Times New Roman"/>
                <w:b w:val="false"/>
                <w:bCs w:val="false"/>
                <w:sz w:val="16"/>
                <w:szCs w:val="16"/>
              </w:rPr>
              <w:t xml:space="preserve">7</w:t>
            </w:r>
          </w:p>
        </w:tc>
        <w:tc>
          <w:tcPr>
            <w:tcW w:type="dxa" w:w="15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val="false"/>
                <w:bCs w:val="false"/>
                <w:sz w:val="16"/>
                <w:szCs w:val="16"/>
              </w:rPr>
              <w:t xml:space="preserve">94.17</w:t>
            </w:r>
          </w:p>
        </w:tc>
        <w:tc>
          <w:tcPr>
            <w:tcW w:type="dxa" w:w="14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val="false"/>
                <w:bCs w:val="false"/>
                <w:sz w:val="16"/>
                <w:szCs w:val="16"/>
              </w:rPr>
              <w:t xml:space="preserve">92.50</w:t>
            </w:r>
          </w:p>
        </w:tc>
        <w:tc>
          <w:tcPr>
            <w:tcW w:type="dxa" w:w="17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val="false"/>
                <w:bCs w:val="false"/>
                <w:sz w:val="16"/>
                <w:szCs w:val="16"/>
              </w:rPr>
              <w:t xml:space="preserve">71.11</w:t>
            </w:r>
          </w:p>
        </w:tc>
        <w:tc>
          <w:tcPr>
            <w:tcW w:type="dxa" w:w="15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val="false"/>
                <w:bCs w:val="false"/>
                <w:sz w:val="16"/>
                <w:szCs w:val="16"/>
              </w:rPr>
              <w:t xml:space="preserve">64.44</w:t>
            </w:r>
          </w:p>
        </w:tc>
        <w:tc>
          <w:tcPr>
            <w:tcW w:type="dxa" w:w="15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val="false"/>
                <w:bCs w:val="false"/>
                <w:sz w:val="16"/>
                <w:szCs w:val="16"/>
              </w:rPr>
              <w:t xml:space="preserve">84.44</w:t>
            </w:r>
          </w:p>
        </w:tc>
      </w:tr>
      <w:tr>
        <w:trPr>
          <w:cantSplit/>
          <w:tblHeader w:val="false"/>
        </w:trPr>
        <w:tc>
          <w:tcPr>
            <w:tcW w:type="dxa" w:w="9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left"/>
            </w:pPr>
            <w:r>
              <w:rPr>
                <w:rFonts w:ascii="Times New Roman" w:cs="Times New Roman" w:eastAsia="Times New Roman" w:hAnsi="Times New Roman"/>
                <w:b w:val="false"/>
                <w:bCs w:val="false"/>
                <w:sz w:val="16"/>
                <w:szCs w:val="16"/>
              </w:rPr>
              <w:t xml:space="preserve">8</w:t>
            </w:r>
          </w:p>
        </w:tc>
        <w:tc>
          <w:tcPr>
            <w:tcW w:type="dxa" w:w="15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val="false"/>
                <w:bCs w:val="false"/>
                <w:sz w:val="16"/>
                <w:szCs w:val="16"/>
              </w:rPr>
              <w:t xml:space="preserve">95.00</w:t>
            </w:r>
          </w:p>
        </w:tc>
        <w:tc>
          <w:tcPr>
            <w:tcW w:type="dxa" w:w="14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val="false"/>
                <w:bCs w:val="false"/>
                <w:sz w:val="16"/>
                <w:szCs w:val="16"/>
              </w:rPr>
              <w:t xml:space="preserve">91.67</w:t>
            </w:r>
          </w:p>
        </w:tc>
        <w:tc>
          <w:tcPr>
            <w:tcW w:type="dxa" w:w="17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val="false"/>
                <w:bCs w:val="false"/>
                <w:sz w:val="16"/>
                <w:szCs w:val="16"/>
              </w:rPr>
              <w:t xml:space="preserve">82.22</w:t>
            </w:r>
          </w:p>
        </w:tc>
        <w:tc>
          <w:tcPr>
            <w:tcW w:type="dxa" w:w="15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val="false"/>
                <w:bCs w:val="false"/>
                <w:sz w:val="16"/>
                <w:szCs w:val="16"/>
              </w:rPr>
              <w:t xml:space="preserve">80.00</w:t>
            </w:r>
          </w:p>
        </w:tc>
        <w:tc>
          <w:tcPr>
            <w:tcW w:type="dxa" w:w="15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val="false"/>
                <w:bCs w:val="false"/>
                <w:sz w:val="16"/>
                <w:szCs w:val="16"/>
              </w:rPr>
              <w:t xml:space="preserve">91.11</w:t>
            </w:r>
          </w:p>
        </w:tc>
      </w:tr>
      <w:tr>
        <w:trPr>
          <w:cantSplit/>
          <w:tblHeader w:val="false"/>
        </w:trPr>
        <w:tc>
          <w:tcPr>
            <w:tcW w:type="dxa" w:w="9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left"/>
            </w:pPr>
            <w:r>
              <w:rPr>
                <w:rFonts w:ascii="Times New Roman" w:cs="Times New Roman" w:eastAsia="Times New Roman" w:hAnsi="Times New Roman"/>
                <w:b w:val="false"/>
                <w:bCs w:val="false"/>
                <w:sz w:val="16"/>
                <w:szCs w:val="16"/>
              </w:rPr>
              <w:t xml:space="preserve">9</w:t>
            </w:r>
          </w:p>
        </w:tc>
        <w:tc>
          <w:tcPr>
            <w:tcW w:type="dxa" w:w="15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val="false"/>
                <w:bCs w:val="false"/>
                <w:sz w:val="16"/>
                <w:szCs w:val="16"/>
              </w:rPr>
              <w:t xml:space="preserve">92.50</w:t>
            </w:r>
          </w:p>
        </w:tc>
        <w:tc>
          <w:tcPr>
            <w:tcW w:type="dxa" w:w="14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val="false"/>
                <w:bCs w:val="false"/>
                <w:sz w:val="16"/>
                <w:szCs w:val="16"/>
              </w:rPr>
              <w:t xml:space="preserve">90.00</w:t>
            </w:r>
          </w:p>
        </w:tc>
        <w:tc>
          <w:tcPr>
            <w:tcW w:type="dxa" w:w="17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val="false"/>
                <w:bCs w:val="false"/>
                <w:sz w:val="16"/>
                <w:szCs w:val="16"/>
              </w:rPr>
              <w:t xml:space="preserve">71.11</w:t>
            </w:r>
          </w:p>
        </w:tc>
        <w:tc>
          <w:tcPr>
            <w:tcW w:type="dxa" w:w="15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val="false"/>
                <w:bCs w:val="false"/>
                <w:sz w:val="16"/>
                <w:szCs w:val="16"/>
              </w:rPr>
              <w:t xml:space="preserve">60.00</w:t>
            </w:r>
          </w:p>
        </w:tc>
        <w:tc>
          <w:tcPr>
            <w:tcW w:type="dxa" w:w="15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val="false"/>
                <w:bCs w:val="false"/>
                <w:sz w:val="16"/>
                <w:szCs w:val="16"/>
              </w:rPr>
              <w:t xml:space="preserve">75.56</w:t>
            </w:r>
          </w:p>
        </w:tc>
      </w:tr>
      <w:tr>
        <w:trPr>
          <w:cantSplit/>
          <w:tblHeader w:val="false"/>
        </w:trPr>
        <w:tc>
          <w:tcPr>
            <w:tcW w:type="dxa" w:w="9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left"/>
            </w:pPr>
            <w:r>
              <w:rPr>
                <w:rFonts w:ascii="Times New Roman" w:cs="Times New Roman" w:eastAsia="Times New Roman" w:hAnsi="Times New Roman"/>
                <w:b/>
                <w:bCs/>
                <w:sz w:val="16"/>
                <w:szCs w:val="16"/>
              </w:rPr>
              <w:t xml:space="preserve">Mean</w:t>
            </w:r>
          </w:p>
        </w:tc>
        <w:tc>
          <w:tcPr>
            <w:tcW w:type="dxa" w:w="15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bCs/>
                <w:sz w:val="16"/>
                <w:szCs w:val="16"/>
              </w:rPr>
              <w:t xml:space="preserve">94.667</w:t>
            </w:r>
          </w:p>
        </w:tc>
        <w:tc>
          <w:tcPr>
            <w:tcW w:type="dxa" w:w="14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val="false"/>
                <w:bCs w:val="false"/>
                <w:sz w:val="16"/>
                <w:szCs w:val="16"/>
              </w:rPr>
              <w:t xml:space="preserve">91.500</w:t>
            </w:r>
          </w:p>
        </w:tc>
        <w:tc>
          <w:tcPr>
            <w:tcW w:type="dxa" w:w="17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val="false"/>
                <w:bCs w:val="false"/>
                <w:sz w:val="16"/>
                <w:szCs w:val="16"/>
              </w:rPr>
              <w:t xml:space="preserve">78.889</w:t>
            </w:r>
          </w:p>
        </w:tc>
        <w:tc>
          <w:tcPr>
            <w:tcW w:type="dxa" w:w="15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val="false"/>
                <w:bCs w:val="false"/>
                <w:sz w:val="16"/>
                <w:szCs w:val="16"/>
              </w:rPr>
              <w:t xml:space="preserve">70.444</w:t>
            </w:r>
          </w:p>
        </w:tc>
        <w:tc>
          <w:tcPr>
            <w:tcW w:type="dxa" w:w="15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bCs/>
                <w:sz w:val="16"/>
                <w:szCs w:val="16"/>
              </w:rPr>
              <w:t xml:space="preserve">85.556</w:t>
            </w:r>
          </w:p>
        </w:tc>
      </w:tr>
      <w:tr>
        <w:trPr>
          <w:cantSplit/>
          <w:tblHeader w:val="false"/>
        </w:trPr>
        <w:tc>
          <w:tcPr>
            <w:tcW w:type="dxa" w:w="9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val="false"/>
              <w:spacing w:after="0"/>
              <w:jc w:val="left"/>
            </w:pPr>
            <w:r>
              <w:rPr>
                <w:rFonts w:ascii="Times New Roman" w:cs="Times New Roman" w:eastAsia="Times New Roman" w:hAnsi="Times New Roman"/>
                <w:b w:val="false"/>
                <w:bCs w:val="false"/>
                <w:sz w:val="16"/>
                <w:szCs w:val="16"/>
              </w:rPr>
              <w:t xml:space="preserve">Std.</w:t>
            </w:r>
          </w:p>
        </w:tc>
        <w:tc>
          <w:tcPr>
            <w:tcW w:type="dxa" w:w="15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val="false"/>
              <w:spacing w:after="0"/>
              <w:jc w:val="center"/>
            </w:pPr>
            <w:r>
              <w:rPr>
                <w:rFonts w:ascii="Times New Roman" w:cs="Times New Roman" w:eastAsia="Times New Roman" w:hAnsi="Times New Roman"/>
                <w:b w:val="false"/>
                <w:bCs w:val="false"/>
                <w:sz w:val="16"/>
                <w:szCs w:val="16"/>
              </w:rPr>
              <w:t xml:space="preserve">±1.675</w:t>
            </w:r>
          </w:p>
        </w:tc>
        <w:tc>
          <w:tcPr>
            <w:tcW w:type="dxa" w:w="14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val="false"/>
              <w:spacing w:after="0"/>
              <w:jc w:val="center"/>
            </w:pPr>
            <w:r>
              <w:rPr>
                <w:rFonts w:ascii="Times New Roman" w:cs="Times New Roman" w:eastAsia="Times New Roman" w:hAnsi="Times New Roman"/>
                <w:b w:val="false"/>
                <w:bCs w:val="false"/>
                <w:sz w:val="16"/>
                <w:szCs w:val="16"/>
              </w:rPr>
              <w:t xml:space="preserve">±1.434</w:t>
            </w:r>
          </w:p>
        </w:tc>
        <w:tc>
          <w:tcPr>
            <w:tcW w:type="dxa" w:w="17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val="false"/>
              <w:spacing w:after="0"/>
              <w:jc w:val="center"/>
            </w:pPr>
            <w:r>
              <w:rPr>
                <w:rFonts w:ascii="Times New Roman" w:cs="Times New Roman" w:eastAsia="Times New Roman" w:hAnsi="Times New Roman"/>
                <w:b w:val="false"/>
                <w:bCs w:val="false"/>
                <w:sz w:val="16"/>
                <w:szCs w:val="16"/>
              </w:rPr>
              <w:t xml:space="preserve">±5.984</w:t>
            </w:r>
          </w:p>
        </w:tc>
        <w:tc>
          <w:tcPr>
            <w:tcW w:type="dxa" w:w="15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val="false"/>
              <w:spacing w:after="0"/>
              <w:jc w:val="center"/>
            </w:pPr>
            <w:r>
              <w:rPr>
                <w:rFonts w:ascii="Times New Roman" w:cs="Times New Roman" w:eastAsia="Times New Roman" w:hAnsi="Times New Roman"/>
                <w:b w:val="false"/>
                <w:bCs w:val="false"/>
                <w:sz w:val="16"/>
                <w:szCs w:val="16"/>
              </w:rPr>
              <w:t xml:space="preserve">±5.967</w:t>
            </w:r>
          </w:p>
        </w:tc>
        <w:tc>
          <w:tcPr>
            <w:tcW w:type="dxa" w:w="15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val="false"/>
              <w:spacing w:after="0"/>
              <w:jc w:val="center"/>
            </w:pPr>
            <w:r>
              <w:rPr>
                <w:rFonts w:ascii="Times New Roman" w:cs="Times New Roman" w:eastAsia="Times New Roman" w:hAnsi="Times New Roman"/>
                <w:b w:val="false"/>
                <w:bCs w:val="false"/>
                <w:sz w:val="16"/>
                <w:szCs w:val="16"/>
              </w:rPr>
              <w:t xml:space="preserve">±4.792</w:t>
            </w:r>
          </w:p>
        </w:tc>
      </w:tr>
    </w:tbl>
    <w:p>
      <w:pPr>
        <w:spacing w:after="60"/>
      </w:pPr>
    </w:p>
    <w:p>
      <w:pPr>
        <w:keepNext/>
        <w:spacing w:after="0" w:before="20"/>
        <w:jc w:val="center"/>
      </w:pPr>
      <w:r>
        <w:drawing>
          <wp:inline distT="0" distB="0" distL="0" distR="0">
            <wp:extent cx="4476750" cy="1352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476750" cy="1352550"/>
                    </a:xfrm>
                    <a:prstGeom prst="rect">
                      <a:avLst/>
                    </a:prstGeom>
                  </pic:spPr>
                </pic:pic>
              </a:graphicData>
            </a:graphic>
          </wp:inline>
        </w:drawing>
      </w:r>
    </w:p>
    <w:p>
      <w:pPr>
        <w:spacing w:after="90" w:before="20"/>
        <w:jc w:val="center"/>
      </w:pPr>
      <w:r>
        <w:rPr>
          <w:rFonts w:ascii="Times New Roman" w:cs="Times New Roman" w:eastAsia="Times New Roman" w:hAnsi="Times New Roman"/>
          <w:b/>
          <w:bCs/>
          <w:sz w:val="18"/>
          <w:szCs w:val="18"/>
        </w:rPr>
        <w:t xml:space="preserve">Fig. 6.</w:t>
      </w:r>
      <w:r>
        <w:rPr>
          <w:rFonts w:ascii="Times New Roman" w:cs="Times New Roman" w:eastAsia="Times New Roman" w:hAnsi="Times New Roman"/>
          <w:sz w:val="18"/>
          <w:szCs w:val="18"/>
        </w:rPr>
        <w:t xml:space="preserve"> Distribution of the ten per-seed test accuracies (box = quartiles, dots = seeds; mean ± std at right).</w:t>
      </w:r>
    </w:p>
    <w:p>
      <w:pPr>
        <w:keepNext/>
        <w:spacing w:after="40" w:before="80"/>
      </w:pPr>
      <w:r>
        <w:rPr>
          <w:rFonts w:ascii="Times New Roman" w:cs="Times New Roman" w:eastAsia="Times New Roman" w:hAnsi="Times New Roman"/>
          <w:b/>
          <w:bCs/>
          <w:i/>
          <w:iCs/>
          <w:sz w:val="20"/>
          <w:szCs w:val="20"/>
        </w:rPr>
        <w:t xml:space="preserve">4.3 Yale tuning and augmentation study</w:t>
      </w:r>
    </w:p>
    <w:p>
      <w:pPr>
        <w:spacing w:after="70" w:before="0" w:line="240"/>
        <w:jc w:val="both"/>
      </w:pPr>
      <w:r>
        <w:rPr>
          <w:rFonts w:ascii="Times New Roman" w:cs="Times New Roman" w:eastAsia="Times New Roman" w:hAnsi="Times New Roman"/>
          <w:sz w:val="20"/>
          <w:szCs w:val="20"/>
        </w:rPr>
        <w:t xml:space="preserve">Because the original Yale result was low, pre-processing (full-frame resize, centre square crop, tighter 80% crop), learning rate (10</w:t>
      </w:r>
      <w:r>
        <w:rPr>
          <w:rFonts w:ascii="Times New Roman" w:cs="Times New Roman" w:eastAsia="Times New Roman" w:hAnsi="Times New Roman"/>
          <w:sz w:val="20"/>
          <w:szCs w:val="20"/>
          <w:vertAlign w:val="superscript"/>
        </w:rPr>
        <w:t xml:space="preserve">−4</w:t>
      </w:r>
      <w:r>
        <w:rPr>
          <w:rFonts w:ascii="Times New Roman" w:cs="Times New Roman" w:eastAsia="Times New Roman" w:hAnsi="Times New Roman"/>
          <w:sz w:val="20"/>
          <w:szCs w:val="20"/>
        </w:rPr>
        <w:t xml:space="preserve"> or 10</w:t>
      </w:r>
      <w:r>
        <w:rPr>
          <w:rFonts w:ascii="Times New Roman" w:cs="Times New Roman" w:eastAsia="Times New Roman" w:hAnsi="Times New Roman"/>
          <w:sz w:val="20"/>
          <w:szCs w:val="20"/>
          <w:vertAlign w:val="superscript"/>
        </w:rPr>
        <w:t xml:space="preserve">−3</w:t>
      </w:r>
      <w:r>
        <w:rPr>
          <w:rFonts w:ascii="Times New Roman" w:cs="Times New Roman" w:eastAsia="Times New Roman" w:hAnsi="Times New Roman"/>
          <w:sz w:val="20"/>
          <w:szCs w:val="20"/>
        </w:rPr>
        <w:t xml:space="preserve">) and epochs (30 or 60) were varied on a validation split (96 training / 24 validation images from the training part of seeds 0–2; test images unused). Fig. 7a shows that the best setting was the square crop with lr 10</w:t>
      </w:r>
      <w:r>
        <w:rPr>
          <w:rFonts w:ascii="Times New Roman" w:cs="Times New Roman" w:eastAsia="Times New Roman" w:hAnsi="Times New Roman"/>
          <w:sz w:val="20"/>
          <w:szCs w:val="20"/>
          <w:vertAlign w:val="superscript"/>
        </w:rPr>
        <w:t xml:space="preserve">−3</w:t>
      </w:r>
      <w:r>
        <w:rPr>
          <w:rFonts w:ascii="Times New Roman" w:cs="Times New Roman" w:eastAsia="Times New Roman" w:hAnsi="Times New Roman"/>
          <w:sz w:val="20"/>
          <w:szCs w:val="20"/>
        </w:rPr>
        <w:t xml:space="preserve"> and 60 epochs (76.4%); the training accuracy reached 100% in every case after 60 epochs. On the ten test splits it gave 84.889% (std 6.577); the slightly tighter 85% crop gave the 85.556% used above, within run-to-run variation.</w:t>
      </w:r>
    </w:p>
    <w:p>
      <w:pPr>
        <w:spacing w:after="70" w:before="0" w:line="240"/>
        <w:jc w:val="both"/>
      </w:pPr>
      <w:r>
        <w:rPr>
          <w:rFonts w:ascii="Times New Roman" w:cs="Times New Roman" w:eastAsia="Times New Roman" w:hAnsi="Times New Roman"/>
          <w:sz w:val="20"/>
          <w:szCs w:val="20"/>
        </w:rPr>
        <w:t xml:space="preserve">A further study tested training-time augmentation (random crop, mirror flip, ±10° rotation, brightness/contrast jitter) with optional dropout (0.3) and weight decay (10</w:t>
      </w:r>
      <w:r>
        <w:rPr>
          <w:rFonts w:ascii="Times New Roman" w:cs="Times New Roman" w:eastAsia="Times New Roman" w:hAnsi="Times New Roman"/>
          <w:sz w:val="20"/>
          <w:szCs w:val="20"/>
          <w:vertAlign w:val="superscript"/>
        </w:rPr>
        <w:t xml:space="preserve">−4</w:t>
      </w:r>
      <w:r>
        <w:rPr>
          <w:rFonts w:ascii="Times New Roman" w:cs="Times New Roman" w:eastAsia="Times New Roman" w:hAnsi="Times New Roman"/>
          <w:sz w:val="20"/>
          <w:szCs w:val="20"/>
        </w:rPr>
        <w:t xml:space="preserve">), 80 epochs, validation split as before (mean over seeds 0–2, last three epochs). No augmentation scored best, 77.8%; crop+flip gave 71.8%, full augmentation 69.0% and full augmentation with dropout and weight decay 68.1% (Fig. 7b). The gap between clean training accuracy (97–100%) and validation accuracy grew from 22 to 29 points. Augmentation therefore did not reduce the over-fitting; one possible reason is that the large linear head still memorises the training images, but this was not tested.</w:t>
      </w:r>
    </w:p>
    <w:p>
      <w:pPr>
        <w:keepNext/>
        <w:spacing w:after="0" w:before="20"/>
        <w:jc w:val="center"/>
      </w:pPr>
      <w:r>
        <w:drawing>
          <wp:inline distT="0" distB="0" distL="0" distR="0">
            <wp:extent cx="4572000" cy="1628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1628775"/>
                    </a:xfrm>
                    <a:prstGeom prst="rect">
                      <a:avLst/>
                    </a:prstGeom>
                  </pic:spPr>
                </pic:pic>
              </a:graphicData>
            </a:graphic>
          </wp:inline>
        </w:drawing>
      </w:r>
    </w:p>
    <w:p>
      <w:pPr>
        <w:spacing w:after="90" w:before="20"/>
        <w:jc w:val="center"/>
      </w:pPr>
      <w:r>
        <w:rPr>
          <w:rFonts w:ascii="Times New Roman" w:cs="Times New Roman" w:eastAsia="Times New Roman" w:hAnsi="Times New Roman"/>
          <w:b/>
          <w:bCs/>
          <w:sz w:val="18"/>
          <w:szCs w:val="18"/>
        </w:rPr>
        <w:t xml:space="preserve">Fig. 7.</w:t>
      </w:r>
      <w:r>
        <w:rPr>
          <w:rFonts w:ascii="Times New Roman" w:cs="Times New Roman" w:eastAsia="Times New Roman" w:hAnsi="Times New Roman"/>
          <w:sz w:val="18"/>
          <w:szCs w:val="18"/>
        </w:rPr>
        <w:t xml:space="preserve"> Yale validation studies. (a) Pre-processing, learning rate and epochs (96/24 split, seeds 0–2). (b) Augmentation: clean training accuracy against validation accuracy.</w:t>
      </w:r>
    </w:p>
    <w:p>
      <w:pPr>
        <w:keepNext/>
        <w:spacing w:after="40" w:before="80"/>
      </w:pPr>
      <w:r>
        <w:rPr>
          <w:rFonts w:ascii="Times New Roman" w:cs="Times New Roman" w:eastAsia="Times New Roman" w:hAnsi="Times New Roman"/>
          <w:b/>
          <w:bCs/>
          <w:i/>
          <w:iCs/>
          <w:sz w:val="20"/>
          <w:szCs w:val="20"/>
        </w:rPr>
        <w:t xml:space="preserve">4.4 Confusion matrices</w:t>
      </w:r>
    </w:p>
    <w:p>
      <w:pPr>
        <w:spacing w:after="70" w:before="0" w:line="240"/>
        <w:jc w:val="both"/>
      </w:pPr>
      <w:r>
        <w:rPr>
          <w:rFonts w:ascii="Times New Roman" w:cs="Times New Roman" w:eastAsia="Times New Roman" w:hAnsi="Times New Roman"/>
          <w:sz w:val="20"/>
          <w:szCs w:val="20"/>
        </w:rPr>
        <w:t xml:space="preserve">Fig. 8 shows pooled confusion matrices over ten seeds (1,200 ORL and 450 Yale predictions; Yale class </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is subject </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+1). On ORL the errors are scattered single confusions with no systematically misclassified subject. On Yale the off-diagonal confusion is larger; in this tuning run subjects 7 and 8 are often predicted as subject 14, and subject 5 as subject 13.</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none"/>
              <w:left w:val="none"/>
              <w:bottom w:val="none"/>
              <w:right w:val="none"/>
            </w:tcBorders>
          </w:tcPr>
          <w:p>
            <w:pPr>
              <w:spacing w:after="0"/>
              <w:jc w:val="center"/>
            </w:pPr>
            <w:r>
              <w:drawing>
                <wp:inline distT="0" distB="0" distL="0" distR="0">
                  <wp:extent cx="1828800" cy="1657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828800" cy="1657350"/>
                          </a:xfrm>
                          <a:prstGeom prst="rect">
                            <a:avLst/>
                          </a:prstGeom>
                        </pic:spPr>
                      </pic:pic>
                    </a:graphicData>
                  </a:graphic>
                </wp:inline>
              </w:drawing>
            </w:r>
          </w:p>
          <w:p>
            <w:pPr>
              <w:spacing w:after="0"/>
              <w:jc w:val="center"/>
            </w:pPr>
            <w:r>
              <w:rPr>
                <w:rFonts w:ascii="Times New Roman" w:cs="Times New Roman" w:eastAsia="Times New Roman" w:hAnsi="Times New Roman"/>
                <w:sz w:val="18"/>
                <w:szCs w:val="18"/>
              </w:rPr>
              <w:t xml:space="preserve">(a) ORL, mean accuracy 94.67%</w:t>
            </w:r>
          </w:p>
        </w:tc>
        <w:tc>
          <w:tcPr>
            <w:tcW w:type="dxa" w:w="4680"/>
            <w:tcBorders>
              <w:top w:val="none"/>
              <w:left w:val="none"/>
              <w:bottom w:val="none"/>
              <w:right w:val="none"/>
            </w:tcBorders>
          </w:tcPr>
          <w:p>
            <w:pPr>
              <w:spacing w:after="0"/>
              <w:jc w:val="center"/>
            </w:pPr>
            <w:r>
              <w:drawing>
                <wp:inline distT="0" distB="0" distL="0" distR="0">
                  <wp:extent cx="1828800" cy="1590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828800" cy="1590675"/>
                          </a:xfrm>
                          <a:prstGeom prst="rect">
                            <a:avLst/>
                          </a:prstGeom>
                        </pic:spPr>
                      </pic:pic>
                    </a:graphicData>
                  </a:graphic>
                </wp:inline>
              </w:drawing>
            </w:r>
          </w:p>
          <w:p>
            <w:pPr>
              <w:spacing w:after="0"/>
              <w:jc w:val="center"/>
            </w:pPr>
            <w:r>
              <w:rPr>
                <w:rFonts w:ascii="Times New Roman" w:cs="Times New Roman" w:eastAsia="Times New Roman" w:hAnsi="Times New Roman"/>
                <w:sz w:val="18"/>
                <w:szCs w:val="18"/>
              </w:rPr>
              <w:t xml:space="preserve">(b) Yale (square-crop tuning run), 84.89%</w:t>
            </w:r>
          </w:p>
        </w:tc>
      </w:tr>
    </w:tbl>
    <w:p>
      <w:pPr>
        <w:spacing w:after="90" w:before="30"/>
        <w:jc w:val="center"/>
      </w:pPr>
      <w:r>
        <w:rPr>
          <w:rFonts w:ascii="Times New Roman" w:cs="Times New Roman" w:eastAsia="Times New Roman" w:hAnsi="Times New Roman"/>
          <w:b/>
          <w:bCs/>
          <w:sz w:val="18"/>
          <w:szCs w:val="18"/>
        </w:rPr>
        <w:t xml:space="preserve">Fig. 8.</w:t>
      </w:r>
      <w:r>
        <w:rPr>
          <w:rFonts w:ascii="Times New Roman" w:cs="Times New Roman" w:eastAsia="Times New Roman" w:hAnsi="Times New Roman"/>
          <w:sz w:val="18"/>
          <w:szCs w:val="18"/>
        </w:rPr>
        <w:t xml:space="preserve"> Aggregate confusion matrices of MG-QCNN over ten seeds.</w:t>
      </w:r>
    </w:p>
    <w:p>
      <w:pPr>
        <w:keepNext/>
        <w:spacing w:after="60" w:before="140"/>
      </w:pPr>
      <w:r>
        <w:rPr>
          <w:rFonts w:ascii="Times New Roman" w:cs="Times New Roman" w:eastAsia="Times New Roman" w:hAnsi="Times New Roman"/>
          <w:b/>
          <w:bCs/>
          <w:sz w:val="25"/>
          <w:szCs w:val="25"/>
        </w:rPr>
        <w:t xml:space="preserve">5. Limitations</w:t>
      </w:r>
    </w:p>
    <w:p>
      <w:pPr>
        <w:spacing w:after="70" w:before="0" w:line="240"/>
        <w:jc w:val="both"/>
      </w:pPr>
      <w:r>
        <w:rPr>
          <w:rFonts w:ascii="Times New Roman" w:cs="Times New Roman" w:eastAsia="Times New Roman" w:hAnsi="Times New Roman"/>
          <w:sz w:val="20"/>
          <w:szCs w:val="20"/>
        </w:rPr>
        <w:t xml:space="preserve">The quantum part is a noise-free classical simulation with shot noise only at test time, so the numbers are not hardware results. The model over-fits on Yale (100% training accuracy on 120 images against about 85% test accuracy) and augmentation did not help. No ablation or noise study has been run yet, and test loss, precision, recall and F1-score are not yet reported. The final epoch is reported on the test set; a validation split was used for the Yale studies only.</w:t>
      </w:r>
    </w:p>
    <w:p>
      <w:pPr>
        <w:keepNext/>
        <w:spacing w:after="60" w:before="140"/>
      </w:pPr>
      <w:r>
        <w:rPr>
          <w:rFonts w:ascii="Times New Roman" w:cs="Times New Roman" w:eastAsia="Times New Roman" w:hAnsi="Times New Roman"/>
          <w:b/>
          <w:bCs/>
          <w:sz w:val="25"/>
          <w:szCs w:val="25"/>
        </w:rPr>
        <w:t xml:space="preserve">6. Future Scope</w:t>
      </w:r>
    </w:p>
    <w:p>
      <w:pPr>
        <w:spacing w:after="70" w:before="0" w:line="240"/>
        <w:jc w:val="both"/>
      </w:pPr>
      <w:r>
        <w:rPr>
          <w:rFonts w:ascii="Times New Roman" w:cs="Times New Roman" w:eastAsia="Times New Roman" w:hAnsi="Times New Roman"/>
          <w:sz w:val="20"/>
          <w:szCs w:val="20"/>
        </w:rPr>
        <w:t xml:space="preserve">Training here uses simulator backpropagation, which is fast but is not how a quantum processor is trained. Mathematically the gradients are identical to those of the parameter-shift rule, but in practice a real implementation must use the latter, and with 17 circuit runs per patch (9,792 per image per step, Eq. 10) training becomes very slow, as is also noted in the reference work [4]. A natural extension is to add a feature-extraction stage (for example a small learned or fixed classical front-end) that compresses the image before the quantum layer. Since the cost scales linearly with the number of patches </w:t>
      </w:r>
      <w:r>
        <w:rPr>
          <w:rFonts w:ascii="Times New Roman" w:cs="Times New Roman" w:eastAsia="Times New Roman" w:hAnsi="Times New Roman"/>
          <w:i/>
          <w:iCs/>
          <w:sz w:val="20"/>
          <w:szCs w:val="20"/>
        </w:rPr>
        <w:t xml:space="preserve">M</w:t>
      </w:r>
      <w:r>
        <w:rPr>
          <w:rFonts w:ascii="Times New Roman" w:cs="Times New Roman" w:eastAsia="Times New Roman" w:hAnsi="Times New Roman"/>
          <w:sz w:val="20"/>
          <w:szCs w:val="20"/>
        </w:rPr>
        <w:t xml:space="preserve"> (Fig. 4a), reducing 576 patches to 144 or 36 would cut the circuit executions by 4× or 16×, and with a pretrained or fixed front-end only the eight quantum parameters would need shifted runs. An ablation should confirm that the quantum layer still contributes. Other extensions are further quantum layers, pooling and stronger regularisation against the Yale over-fitting.</w:t>
      </w:r>
    </w:p>
    <w:p>
      <w:pPr>
        <w:keepNext/>
        <w:spacing w:after="60" w:before="140"/>
      </w:pPr>
      <w:r>
        <w:rPr>
          <w:rFonts w:ascii="Times New Roman" w:cs="Times New Roman" w:eastAsia="Times New Roman" w:hAnsi="Times New Roman"/>
          <w:b/>
          <w:bCs/>
          <w:sz w:val="25"/>
          <w:szCs w:val="25"/>
        </w:rPr>
        <w:t xml:space="preserve">7. Work Plan and Expected Outcomes</w:t>
      </w:r>
    </w:p>
    <w:p>
      <w:pPr>
        <w:keepNext/>
        <w:spacing w:after="30" w:before="10"/>
        <w:jc w:val="center"/>
      </w:pPr>
      <w:r>
        <w:rPr>
          <w:rFonts w:ascii="Times New Roman" w:cs="Times New Roman" w:eastAsia="Times New Roman" w:hAnsi="Times New Roman"/>
          <w:b/>
          <w:bCs/>
          <w:sz w:val="18"/>
          <w:szCs w:val="18"/>
        </w:rPr>
        <w:t xml:space="preserve">Table 3.</w:t>
      </w:r>
      <w:r>
        <w:rPr>
          <w:rFonts w:ascii="Times New Roman" w:cs="Times New Roman" w:eastAsia="Times New Roman" w:hAnsi="Times New Roman"/>
          <w:sz w:val="18"/>
          <w:szCs w:val="18"/>
        </w:rPr>
        <w:t xml:space="preserve"> Proposed work plan.</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700"/>
        <w:gridCol w:w="1500"/>
        <w:gridCol w:w="7160"/>
      </w:tblGrid>
      <w:tr>
        <w:trPr>
          <w:cantSplit/>
          <w:tblHeader/>
        </w:trPr>
        <w:tc>
          <w:tcPr>
            <w:tcW w:type="dxa" w:w="700"/>
            <w:tcBorders>
              <w:top w:val="single" w:color="999999" w:sz="4"/>
              <w:left w:val="single" w:color="999999" w:sz="4"/>
              <w:bottom w:val="single" w:color="999999" w:sz="4"/>
              <w:right w:val="single" w:color="999999" w:sz="4"/>
            </w:tcBorders>
            <w:shd w:fill="E7EAF0" w:color="auto" w:val="clear"/>
            <w:tcMar>
              <w:top w:type="dxa" w:w="25"/>
              <w:left w:type="dxa" w:w="70"/>
              <w:bottom w:type="dxa" w:w="25"/>
              <w:right w:type="dxa" w:w="70"/>
            </w:tcMar>
            <w:vAlign w:val="center"/>
          </w:tcPr>
          <w:p>
            <w:pPr>
              <w:keepNext/>
              <w:spacing w:after="0"/>
              <w:jc w:val="left"/>
            </w:pPr>
            <w:r>
              <w:rPr>
                <w:rFonts w:ascii="Times New Roman" w:cs="Times New Roman" w:eastAsia="Times New Roman" w:hAnsi="Times New Roman"/>
                <w:b/>
                <w:bCs/>
                <w:sz w:val="18"/>
                <w:szCs w:val="18"/>
              </w:rPr>
              <w:t xml:space="preserve">Phase</w:t>
            </w:r>
          </w:p>
        </w:tc>
        <w:tc>
          <w:tcPr>
            <w:tcW w:type="dxa" w:w="1500"/>
            <w:tcBorders>
              <w:top w:val="single" w:color="999999" w:sz="4"/>
              <w:left w:val="single" w:color="999999" w:sz="4"/>
              <w:bottom w:val="single" w:color="999999" w:sz="4"/>
              <w:right w:val="single" w:color="999999" w:sz="4"/>
            </w:tcBorders>
            <w:shd w:fill="E7EAF0" w:color="auto" w:val="clear"/>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bCs/>
                <w:sz w:val="18"/>
                <w:szCs w:val="18"/>
              </w:rPr>
              <w:t xml:space="preserve">Period</w:t>
            </w:r>
          </w:p>
        </w:tc>
        <w:tc>
          <w:tcPr>
            <w:tcW w:type="dxa" w:w="7160"/>
            <w:tcBorders>
              <w:top w:val="single" w:color="999999" w:sz="4"/>
              <w:left w:val="single" w:color="999999" w:sz="4"/>
              <w:bottom w:val="single" w:color="999999" w:sz="4"/>
              <w:right w:val="single" w:color="999999" w:sz="4"/>
            </w:tcBorders>
            <w:shd w:fill="E7EAF0" w:color="auto" w:val="clear"/>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bCs/>
                <w:sz w:val="18"/>
                <w:szCs w:val="18"/>
              </w:rPr>
              <w:t xml:space="preserve">Planned work</w:t>
            </w:r>
          </w:p>
        </w:tc>
      </w:tr>
      <w:tr>
        <w:trPr>
          <w:cantSplit/>
          <w:tblHeader w:val="false"/>
        </w:trPr>
        <w:tc>
          <w:tcPr>
            <w:tcW w:type="dxa" w:w="7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left"/>
            </w:pPr>
            <w:r>
              <w:rPr>
                <w:rFonts w:ascii="Times New Roman" w:cs="Times New Roman" w:eastAsia="Times New Roman" w:hAnsi="Times New Roman"/>
                <w:b w:val="false"/>
                <w:bCs w:val="false"/>
                <w:sz w:val="18"/>
                <w:szCs w:val="18"/>
              </w:rPr>
              <w:t xml:space="preserve">1</w:t>
            </w:r>
          </w:p>
        </w:tc>
        <w:tc>
          <w:tcPr>
            <w:tcW w:type="dxa" w:w="15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val="false"/>
                <w:bCs w:val="false"/>
                <w:sz w:val="18"/>
                <w:szCs w:val="18"/>
              </w:rPr>
              <w:t xml:space="preserve">Oct–Nov 2026</w:t>
            </w:r>
          </w:p>
        </w:tc>
        <w:tc>
          <w:tcPr>
            <w:tcW w:type="dxa" w:w="716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val="false"/>
                <w:bCs w:val="false"/>
                <w:sz w:val="18"/>
                <w:szCs w:val="18"/>
              </w:rPr>
              <w:t xml:space="preserve">Yale over-fitting study (regularisation, split details); test loss, precision, recall and F1-score for both datasets.</w:t>
            </w:r>
          </w:p>
        </w:tc>
      </w:tr>
      <w:tr>
        <w:trPr>
          <w:cantSplit/>
          <w:tblHeader w:val="false"/>
        </w:trPr>
        <w:tc>
          <w:tcPr>
            <w:tcW w:type="dxa" w:w="7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left"/>
            </w:pPr>
            <w:r>
              <w:rPr>
                <w:rFonts w:ascii="Times New Roman" w:cs="Times New Roman" w:eastAsia="Times New Roman" w:hAnsi="Times New Roman"/>
                <w:b w:val="false"/>
                <w:bCs w:val="false"/>
                <w:sz w:val="18"/>
                <w:szCs w:val="18"/>
              </w:rPr>
              <w:t xml:space="preserve">2</w:t>
            </w:r>
          </w:p>
        </w:tc>
        <w:tc>
          <w:tcPr>
            <w:tcW w:type="dxa" w:w="15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val="false"/>
                <w:bCs w:val="false"/>
                <w:sz w:val="18"/>
                <w:szCs w:val="18"/>
              </w:rPr>
              <w:t xml:space="preserve">Nov–Dec 2026</w:t>
            </w:r>
          </w:p>
        </w:tc>
        <w:tc>
          <w:tcPr>
            <w:tcW w:type="dxa" w:w="716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val="false"/>
                <w:bCs w:val="false"/>
                <w:sz w:val="18"/>
                <w:szCs w:val="18"/>
              </w:rPr>
              <w:t xml:space="preserve">Ablations (without R</w:t>
            </w:r>
            <w:r>
              <w:rPr>
                <w:rFonts w:ascii="Times New Roman" w:cs="Times New Roman" w:eastAsia="Times New Roman" w:hAnsi="Times New Roman"/>
                <w:b w:val="false"/>
                <w:bCs w:val="false"/>
                <w:sz w:val="18"/>
                <w:szCs w:val="18"/>
                <w:vertAlign w:val="subscript"/>
              </w:rPr>
              <w:t xml:space="preserve">X</w:t>
            </w:r>
            <w:r>
              <w:rPr>
                <w:rFonts w:ascii="Times New Roman" w:cs="Times New Roman" w:eastAsia="Times New Roman" w:hAnsi="Times New Roman"/>
                <w:b w:val="false"/>
                <w:bCs w:val="false"/>
                <w:sz w:val="18"/>
                <w:szCs w:val="18"/>
              </w:rPr>
              <w:t xml:space="preserve">, without R</w:t>
            </w:r>
            <w:r>
              <w:rPr>
                <w:rFonts w:ascii="Times New Roman" w:cs="Times New Roman" w:eastAsia="Times New Roman" w:hAnsi="Times New Roman"/>
                <w:b w:val="false"/>
                <w:bCs w:val="false"/>
                <w:sz w:val="18"/>
                <w:szCs w:val="18"/>
                <w:vertAlign w:val="subscript"/>
              </w:rPr>
              <w:t xml:space="preserve">Z</w:t>
            </w:r>
            <w:r>
              <w:rPr>
                <w:rFonts w:ascii="Times New Roman" w:cs="Times New Roman" w:eastAsia="Times New Roman" w:hAnsi="Times New Roman"/>
                <w:b w:val="false"/>
                <w:bCs w:val="false"/>
                <w:sz w:val="18"/>
                <w:szCs w:val="18"/>
              </w:rPr>
              <w:t xml:space="preserve">, without entanglement, 3×3 kernel) and the single-measurement variant, ten seeds, both datasets; end-semester report.</w:t>
            </w:r>
          </w:p>
        </w:tc>
      </w:tr>
      <w:tr>
        <w:trPr>
          <w:cantSplit/>
          <w:tblHeader w:val="false"/>
        </w:trPr>
        <w:tc>
          <w:tcPr>
            <w:tcW w:type="dxa" w:w="7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left"/>
            </w:pPr>
            <w:r>
              <w:rPr>
                <w:rFonts w:ascii="Times New Roman" w:cs="Times New Roman" w:eastAsia="Times New Roman" w:hAnsi="Times New Roman"/>
                <w:b w:val="false"/>
                <w:bCs w:val="false"/>
                <w:sz w:val="18"/>
                <w:szCs w:val="18"/>
              </w:rPr>
              <w:t xml:space="preserve">3</w:t>
            </w:r>
          </w:p>
        </w:tc>
        <w:tc>
          <w:tcPr>
            <w:tcW w:type="dxa" w:w="15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val="false"/>
                <w:bCs w:val="false"/>
                <w:sz w:val="18"/>
                <w:szCs w:val="18"/>
              </w:rPr>
              <w:t xml:space="preserve">Jan–Feb 2027</w:t>
            </w:r>
          </w:p>
        </w:tc>
        <w:tc>
          <w:tcPr>
            <w:tcW w:type="dxa" w:w="716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val="false"/>
                <w:bCs w:val="false"/>
                <w:sz w:val="18"/>
                <w:szCs w:val="18"/>
              </w:rPr>
              <w:t xml:space="preserve">Finite-shot sweeps, noisy-simulator experiments (depolarising, read-out), parameter-shift training on a small subset, trained filter on a cloud backend if access allows; feature-extraction front-end.</w:t>
            </w:r>
          </w:p>
        </w:tc>
      </w:tr>
      <w:tr>
        <w:trPr>
          <w:cantSplit/>
          <w:tblHeader w:val="false"/>
        </w:trPr>
        <w:tc>
          <w:tcPr>
            <w:tcW w:type="dxa" w:w="7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val="false"/>
              <w:spacing w:after="0"/>
              <w:jc w:val="left"/>
            </w:pPr>
            <w:r>
              <w:rPr>
                <w:rFonts w:ascii="Times New Roman" w:cs="Times New Roman" w:eastAsia="Times New Roman" w:hAnsi="Times New Roman"/>
                <w:b w:val="false"/>
                <w:bCs w:val="false"/>
                <w:sz w:val="18"/>
                <w:szCs w:val="18"/>
              </w:rPr>
              <w:t xml:space="preserve">4</w:t>
            </w:r>
          </w:p>
        </w:tc>
        <w:tc>
          <w:tcPr>
            <w:tcW w:type="dxa" w:w="15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val="false"/>
              <w:spacing w:after="0"/>
              <w:jc w:val="center"/>
            </w:pPr>
            <w:r>
              <w:rPr>
                <w:rFonts w:ascii="Times New Roman" w:cs="Times New Roman" w:eastAsia="Times New Roman" w:hAnsi="Times New Roman"/>
                <w:b w:val="false"/>
                <w:bCs w:val="false"/>
                <w:sz w:val="18"/>
                <w:szCs w:val="18"/>
              </w:rPr>
              <w:t xml:space="preserve">Mar–Apr 2027</w:t>
            </w:r>
          </w:p>
        </w:tc>
        <w:tc>
          <w:tcPr>
            <w:tcW w:type="dxa" w:w="716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val="false"/>
              <w:spacing w:after="0"/>
              <w:jc w:val="center"/>
            </w:pPr>
            <w:r>
              <w:rPr>
                <w:rFonts w:ascii="Times New Roman" w:cs="Times New Roman" w:eastAsia="Times New Roman" w:hAnsi="Times New Roman"/>
                <w:b w:val="false"/>
                <w:bCs w:val="false"/>
                <w:sz w:val="18"/>
                <w:szCs w:val="18"/>
              </w:rPr>
              <w:t xml:space="preserve">Final evaluation, code documentation, final thesis, paper draft and presentation.</w:t>
            </w:r>
          </w:p>
        </w:tc>
      </w:tr>
    </w:tbl>
    <w:p>
      <w:pPr>
        <w:spacing w:after="70" w:before="70" w:line="240"/>
        <w:jc w:val="both"/>
      </w:pPr>
      <w:r>
        <w:rPr>
          <w:rFonts w:ascii="Times New Roman" w:cs="Times New Roman" w:eastAsia="Times New Roman" w:hAnsi="Times New Roman"/>
          <w:b/>
          <w:bCs/>
          <w:sz w:val="20"/>
          <w:szCs w:val="20"/>
        </w:rPr>
        <w:t xml:space="preserve">Expected outcomes.</w:t>
      </w:r>
      <w:r>
        <w:rPr>
          <w:rFonts w:ascii="Times New Roman" w:cs="Times New Roman" w:eastAsia="Times New Roman" w:hAnsi="Times New Roman"/>
          <w:sz w:val="20"/>
          <w:szCs w:val="20"/>
        </w:rPr>
        <w:t xml:space="preserve"> (1) A verified, documented MG-QCNN implementation with an analytical description of its filter. (2) A statistically sound evaluation over ten splits. (3) Ablations of the R</w:t>
      </w:r>
      <w:r>
        <w:rPr>
          <w:rFonts w:ascii="Times New Roman" w:cs="Times New Roman" w:eastAsia="Times New Roman" w:hAnsi="Times New Roman"/>
          <w:sz w:val="20"/>
          <w:szCs w:val="20"/>
          <w:vertAlign w:val="subscript"/>
        </w:rPr>
        <w:t xml:space="preserve">X</w:t>
      </w:r>
      <w:r>
        <w:rPr>
          <w:rFonts w:ascii="Times New Roman" w:cs="Times New Roman" w:eastAsia="Times New Roman" w:hAnsi="Times New Roman"/>
          <w:sz w:val="20"/>
          <w:szCs w:val="20"/>
        </w:rPr>
        <w:t xml:space="preserve"> and R</w:t>
      </w:r>
      <w:r>
        <w:rPr>
          <w:rFonts w:ascii="Times New Roman" w:cs="Times New Roman" w:eastAsia="Times New Roman" w:hAnsi="Times New Roman"/>
          <w:sz w:val="20"/>
          <w:szCs w:val="20"/>
          <w:vertAlign w:val="subscript"/>
        </w:rPr>
        <w:t xml:space="preserve">Z</w:t>
      </w:r>
      <w:r>
        <w:rPr>
          <w:rFonts w:ascii="Times New Roman" w:cs="Times New Roman" w:eastAsia="Times New Roman" w:hAnsi="Times New Roman"/>
          <w:sz w:val="20"/>
          <w:szCs w:val="20"/>
        </w:rPr>
        <w:t xml:space="preserve"> rotations, entanglement and kernel size; the reference work reports ORL mean accuracies of 95.959% (full model), 92.917% (3×3 filter), 90.333% (no R</w:t>
      </w:r>
      <w:r>
        <w:rPr>
          <w:rFonts w:ascii="Times New Roman" w:cs="Times New Roman" w:eastAsia="Times New Roman" w:hAnsi="Times New Roman"/>
          <w:sz w:val="20"/>
          <w:szCs w:val="20"/>
          <w:vertAlign w:val="subscript"/>
        </w:rPr>
        <w:t xml:space="preserve">Z</w:t>
      </w:r>
      <w:r>
        <w:rPr>
          <w:rFonts w:ascii="Times New Roman" w:cs="Times New Roman" w:eastAsia="Times New Roman" w:hAnsi="Times New Roman"/>
          <w:sz w:val="20"/>
          <w:szCs w:val="20"/>
        </w:rPr>
        <w:t xml:space="preserve">), 89.333% (no R</w:t>
      </w:r>
      <w:r>
        <w:rPr>
          <w:rFonts w:ascii="Times New Roman" w:cs="Times New Roman" w:eastAsia="Times New Roman" w:hAnsi="Times New Roman"/>
          <w:sz w:val="20"/>
          <w:szCs w:val="20"/>
          <w:vertAlign w:val="subscript"/>
        </w:rPr>
        <w:t xml:space="preserve">X</w:t>
      </w:r>
      <w:r>
        <w:rPr>
          <w:rFonts w:ascii="Times New Roman" w:cs="Times New Roman" w:eastAsia="Times New Roman" w:hAnsi="Times New Roman"/>
          <w:sz w:val="20"/>
          <w:szCs w:val="20"/>
        </w:rPr>
        <w:t xml:space="preserve">) and 88.417% (no entanglement), which will serve as verification targets. (4) A study of finite shots and hardware-like noise, and a test on a noisy or real backend, which [4] leaves open. (5) A reduced-cost design via feature extraction, and a final thesis and paper-ready report.</w:t>
      </w:r>
    </w:p>
    <w:p>
      <w:pPr>
        <w:keepNext/>
        <w:spacing w:after="60" w:before="140"/>
      </w:pPr>
      <w:r>
        <w:rPr>
          <w:rFonts w:ascii="Times New Roman" w:cs="Times New Roman" w:eastAsia="Times New Roman" w:hAnsi="Times New Roman"/>
          <w:b/>
          <w:bCs/>
          <w:sz w:val="25"/>
          <w:szCs w:val="25"/>
        </w:rPr>
        <w:t xml:space="preserve">References</w:t>
      </w:r>
    </w:p>
    <w:p>
      <w:pPr>
        <w:spacing w:after="10" w:line="220"/>
        <w:ind w:left="420" w:hanging="420"/>
        <w:jc w:val="both"/>
      </w:pPr>
      <w:r>
        <w:rPr>
          <w:rFonts w:ascii="Times New Roman" w:cs="Times New Roman" w:eastAsia="Times New Roman" w:hAnsi="Times New Roman"/>
          <w:sz w:val="16"/>
          <w:szCs w:val="16"/>
        </w:rPr>
        <w:t xml:space="preserve">[1]	M. Wang and W. Deng, “Deep face recognition: A survey,” </w:t>
      </w:r>
      <w:r>
        <w:rPr>
          <w:rFonts w:ascii="Times New Roman" w:cs="Times New Roman" w:eastAsia="Times New Roman" w:hAnsi="Times New Roman"/>
          <w:i/>
          <w:iCs/>
          <w:sz w:val="16"/>
          <w:szCs w:val="16"/>
        </w:rPr>
        <w:t xml:space="preserve">Neurocomputing</w:t>
      </w:r>
      <w:r>
        <w:rPr>
          <w:rFonts w:ascii="Times New Roman" w:cs="Times New Roman" w:eastAsia="Times New Roman" w:hAnsi="Times New Roman"/>
          <w:sz w:val="16"/>
          <w:szCs w:val="16"/>
        </w:rPr>
        <w:t xml:space="preserve">, vol. 429, pp. 215–244, Mar. 2021.</w:t>
      </w:r>
    </w:p>
    <w:p>
      <w:pPr>
        <w:spacing w:after="10" w:line="220"/>
        <w:ind w:left="420" w:hanging="420"/>
        <w:jc w:val="both"/>
      </w:pPr>
      <w:r>
        <w:rPr>
          <w:rFonts w:ascii="Times New Roman" w:cs="Times New Roman" w:eastAsia="Times New Roman" w:hAnsi="Times New Roman"/>
          <w:sz w:val="16"/>
          <w:szCs w:val="16"/>
        </w:rPr>
        <w:t xml:space="preserve">[2]	N. C. Thompson, K. Greenewald, K. Lee, and G. F. Manso, “The computational limits of deep learning,” arXiv:2007.05558, 2020.</w:t>
      </w:r>
    </w:p>
    <w:p>
      <w:pPr>
        <w:spacing w:after="10" w:line="220"/>
        <w:ind w:left="420" w:hanging="420"/>
        <w:jc w:val="both"/>
      </w:pPr>
      <w:r>
        <w:rPr>
          <w:rFonts w:ascii="Times New Roman" w:cs="Times New Roman" w:eastAsia="Times New Roman" w:hAnsi="Times New Roman"/>
          <w:sz w:val="16"/>
          <w:szCs w:val="16"/>
        </w:rPr>
        <w:t xml:space="preserve">[3]	J. Preskill, “Quantum computing in the NISQ era and beyond,” </w:t>
      </w:r>
      <w:r>
        <w:rPr>
          <w:rFonts w:ascii="Times New Roman" w:cs="Times New Roman" w:eastAsia="Times New Roman" w:hAnsi="Times New Roman"/>
          <w:i/>
          <w:iCs/>
          <w:sz w:val="16"/>
          <w:szCs w:val="16"/>
        </w:rPr>
        <w:t xml:space="preserve">Quantum</w:t>
      </w:r>
      <w:r>
        <w:rPr>
          <w:rFonts w:ascii="Times New Roman" w:cs="Times New Roman" w:eastAsia="Times New Roman" w:hAnsi="Times New Roman"/>
          <w:sz w:val="16"/>
          <w:szCs w:val="16"/>
        </w:rPr>
        <w:t xml:space="preserve">, vol. 2, p. 79, Aug. 2018.</w:t>
      </w:r>
    </w:p>
    <w:p>
      <w:pPr>
        <w:spacing w:after="10" w:line="220"/>
        <w:ind w:left="420" w:hanging="420"/>
        <w:jc w:val="both"/>
      </w:pPr>
      <w:r>
        <w:rPr>
          <w:rFonts w:ascii="Times New Roman" w:cs="Times New Roman" w:eastAsia="Times New Roman" w:hAnsi="Times New Roman"/>
          <w:sz w:val="16"/>
          <w:szCs w:val="16"/>
        </w:rPr>
        <w:t xml:space="preserve">[4]	Y. Zhu, A. Bouridane, M. E. Celebi, D. Konar, P. Angelov, Q. Ni, and R. Jiang, “Quantum face recognition with multigate quantum convolutional neural network,” </w:t>
      </w:r>
      <w:r>
        <w:rPr>
          <w:rFonts w:ascii="Times New Roman" w:cs="Times New Roman" w:eastAsia="Times New Roman" w:hAnsi="Times New Roman"/>
          <w:i/>
          <w:iCs/>
          <w:sz w:val="16"/>
          <w:szCs w:val="16"/>
        </w:rPr>
        <w:t xml:space="preserve">IEEE Trans. Artif. Intell.</w:t>
      </w:r>
      <w:r>
        <w:rPr>
          <w:rFonts w:ascii="Times New Roman" w:cs="Times New Roman" w:eastAsia="Times New Roman" w:hAnsi="Times New Roman"/>
          <w:sz w:val="16"/>
          <w:szCs w:val="16"/>
        </w:rPr>
        <w:t xml:space="preserve">, vol. 5, no. 12, pp. 6330–6341, Dec. 2024.</w:t>
      </w:r>
    </w:p>
    <w:p>
      <w:pPr>
        <w:spacing w:after="10" w:line="220"/>
        <w:ind w:left="420" w:hanging="420"/>
        <w:jc w:val="both"/>
      </w:pPr>
      <w:r>
        <w:rPr>
          <w:rFonts w:ascii="Times New Roman" w:cs="Times New Roman" w:eastAsia="Times New Roman" w:hAnsi="Times New Roman"/>
          <w:sz w:val="16"/>
          <w:szCs w:val="16"/>
        </w:rPr>
        <w:t xml:space="preserve">[5]	Y. LeCun </w:t>
      </w:r>
      <w:r>
        <w:rPr>
          <w:rFonts w:ascii="Times New Roman" w:cs="Times New Roman" w:eastAsia="Times New Roman" w:hAnsi="Times New Roman"/>
          <w:i/>
          <w:iCs/>
          <w:sz w:val="16"/>
          <w:szCs w:val="16"/>
        </w:rPr>
        <w:t xml:space="preserve">et al.</w:t>
      </w:r>
      <w:r>
        <w:rPr>
          <w:rFonts w:ascii="Times New Roman" w:cs="Times New Roman" w:eastAsia="Times New Roman" w:hAnsi="Times New Roman"/>
          <w:sz w:val="16"/>
          <w:szCs w:val="16"/>
        </w:rPr>
        <w:t xml:space="preserve">, “Backpropagation applied to handwritten zip code recognition,” </w:t>
      </w:r>
      <w:r>
        <w:rPr>
          <w:rFonts w:ascii="Times New Roman" w:cs="Times New Roman" w:eastAsia="Times New Roman" w:hAnsi="Times New Roman"/>
          <w:i/>
          <w:iCs/>
          <w:sz w:val="16"/>
          <w:szCs w:val="16"/>
        </w:rPr>
        <w:t xml:space="preserve">Neural Comput.</w:t>
      </w:r>
      <w:r>
        <w:rPr>
          <w:rFonts w:ascii="Times New Roman" w:cs="Times New Roman" w:eastAsia="Times New Roman" w:hAnsi="Times New Roman"/>
          <w:sz w:val="16"/>
          <w:szCs w:val="16"/>
        </w:rPr>
        <w:t xml:space="preserve">, vol. 1, no. 4, pp. 541–551, 1989.</w:t>
      </w:r>
    </w:p>
    <w:p>
      <w:pPr>
        <w:spacing w:after="10" w:line="220"/>
        <w:ind w:left="420" w:hanging="420"/>
        <w:jc w:val="both"/>
      </w:pPr>
      <w:r>
        <w:rPr>
          <w:rFonts w:ascii="Times New Roman" w:cs="Times New Roman" w:eastAsia="Times New Roman" w:hAnsi="Times New Roman"/>
          <w:sz w:val="16"/>
          <w:szCs w:val="16"/>
        </w:rPr>
        <w:t xml:space="preserve">[6]	Y. Taigman, M. Yang, M. Ranzato, and L. Wolf, “DeepFace: Closing the gap to human-level performance in face verification,” in </w:t>
      </w:r>
      <w:r>
        <w:rPr>
          <w:rFonts w:ascii="Times New Roman" w:cs="Times New Roman" w:eastAsia="Times New Roman" w:hAnsi="Times New Roman"/>
          <w:i/>
          <w:iCs/>
          <w:sz w:val="16"/>
          <w:szCs w:val="16"/>
        </w:rPr>
        <w:t xml:space="preserve">Proc. IEEE CVPR</w:t>
      </w:r>
      <w:r>
        <w:rPr>
          <w:rFonts w:ascii="Times New Roman" w:cs="Times New Roman" w:eastAsia="Times New Roman" w:hAnsi="Times New Roman"/>
          <w:sz w:val="16"/>
          <w:szCs w:val="16"/>
        </w:rPr>
        <w:t xml:space="preserve">, 2014, pp. 1701–1708.</w:t>
      </w:r>
    </w:p>
    <w:p>
      <w:pPr>
        <w:spacing w:after="10" w:line="220"/>
        <w:ind w:left="420" w:hanging="420"/>
        <w:jc w:val="both"/>
      </w:pPr>
      <w:r>
        <w:rPr>
          <w:rFonts w:ascii="Times New Roman" w:cs="Times New Roman" w:eastAsia="Times New Roman" w:hAnsi="Times New Roman"/>
          <w:sz w:val="16"/>
          <w:szCs w:val="16"/>
        </w:rPr>
        <w:t xml:space="preserve">[7]	M. Cerezo </w:t>
      </w:r>
      <w:r>
        <w:rPr>
          <w:rFonts w:ascii="Times New Roman" w:cs="Times New Roman" w:eastAsia="Times New Roman" w:hAnsi="Times New Roman"/>
          <w:i/>
          <w:iCs/>
          <w:sz w:val="16"/>
          <w:szCs w:val="16"/>
        </w:rPr>
        <w:t xml:space="preserve">et al.</w:t>
      </w:r>
      <w:r>
        <w:rPr>
          <w:rFonts w:ascii="Times New Roman" w:cs="Times New Roman" w:eastAsia="Times New Roman" w:hAnsi="Times New Roman"/>
          <w:sz w:val="16"/>
          <w:szCs w:val="16"/>
        </w:rPr>
        <w:t xml:space="preserve">, “Variational quantum algorithms,” </w:t>
      </w:r>
      <w:r>
        <w:rPr>
          <w:rFonts w:ascii="Times New Roman" w:cs="Times New Roman" w:eastAsia="Times New Roman" w:hAnsi="Times New Roman"/>
          <w:i/>
          <w:iCs/>
          <w:sz w:val="16"/>
          <w:szCs w:val="16"/>
        </w:rPr>
        <w:t xml:space="preserve">Nat. Rev. Phys.</w:t>
      </w:r>
      <w:r>
        <w:rPr>
          <w:rFonts w:ascii="Times New Roman" w:cs="Times New Roman" w:eastAsia="Times New Roman" w:hAnsi="Times New Roman"/>
          <w:sz w:val="16"/>
          <w:szCs w:val="16"/>
        </w:rPr>
        <w:t xml:space="preserve">, vol. 3, no. 9, pp. 625–644, 2021.</w:t>
      </w:r>
    </w:p>
    <w:p>
      <w:pPr>
        <w:spacing w:after="10" w:line="220"/>
        <w:ind w:left="420" w:hanging="420"/>
        <w:jc w:val="both"/>
      </w:pPr>
      <w:r>
        <w:rPr>
          <w:rFonts w:ascii="Times New Roman" w:cs="Times New Roman" w:eastAsia="Times New Roman" w:hAnsi="Times New Roman"/>
          <w:sz w:val="16"/>
          <w:szCs w:val="16"/>
        </w:rPr>
        <w:t xml:space="preserve">[8]	J. R. McClean, S. Boixo, V. N. Smelyanskiy, R. Babbush, and H. Neven, “Barren plateaus in quantum neural network training landscapes,” </w:t>
      </w:r>
      <w:r>
        <w:rPr>
          <w:rFonts w:ascii="Times New Roman" w:cs="Times New Roman" w:eastAsia="Times New Roman" w:hAnsi="Times New Roman"/>
          <w:i/>
          <w:iCs/>
          <w:sz w:val="16"/>
          <w:szCs w:val="16"/>
        </w:rPr>
        <w:t xml:space="preserve">Nat. Commun.</w:t>
      </w:r>
      <w:r>
        <w:rPr>
          <w:rFonts w:ascii="Times New Roman" w:cs="Times New Roman" w:eastAsia="Times New Roman" w:hAnsi="Times New Roman"/>
          <w:sz w:val="16"/>
          <w:szCs w:val="16"/>
        </w:rPr>
        <w:t xml:space="preserve">, vol. 9, Art. no. 4812, 2018.</w:t>
      </w:r>
    </w:p>
    <w:p>
      <w:pPr>
        <w:spacing w:after="10" w:line="220"/>
        <w:ind w:left="420" w:hanging="420"/>
        <w:jc w:val="both"/>
      </w:pPr>
      <w:r>
        <w:rPr>
          <w:rFonts w:ascii="Times New Roman" w:cs="Times New Roman" w:eastAsia="Times New Roman" w:hAnsi="Times New Roman"/>
          <w:sz w:val="16"/>
          <w:szCs w:val="16"/>
        </w:rPr>
        <w:t xml:space="preserve">[9]	Z. Holmes, K. Sharma, M. Cerezo, and P. J. Coles, “Connecting ansatz expressibility to gradient magnitudes and barren plateaus,” </w:t>
      </w:r>
      <w:r>
        <w:rPr>
          <w:rFonts w:ascii="Times New Roman" w:cs="Times New Roman" w:eastAsia="Times New Roman" w:hAnsi="Times New Roman"/>
          <w:i/>
          <w:iCs/>
          <w:sz w:val="16"/>
          <w:szCs w:val="16"/>
        </w:rPr>
        <w:t xml:space="preserve">PRX Quantum</w:t>
      </w:r>
      <w:r>
        <w:rPr>
          <w:rFonts w:ascii="Times New Roman" w:cs="Times New Roman" w:eastAsia="Times New Roman" w:hAnsi="Times New Roman"/>
          <w:sz w:val="16"/>
          <w:szCs w:val="16"/>
        </w:rPr>
        <w:t xml:space="preserve">, vol. 3, no. 1, Art. no. 010313, 2022.</w:t>
      </w:r>
    </w:p>
    <w:p>
      <w:pPr>
        <w:spacing w:after="10" w:line="220"/>
        <w:ind w:left="420" w:hanging="420"/>
        <w:jc w:val="both"/>
      </w:pPr>
      <w:r>
        <w:rPr>
          <w:rFonts w:ascii="Times New Roman" w:cs="Times New Roman" w:eastAsia="Times New Roman" w:hAnsi="Times New Roman"/>
          <w:sz w:val="16"/>
          <w:szCs w:val="16"/>
        </w:rPr>
        <w:t xml:space="preserve">[10]	I. Cong, S. Choi, and M. D. Lukin, “Quantum convolutional neural networks,” </w:t>
      </w:r>
      <w:r>
        <w:rPr>
          <w:rFonts w:ascii="Times New Roman" w:cs="Times New Roman" w:eastAsia="Times New Roman" w:hAnsi="Times New Roman"/>
          <w:i/>
          <w:iCs/>
          <w:sz w:val="16"/>
          <w:szCs w:val="16"/>
        </w:rPr>
        <w:t xml:space="preserve">Nat. Phys.</w:t>
      </w:r>
      <w:r>
        <w:rPr>
          <w:rFonts w:ascii="Times New Roman" w:cs="Times New Roman" w:eastAsia="Times New Roman" w:hAnsi="Times New Roman"/>
          <w:sz w:val="16"/>
          <w:szCs w:val="16"/>
        </w:rPr>
        <w:t xml:space="preserve">, vol. 15, no. 12, pp. 1273–1278, 2019.</w:t>
      </w:r>
    </w:p>
    <w:p>
      <w:pPr>
        <w:spacing w:after="10" w:line="220"/>
        <w:ind w:left="420" w:hanging="420"/>
        <w:jc w:val="both"/>
      </w:pPr>
      <w:r>
        <w:rPr>
          <w:rFonts w:ascii="Times New Roman" w:cs="Times New Roman" w:eastAsia="Times New Roman" w:hAnsi="Times New Roman"/>
          <w:sz w:val="16"/>
          <w:szCs w:val="16"/>
        </w:rPr>
        <w:t xml:space="preserve">[11]	M. Henderson, S. Shakya, S. Pradhan, and T. Cook, “Quanvolutional neural networks: Powering image recognition with quantum circuits,” </w:t>
      </w:r>
      <w:r>
        <w:rPr>
          <w:rFonts w:ascii="Times New Roman" w:cs="Times New Roman" w:eastAsia="Times New Roman" w:hAnsi="Times New Roman"/>
          <w:i/>
          <w:iCs/>
          <w:sz w:val="16"/>
          <w:szCs w:val="16"/>
        </w:rPr>
        <w:t xml:space="preserve">Quantum Mach. Intell.</w:t>
      </w:r>
      <w:r>
        <w:rPr>
          <w:rFonts w:ascii="Times New Roman" w:cs="Times New Roman" w:eastAsia="Times New Roman" w:hAnsi="Times New Roman"/>
          <w:sz w:val="16"/>
          <w:szCs w:val="16"/>
        </w:rPr>
        <w:t xml:space="preserve">, vol. 2, no. 1, 2020.</w:t>
      </w:r>
    </w:p>
    <w:p>
      <w:pPr>
        <w:spacing w:after="10" w:line="220"/>
        <w:ind w:left="420" w:hanging="420"/>
        <w:jc w:val="both"/>
      </w:pPr>
      <w:r>
        <w:rPr>
          <w:rFonts w:ascii="Times New Roman" w:cs="Times New Roman" w:eastAsia="Times New Roman" w:hAnsi="Times New Roman"/>
          <w:sz w:val="16"/>
          <w:szCs w:val="16"/>
        </w:rPr>
        <w:t xml:space="preserve">[12]	D. Mattern </w:t>
      </w:r>
      <w:r>
        <w:rPr>
          <w:rFonts w:ascii="Times New Roman" w:cs="Times New Roman" w:eastAsia="Times New Roman" w:hAnsi="Times New Roman"/>
          <w:i/>
          <w:iCs/>
          <w:sz w:val="16"/>
          <w:szCs w:val="16"/>
        </w:rPr>
        <w:t xml:space="preserve">et al.</w:t>
      </w:r>
      <w:r>
        <w:rPr>
          <w:rFonts w:ascii="Times New Roman" w:cs="Times New Roman" w:eastAsia="Times New Roman" w:hAnsi="Times New Roman"/>
          <w:sz w:val="16"/>
          <w:szCs w:val="16"/>
        </w:rPr>
        <w:t xml:space="preserve">, “Variational quanvolutional neural networks with enhanced image encoding,” arXiv:2106.07327, 2021.</w:t>
      </w:r>
    </w:p>
    <w:p>
      <w:pPr>
        <w:spacing w:after="10" w:line="220"/>
        <w:ind w:left="420" w:hanging="420"/>
        <w:jc w:val="both"/>
      </w:pPr>
      <w:r>
        <w:rPr>
          <w:rFonts w:ascii="Times New Roman" w:cs="Times New Roman" w:eastAsia="Times New Roman" w:hAnsi="Times New Roman"/>
          <w:sz w:val="16"/>
          <w:szCs w:val="16"/>
        </w:rPr>
        <w:t xml:space="preserve">[13]	S. Oh, J. Choi, and J. Kim, “A tutorial on quantum convolutional neural networks (QCNN),” in </w:t>
      </w:r>
      <w:r>
        <w:rPr>
          <w:rFonts w:ascii="Times New Roman" w:cs="Times New Roman" w:eastAsia="Times New Roman" w:hAnsi="Times New Roman"/>
          <w:i/>
          <w:iCs/>
          <w:sz w:val="16"/>
          <w:szCs w:val="16"/>
        </w:rPr>
        <w:t xml:space="preserve">Proc. ICTC</w:t>
      </w:r>
      <w:r>
        <w:rPr>
          <w:rFonts w:ascii="Times New Roman" w:cs="Times New Roman" w:eastAsia="Times New Roman" w:hAnsi="Times New Roman"/>
          <w:sz w:val="16"/>
          <w:szCs w:val="16"/>
        </w:rPr>
        <w:t xml:space="preserve">, 2020, pp. 236–239.</w:t>
      </w:r>
    </w:p>
    <w:p>
      <w:pPr>
        <w:spacing w:after="10" w:line="220"/>
        <w:ind w:left="420" w:hanging="420"/>
        <w:jc w:val="both"/>
      </w:pPr>
      <w:r>
        <w:rPr>
          <w:rFonts w:ascii="Times New Roman" w:cs="Times New Roman" w:eastAsia="Times New Roman" w:hAnsi="Times New Roman"/>
          <w:sz w:val="16"/>
          <w:szCs w:val="16"/>
        </w:rPr>
        <w:t xml:space="preserve">[14]	S. Y.-C. Chen, T.-C. Wei, C. Zhang, H. Yu, and S. Yoo, “Quantum convolutional neural networks for high energy physics data analysis,” </w:t>
      </w:r>
      <w:r>
        <w:rPr>
          <w:rFonts w:ascii="Times New Roman" w:cs="Times New Roman" w:eastAsia="Times New Roman" w:hAnsi="Times New Roman"/>
          <w:i/>
          <w:iCs/>
          <w:sz w:val="16"/>
          <w:szCs w:val="16"/>
        </w:rPr>
        <w:t xml:space="preserve">Phys. Rev. Res.</w:t>
      </w:r>
      <w:r>
        <w:rPr>
          <w:rFonts w:ascii="Times New Roman" w:cs="Times New Roman" w:eastAsia="Times New Roman" w:hAnsi="Times New Roman"/>
          <w:sz w:val="16"/>
          <w:szCs w:val="16"/>
        </w:rPr>
        <w:t xml:space="preserve">, vol. 4, no. 1, Art. no. 013231, 2022.</w:t>
      </w:r>
    </w:p>
    <w:p>
      <w:pPr>
        <w:spacing w:after="10" w:line="220"/>
        <w:ind w:left="420" w:hanging="420"/>
        <w:jc w:val="both"/>
      </w:pPr>
      <w:r>
        <w:rPr>
          <w:rFonts w:ascii="Times New Roman" w:cs="Times New Roman" w:eastAsia="Times New Roman" w:hAnsi="Times New Roman"/>
          <w:sz w:val="16"/>
          <w:szCs w:val="16"/>
        </w:rPr>
        <w:t xml:space="preserve">[15]	A. Senokosov, A. Sedykh, A. Sagingalieva, and A. Melnikov, “Quantum machine learning for image classification,” arXiv:2304.09224, 2023.</w:t>
      </w:r>
    </w:p>
    <w:p>
      <w:pPr>
        <w:spacing w:after="10" w:line="220"/>
        <w:ind w:left="420" w:hanging="420"/>
        <w:jc w:val="both"/>
      </w:pPr>
      <w:r>
        <w:rPr>
          <w:rFonts w:ascii="Times New Roman" w:cs="Times New Roman" w:eastAsia="Times New Roman" w:hAnsi="Times New Roman"/>
          <w:sz w:val="16"/>
          <w:szCs w:val="16"/>
        </w:rPr>
        <w:t xml:space="preserve">[16]	T. Hur, L. Kim, and D. K. Park, “Quantum convolutional neural network for classical data classification,” </w:t>
      </w:r>
      <w:r>
        <w:rPr>
          <w:rFonts w:ascii="Times New Roman" w:cs="Times New Roman" w:eastAsia="Times New Roman" w:hAnsi="Times New Roman"/>
          <w:i/>
          <w:iCs/>
          <w:sz w:val="16"/>
          <w:szCs w:val="16"/>
        </w:rPr>
        <w:t xml:space="preserve">Quantum Mach. Intell.</w:t>
      </w:r>
      <w:r>
        <w:rPr>
          <w:rFonts w:ascii="Times New Roman" w:cs="Times New Roman" w:eastAsia="Times New Roman" w:hAnsi="Times New Roman"/>
          <w:sz w:val="16"/>
          <w:szCs w:val="16"/>
        </w:rPr>
        <w:t xml:space="preserve">, vol. 4, no. 1, Art. no. 3, 2022.</w:t>
      </w:r>
    </w:p>
    <w:p>
      <w:pPr>
        <w:spacing w:after="10" w:line="220"/>
        <w:ind w:left="420" w:hanging="420"/>
        <w:jc w:val="both"/>
      </w:pPr>
      <w:r>
        <w:rPr>
          <w:rFonts w:ascii="Times New Roman" w:cs="Times New Roman" w:eastAsia="Times New Roman" w:hAnsi="Times New Roman"/>
          <w:sz w:val="16"/>
          <w:szCs w:val="16"/>
        </w:rPr>
        <w:t xml:space="preserve">[17]	F. S. Samaria and A. C. Harter, “Parameterisation of a stochastic model for human face identification,” in </w:t>
      </w:r>
      <w:r>
        <w:rPr>
          <w:rFonts w:ascii="Times New Roman" w:cs="Times New Roman" w:eastAsia="Times New Roman" w:hAnsi="Times New Roman"/>
          <w:i/>
          <w:iCs/>
          <w:sz w:val="16"/>
          <w:szCs w:val="16"/>
        </w:rPr>
        <w:t xml:space="preserve">Proc. IEEE Workshop Appl. Comput. Vis.</w:t>
      </w:r>
      <w:r>
        <w:rPr>
          <w:rFonts w:ascii="Times New Roman" w:cs="Times New Roman" w:eastAsia="Times New Roman" w:hAnsi="Times New Roman"/>
          <w:sz w:val="16"/>
          <w:szCs w:val="16"/>
        </w:rPr>
        <w:t xml:space="preserve">, 1994, pp. 138–142.</w:t>
      </w:r>
    </w:p>
    <w:p>
      <w:pPr>
        <w:spacing w:after="10" w:line="220"/>
        <w:ind w:left="420" w:hanging="420"/>
        <w:jc w:val="both"/>
      </w:pPr>
      <w:r>
        <w:rPr>
          <w:rFonts w:ascii="Times New Roman" w:cs="Times New Roman" w:eastAsia="Times New Roman" w:hAnsi="Times New Roman"/>
          <w:sz w:val="16"/>
          <w:szCs w:val="16"/>
        </w:rPr>
        <w:t xml:space="preserve">[18]	A. S. Georghiades, P. N. Belhumeur, and D. J. Kriegman, “From few to many: Generative models for recognition under variable pose and illumination,” in </w:t>
      </w:r>
      <w:r>
        <w:rPr>
          <w:rFonts w:ascii="Times New Roman" w:cs="Times New Roman" w:eastAsia="Times New Roman" w:hAnsi="Times New Roman"/>
          <w:i/>
          <w:iCs/>
          <w:sz w:val="16"/>
          <w:szCs w:val="16"/>
        </w:rPr>
        <w:t xml:space="preserve">Proc. IEEE Int. Conf. Autom. Face Gesture Recognit.</w:t>
      </w:r>
      <w:r>
        <w:rPr>
          <w:rFonts w:ascii="Times New Roman" w:cs="Times New Roman" w:eastAsia="Times New Roman" w:hAnsi="Times New Roman"/>
          <w:sz w:val="16"/>
          <w:szCs w:val="16"/>
        </w:rPr>
        <w:t xml:space="preserve">, 2000, pp. 277–284.</w:t>
      </w:r>
    </w:p>
    <w:p>
      <w:pPr>
        <w:spacing w:after="10" w:line="220"/>
        <w:ind w:left="420" w:hanging="420"/>
        <w:jc w:val="both"/>
      </w:pPr>
      <w:r>
        <w:rPr>
          <w:rFonts w:ascii="Times New Roman" w:cs="Times New Roman" w:eastAsia="Times New Roman" w:hAnsi="Times New Roman"/>
          <w:sz w:val="16"/>
          <w:szCs w:val="16"/>
        </w:rPr>
        <w:t xml:space="preserve">[19]	D. P. Kingma and J. Ba, “Adam: A method for stochastic optimization,” in </w:t>
      </w:r>
      <w:r>
        <w:rPr>
          <w:rFonts w:ascii="Times New Roman" w:cs="Times New Roman" w:eastAsia="Times New Roman" w:hAnsi="Times New Roman"/>
          <w:i/>
          <w:iCs/>
          <w:sz w:val="16"/>
          <w:szCs w:val="16"/>
        </w:rPr>
        <w:t xml:space="preserve">Proc. ICLR</w:t>
      </w:r>
      <w:r>
        <w:rPr>
          <w:rFonts w:ascii="Times New Roman" w:cs="Times New Roman" w:eastAsia="Times New Roman" w:hAnsi="Times New Roman"/>
          <w:sz w:val="16"/>
          <w:szCs w:val="16"/>
        </w:rPr>
        <w:t xml:space="preserve">, 2015.</w:t>
      </w:r>
    </w:p>
    <w:p>
      <w:pPr>
        <w:spacing w:after="10" w:line="220"/>
        <w:ind w:left="420" w:hanging="420"/>
        <w:jc w:val="both"/>
      </w:pPr>
      <w:r>
        <w:rPr>
          <w:rFonts w:ascii="Times New Roman" w:cs="Times New Roman" w:eastAsia="Times New Roman" w:hAnsi="Times New Roman"/>
          <w:sz w:val="16"/>
          <w:szCs w:val="16"/>
        </w:rPr>
        <w:t xml:space="preserve">[20]	V. Bergholm </w:t>
      </w:r>
      <w:r>
        <w:rPr>
          <w:rFonts w:ascii="Times New Roman" w:cs="Times New Roman" w:eastAsia="Times New Roman" w:hAnsi="Times New Roman"/>
          <w:i/>
          <w:iCs/>
          <w:sz w:val="16"/>
          <w:szCs w:val="16"/>
        </w:rPr>
        <w:t xml:space="preserve">et al.</w:t>
      </w:r>
      <w:r>
        <w:rPr>
          <w:rFonts w:ascii="Times New Roman" w:cs="Times New Roman" w:eastAsia="Times New Roman" w:hAnsi="Times New Roman"/>
          <w:sz w:val="16"/>
          <w:szCs w:val="16"/>
        </w:rPr>
        <w:t xml:space="preserve">, “PennyLane: Automatic differentiation of hybrid quantum-classical computations,” arXiv:1811.04968, 2018.</w:t>
      </w:r>
    </w:p>
    <w:p>
      <w:pPr>
        <w:spacing w:after="10" w:line="220"/>
        <w:ind w:left="420" w:hanging="420"/>
        <w:jc w:val="both"/>
      </w:pPr>
      <w:r>
        <w:rPr>
          <w:rFonts w:ascii="Times New Roman" w:cs="Times New Roman" w:eastAsia="Times New Roman" w:hAnsi="Times New Roman"/>
          <w:sz w:val="16"/>
          <w:szCs w:val="16"/>
        </w:rPr>
        <w:t xml:space="preserve">[21]	A. Paszke </w:t>
      </w:r>
      <w:r>
        <w:rPr>
          <w:rFonts w:ascii="Times New Roman" w:cs="Times New Roman" w:eastAsia="Times New Roman" w:hAnsi="Times New Roman"/>
          <w:i/>
          <w:iCs/>
          <w:sz w:val="16"/>
          <w:szCs w:val="16"/>
        </w:rPr>
        <w:t xml:space="preserve">et al.</w:t>
      </w:r>
      <w:r>
        <w:rPr>
          <w:rFonts w:ascii="Times New Roman" w:cs="Times New Roman" w:eastAsia="Times New Roman" w:hAnsi="Times New Roman"/>
          <w:sz w:val="16"/>
          <w:szCs w:val="16"/>
        </w:rPr>
        <w:t xml:space="preserve">, “PyTorch: An imperative style, high-performance deep learning library,” in </w:t>
      </w:r>
      <w:r>
        <w:rPr>
          <w:rFonts w:ascii="Times New Roman" w:cs="Times New Roman" w:eastAsia="Times New Roman" w:hAnsi="Times New Roman"/>
          <w:i/>
          <w:iCs/>
          <w:sz w:val="16"/>
          <w:szCs w:val="16"/>
        </w:rPr>
        <w:t xml:space="preserve">Proc. NeurIPS</w:t>
      </w:r>
      <w:r>
        <w:rPr>
          <w:rFonts w:ascii="Times New Roman" w:cs="Times New Roman" w:eastAsia="Times New Roman" w:hAnsi="Times New Roman"/>
          <w:sz w:val="16"/>
          <w:szCs w:val="16"/>
        </w:rPr>
        <w:t xml:space="preserve">, vol. 32, 2019, pp. 8026–8037.</w:t>
      </w:r>
    </w:p>
    <w:p>
      <w:pPr>
        <w:spacing w:after="10" w:line="220"/>
        <w:ind w:left="420" w:hanging="420"/>
        <w:jc w:val="both"/>
      </w:pPr>
      <w:r>
        <w:rPr>
          <w:rFonts w:ascii="Times New Roman" w:cs="Times New Roman" w:eastAsia="Times New Roman" w:hAnsi="Times New Roman"/>
          <w:sz w:val="16"/>
          <w:szCs w:val="16"/>
        </w:rPr>
        <w:t xml:space="preserve">[22]	K. Mitarai, M. Negoro, M. Kitagawa, and K. Fujii, “Quantum circuit learning,” </w:t>
      </w:r>
      <w:r>
        <w:rPr>
          <w:rFonts w:ascii="Times New Roman" w:cs="Times New Roman" w:eastAsia="Times New Roman" w:hAnsi="Times New Roman"/>
          <w:i/>
          <w:iCs/>
          <w:sz w:val="16"/>
          <w:szCs w:val="16"/>
        </w:rPr>
        <w:t xml:space="preserve">Phys. Rev. A</w:t>
      </w:r>
      <w:r>
        <w:rPr>
          <w:rFonts w:ascii="Times New Roman" w:cs="Times New Roman" w:eastAsia="Times New Roman" w:hAnsi="Times New Roman"/>
          <w:sz w:val="16"/>
          <w:szCs w:val="16"/>
        </w:rPr>
        <w:t xml:space="preserve">, vol. 98, no. 3, Art. no. 032309, 2018.</w:t>
      </w:r>
    </w:p>
    <w:p>
      <w:pPr>
        <w:spacing w:after="10" w:line="220"/>
        <w:ind w:left="420" w:hanging="420"/>
        <w:jc w:val="both"/>
      </w:pPr>
      <w:r>
        <w:rPr>
          <w:rFonts w:ascii="Times New Roman" w:cs="Times New Roman" w:eastAsia="Times New Roman" w:hAnsi="Times New Roman"/>
          <w:sz w:val="16"/>
          <w:szCs w:val="16"/>
        </w:rPr>
        <w:t xml:space="preserve">[23]	M. Schuld, V. Bergholm, C. Gogolin, J. Izaac, and N. Killoran, “Evaluating analytic gradients on quantum hardware,” </w:t>
      </w:r>
      <w:r>
        <w:rPr>
          <w:rFonts w:ascii="Times New Roman" w:cs="Times New Roman" w:eastAsia="Times New Roman" w:hAnsi="Times New Roman"/>
          <w:i/>
          <w:iCs/>
          <w:sz w:val="16"/>
          <w:szCs w:val="16"/>
        </w:rPr>
        <w:t xml:space="preserve">Phys. Rev. A</w:t>
      </w:r>
      <w:r>
        <w:rPr>
          <w:rFonts w:ascii="Times New Roman" w:cs="Times New Roman" w:eastAsia="Times New Roman" w:hAnsi="Times New Roman"/>
          <w:sz w:val="16"/>
          <w:szCs w:val="16"/>
        </w:rPr>
        <w:t xml:space="preserve">, vol. 99, no. 3, Art. no. 032331, 2019.</w:t>
      </w:r>
    </w:p>
    <w:sectPr>
      <w:footerReference w:type="default" r:id="rId7"/>
      <w:pgSz w:w="12240" w:h="15840" w:orient="portrait"/>
      <w:pgMar w:top="900" w:right="1300" w:bottom="9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151da39889399564fb5824f6f6bfbaf70820c399.png"/><Relationship Id="rId9" Type="http://schemas.openxmlformats.org/officeDocument/2006/relationships/image" Target="media/b507e703e4a0c08ad4b67c6e08eb082f15fbbadf.png"/><Relationship Id="rId10" Type="http://schemas.openxmlformats.org/officeDocument/2006/relationships/image" Target="media/f8695119d822242865daf881a4973d5692d16049.png"/><Relationship Id="rId11" Type="http://schemas.openxmlformats.org/officeDocument/2006/relationships/image" Target="media/3f0d2400700c7f8b40ceef0af435be0fc623bc1d.png"/><Relationship Id="rId12" Type="http://schemas.openxmlformats.org/officeDocument/2006/relationships/image" Target="media/278162ccb822acdc361578d55bd5fbaca17a0cf1.png"/><Relationship Id="rId13" Type="http://schemas.openxmlformats.org/officeDocument/2006/relationships/image" Target="media/54031f9988e34dafd5560a90912c540dff967ed1.png"/><Relationship Id="rId14" Type="http://schemas.openxmlformats.org/officeDocument/2006/relationships/image" Target="media/a6928a7623a6d9d0022a6fa6a4bf6a6d711aada0.png"/><Relationship Id="rId15" Type="http://schemas.openxmlformats.org/officeDocument/2006/relationships/image" Target="media/e78c32df7ad997c9c59bcaad448b76040a6953f3.png"/><Relationship Id="rId16" Type="http://schemas.openxmlformats.org/officeDocument/2006/relationships/image" Target="media/b00fd7d5a585e4e05e573252045d5965054ef52b.png"/><Relationship Id="rId17" Type="http://schemas.openxmlformats.org/officeDocument/2006/relationships/image" Target="media/9c74666e87b01e8a15985b1503f48922515cdff3.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MG-QCNN Mid-Semester Report</dc:title>
  <dc:creator>Project team</dc:creator>
  <cp:lastModifiedBy>Un-named</cp:lastModifiedBy>
  <cp:revision>1</cp:revision>
  <dcterms:created xsi:type="dcterms:W3CDTF">2026-10-06T16:04:33.612Z</dcterms:created>
  <dcterms:modified xsi:type="dcterms:W3CDTF">2026-10-06T16:04:33.612Z</dcterms:modified>
</cp:coreProperties>
</file>

<file path=docProps/custom.xml><?xml version="1.0" encoding="utf-8"?>
<Properties xmlns="http://schemas.openxmlformats.org/officeDocument/2006/custom-properties" xmlns:vt="http://schemas.openxmlformats.org/officeDocument/2006/docPropsVTypes"/>
</file>