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D2330"/>
          <w:sz w:val="48"/>
          <w:szCs w:val="48"/>
        </w:rPr>
        <w:t xml:space="preserve">Playwright MCP vs Playwright CLI</w:t>
      </w:r>
    </w:p>
    <w:p>
      <w:pPr>
        <w:spacing w:after="400"/>
      </w:pPr>
      <w:r>
        <w:rPr>
          <w:color w:val="2D6A4F"/>
          <w:sz w:val="28"/>
          <w:szCs w:val="28"/>
        </w:rPr>
        <w:t xml:space="preserve">Evidence pack: session screenshots from Claude Code</w:t>
      </w:r>
    </w:p>
    <w:p>
      <w:pPr>
        <w:spacing w:after="120"/>
      </w:pPr>
      <w:r>
        <w:rPr>
          <w:b/>
          <w:bCs/>
          <w:sz w:val="21"/>
          <w:szCs w:val="21"/>
        </w:rPr>
        <w:t xml:space="preserve">Author: </w:t>
      </w:r>
      <w:r>
        <w:rPr>
          <w:sz w:val="21"/>
          <w:szCs w:val="21"/>
        </w:rPr>
        <w:t xml:space="preserve">Bikash Dehury, Test Automation Specialist</w:t>
      </w:r>
    </w:p>
    <w:p>
      <w:pPr>
        <w:spacing w:after="120"/>
      </w:pPr>
      <w:r>
        <w:rPr>
          <w:b/>
          <w:bCs/>
          <w:sz w:val="21"/>
          <w:szCs w:val="21"/>
        </w:rPr>
        <w:t xml:space="preserve">Date: </w:t>
      </w:r>
      <w:r>
        <w:rPr>
          <w:sz w:val="21"/>
          <w:szCs w:val="21"/>
        </w:rPr>
        <w:t xml:space="preserve">September 2026</w:t>
      </w:r>
    </w:p>
    <w:p>
      <w:pPr>
        <w:spacing w:after="120"/>
      </w:pPr>
      <w:r>
        <w:rPr>
          <w:b/>
          <w:bCs/>
          <w:sz w:val="21"/>
          <w:szCs w:val="21"/>
        </w:rPr>
        <w:t xml:space="preserve">Repository: </w:t>
      </w:r>
      <w:r>
        <w:rPr>
          <w:sz w:val="21"/>
          <w:szCs w:val="21"/>
        </w:rPr>
        <w:t xml:space="preserve">github.com/bikashdehury919/playwright-mcp-vs-cli</w:t>
      </w:r>
    </w:p>
    <w:p>
      <w:pPr>
        <w:spacing w:after="120"/>
      </w:pPr>
    </w:p>
    <w:p>
      <w:pPr>
        <w:spacing w:after="120"/>
      </w:pPr>
      <w:r>
        <w:rPr>
          <w:sz w:val="21"/>
          <w:szCs w:val="21"/>
        </w:rPr>
        <w:t xml:space="preserve">This document collects the raw screenshots behind every number in the README and the LinkedIn post. Each scenario shows the /context output (what was in the model's context at the end of the session) and the /cost output (tokens, requests, cost and time) for both labs, followed by the quality evidence.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Setup</w:t>
            </w:r>
          </w:p>
        </w:tc>
        <w:tc>
          <w:tcPr>
            <w:tcW w:type="dxa" w:w="6426"/>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Value</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Agent</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Claude Code 2.1.281, model Claude Opus 5.5 (1M context)</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Playwright MCP</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@playwright/mcp 0.0.82, project scope, --isolated</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Playwright CLI</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@playwright/cli 0.1.21 with its skill installed in the lab</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App under test</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https://www.saucedemo.com</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Test runner</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@playwright/test, Chromium only</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Machine</w:t>
            </w:r>
          </w:p>
        </w:tc>
        <w:tc>
          <w:tcPr>
            <w:tcW w:type="dxa" w:w="6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Windows 11, VS Code, PowerShell</w:t>
            </w:r>
          </w:p>
        </w:tc>
      </w:tr>
    </w:tbl>
    <w:p>
      <w:r>
        <w:br w:type="page"/>
      </w:r>
    </w:p>
    <w:p>
      <w:pPr>
        <w:pStyle w:val="Heading1"/>
        <w:spacing w:after="160" w:before="240"/>
      </w:pPr>
      <w:r>
        <w:t xml:space="preserve">Summary of results</w:t>
      </w:r>
    </w:p>
    <w:p>
      <w:pPr>
        <w:spacing w:after="120"/>
      </w:pPr>
      <w:r>
        <w:rPr>
          <w:sz w:val="21"/>
          <w:szCs w:val="21"/>
        </w:rPr>
        <w:t xml:space="preserve">Winning values are shaded. "Total input" is input + cache read + cache write from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13"/>
        <w:gridCol w:w="1813"/>
      </w:tblGrid>
      <w:tr>
        <w:trPr>
          <w:tblHeader/>
        </w:trPr>
        <w:tc>
          <w:tcPr>
            <w:tcW w:type="dxa" w:w="26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Scenario</w:t>
            </w:r>
          </w:p>
        </w:tc>
        <w:tc>
          <w:tcPr>
            <w:tcW w:type="dxa" w:w="28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Metric</w:t>
            </w:r>
          </w:p>
        </w:tc>
        <w:tc>
          <w:tcPr>
            <w:tcW w:type="dxa" w:w="18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MCP</w:t>
            </w:r>
          </w:p>
        </w:tc>
        <w:tc>
          <w:tcPr>
            <w:tcW w:type="dxa" w:w="18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CLI</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S1 Self-heal</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$0.299</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$0.332</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8</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10</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Total input</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~420k</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~512k</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API time</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35s</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50s</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S2 Exploratory</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$0.99</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$0.91</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35</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28</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Total input</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~2.04M</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~1.64M</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Findings</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8</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14</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S3 Suite generation</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$0.74</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$0.62</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18</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12</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Total input</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~927k</w:t>
            </w:r>
          </w:p>
        </w:tc>
        <w:tc>
          <w:tcPr>
            <w:tcW w:type="dxa" w:w="18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~727k</w:t>
            </w:r>
          </w:p>
        </w:tc>
      </w:tr>
      <w:tr>
        <w:trPr>
          <w:tblHeader w:val="false"/>
        </w:trP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Tests passing (x3 repeats)</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15/15</w:t>
            </w:r>
          </w:p>
        </w:tc>
        <w:tc>
          <w:tcPr>
            <w:tcW w:type="dxa" w:w="18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15/15</w:t>
            </w:r>
          </w:p>
        </w:tc>
      </w:tr>
    </w:tbl>
    <w:p>
      <w:pPr>
        <w:spacing w:after="120"/>
      </w:pPr>
    </w:p>
    <w:p>
      <w:pPr>
        <w:spacing w:after="120"/>
      </w:pPr>
      <w:r>
        <w:rPr>
          <w:sz w:val="21"/>
          <w:szCs w:val="21"/>
        </w:rPr>
        <w:t xml:space="preserve">Overall token gap between the two interfaces: 8 to 22%. Claude Code loaded the Playwright MCP tools on demand (1.2k to 3.2k tokens in context), and 94 to 98% of input tokens were served from the prompt cache in every run.</w:t>
      </w:r>
    </w:p>
    <w:p>
      <w:r>
        <w:br w:type="page"/>
      </w:r>
    </w:p>
    <w:p>
      <w:pPr>
        <w:pStyle w:val="Heading1"/>
        <w:spacing w:after="160" w:before="240"/>
      </w:pPr>
      <w:r>
        <w:t xml:space="preserve">Scenario 1: Self-healing broken locators</w:t>
      </w:r>
    </w:p>
    <w:p>
      <w:pPr>
        <w:spacing w:after="120"/>
      </w:pPr>
      <w:r>
        <w:rPr>
          <w:sz w:val="21"/>
          <w:szCs w:val="21"/>
        </w:rPr>
        <w:t xml:space="preserve">Task: the spec tests/s1-login.spec.ts has two broken locators (#login-btn and [data-test="add-to-cart-backpack"]). The agent must inspect the live page and fix only those locators.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Metric</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MCP</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CLI</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8</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10</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read</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398.6k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491.0k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write</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20.8k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20.8k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Output</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2.6k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3.2k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$0.299</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$0.332</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API time</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35s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50s</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Messages in context at end</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19.4k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20.7k</w:t>
            </w:r>
          </w:p>
        </w:tc>
      </w:tr>
    </w:tbl>
    <w:p>
      <w:pPr>
        <w:pStyle w:val="Heading2"/>
        <w:spacing w:after="120" w:before="200"/>
      </w:pPr>
      <w:r>
        <w:t xml:space="preserve">MCP lab</w:t>
      </w:r>
    </w:p>
    <w:p>
      <w:pPr>
        <w:spacing w:after="60" w:before="120"/>
        <w:jc w:val="center"/>
      </w:pPr>
      <w:r>
        <w:drawing>
          <wp:inline distT="0" distB="0" distL="0" distR="0">
            <wp:extent cx="5715000" cy="1885950"/>
            <wp:effectExtent t="0" r="0" b="0" l="0"/>
            <wp:docPr id="1" name="fig1" descr="S1, MCP: agent summary. Only the two broken locators were changed, both tests pass." title="S1, MCP: agent summary. Only the two broken locators were changed, both test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85950"/>
                    </a:xfrm>
                    <a:prstGeom prst="rect">
                      <a:avLst/>
                    </a:prstGeom>
                  </pic:spPr>
                </pic:pic>
              </a:graphicData>
            </a:graphic>
          </wp:inline>
        </w:drawing>
      </w:r>
    </w:p>
    <w:p>
      <w:pPr>
        <w:spacing w:after="240"/>
        <w:jc w:val="center"/>
      </w:pPr>
      <w:r>
        <w:rPr>
          <w:i/>
          <w:iCs/>
          <w:color w:val="555555"/>
          <w:sz w:val="18"/>
          <w:szCs w:val="18"/>
        </w:rPr>
        <w:t xml:space="preserve">Figure 1. S1, MCP: agent summary. Only the two broken locators were changed, both tests pass.</w:t>
      </w:r>
    </w:p>
    <w:p>
      <w:pPr>
        <w:spacing w:after="60" w:before="120"/>
        <w:jc w:val="center"/>
      </w:pPr>
      <w:r>
        <w:drawing>
          <wp:inline distT="0" distB="0" distL="0" distR="0">
            <wp:extent cx="5715000" cy="2047875"/>
            <wp:effectExtent t="0" r="0" b="0" l="0"/>
            <wp:docPr id="1" name="fig2" descr="S1, MCP: /context at the end. Playwright MCP tools loaded on demand, 1.2k tokens." title="S1, MCP: /context at the end. Playwright MCP tools loaded on demand, 1.2k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47875"/>
                    </a:xfrm>
                    <a:prstGeom prst="rect">
                      <a:avLst/>
                    </a:prstGeom>
                  </pic:spPr>
                </pic:pic>
              </a:graphicData>
            </a:graphic>
          </wp:inline>
        </w:drawing>
      </w:r>
    </w:p>
    <w:p>
      <w:pPr>
        <w:spacing w:after="240"/>
        <w:jc w:val="center"/>
      </w:pPr>
      <w:r>
        <w:rPr>
          <w:i/>
          <w:iCs/>
          <w:color w:val="555555"/>
          <w:sz w:val="18"/>
          <w:szCs w:val="18"/>
        </w:rPr>
        <w:t xml:space="preserve">Figure 2. S1, MCP: /context at the end. Playwright MCP tools loaded on demand, 1.2k tokens.</w:t>
      </w:r>
    </w:p>
    <w:p>
      <w:pPr>
        <w:spacing w:after="60" w:before="120"/>
        <w:jc w:val="center"/>
      </w:pPr>
      <w:r>
        <w:drawing>
          <wp:inline distT="0" distB="0" distL="0" distR="0">
            <wp:extent cx="5715000" cy="1314450"/>
            <wp:effectExtent t="0" r="0" b="0" l="0"/>
            <wp:docPr id="1" name="fig3" descr="S1, MCP: /cost. 8 requests, $0.2993." title="S1, MCP: /cost. 8 requests, $0.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14450"/>
                    </a:xfrm>
                    <a:prstGeom prst="rect">
                      <a:avLst/>
                    </a:prstGeom>
                  </pic:spPr>
                </pic:pic>
              </a:graphicData>
            </a:graphic>
          </wp:inline>
        </w:drawing>
      </w:r>
    </w:p>
    <w:p>
      <w:pPr>
        <w:spacing w:after="240"/>
        <w:jc w:val="center"/>
      </w:pPr>
      <w:r>
        <w:rPr>
          <w:i/>
          <w:iCs/>
          <w:color w:val="555555"/>
          <w:sz w:val="18"/>
          <w:szCs w:val="18"/>
        </w:rPr>
        <w:t xml:space="preserve">Figure 3. S1, MCP: /cost. 8 requests, $0.2993.</w:t>
      </w:r>
    </w:p>
    <w:p>
      <w:pPr>
        <w:pStyle w:val="Heading2"/>
        <w:spacing w:after="120" w:before="200"/>
      </w:pPr>
      <w:r>
        <w:t xml:space="preserve">CLI lab</w:t>
      </w:r>
    </w:p>
    <w:p>
      <w:pPr>
        <w:spacing w:after="60" w:before="120"/>
        <w:jc w:val="center"/>
      </w:pPr>
      <w:r>
        <w:drawing>
          <wp:inline distT="0" distB="0" distL="0" distR="0">
            <wp:extent cx="5715000" cy="2457450"/>
            <wp:effectExtent t="0" r="0" b="0" l="0"/>
            <wp:docPr id="1" name="fig4" descr="S1, CLI: /context at the end. The 10 global MCP tools were never loaded (0 tokens)." title="S1, CLI: /context at the end. The 10 global MCP tools were never loaded (0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57450"/>
                    </a:xfrm>
                    <a:prstGeom prst="rect">
                      <a:avLst/>
                    </a:prstGeom>
                  </pic:spPr>
                </pic:pic>
              </a:graphicData>
            </a:graphic>
          </wp:inline>
        </w:drawing>
      </w:r>
    </w:p>
    <w:p>
      <w:pPr>
        <w:spacing w:after="240"/>
        <w:jc w:val="center"/>
      </w:pPr>
      <w:r>
        <w:rPr>
          <w:i/>
          <w:iCs/>
          <w:color w:val="555555"/>
          <w:sz w:val="18"/>
          <w:szCs w:val="18"/>
        </w:rPr>
        <w:t xml:space="preserve">Figure 4. S1, CLI: /context at the end. The 10 global MCP tools were never loaded (0 tokens).</w:t>
      </w:r>
    </w:p>
    <w:p>
      <w:pPr>
        <w:spacing w:after="60" w:before="120"/>
        <w:jc w:val="center"/>
      </w:pPr>
      <w:r>
        <w:drawing>
          <wp:inline distT="0" distB="0" distL="0" distR="0">
            <wp:extent cx="5715000" cy="1704975"/>
            <wp:effectExtent t="0" r="0" b="0" l="0"/>
            <wp:docPr id="1" name="fig5" descr="S1, CLI: /cost. 10 requests, $0.3321." title="S1, CLI: /cost. 10 requests, $0.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04975"/>
                    </a:xfrm>
                    <a:prstGeom prst="rect">
                      <a:avLst/>
                    </a:prstGeom>
                  </pic:spPr>
                </pic:pic>
              </a:graphicData>
            </a:graphic>
          </wp:inline>
        </w:drawing>
      </w:r>
    </w:p>
    <w:p>
      <w:pPr>
        <w:spacing w:after="240"/>
        <w:jc w:val="center"/>
      </w:pPr>
      <w:r>
        <w:rPr>
          <w:i/>
          <w:iCs/>
          <w:color w:val="555555"/>
          <w:sz w:val="18"/>
          <w:szCs w:val="18"/>
        </w:rPr>
        <w:t xml:space="preserve">Figure 5. S1, CLI: /cost. 10 requests, $0.3321.</w:t>
      </w:r>
    </w:p>
    <w:p>
      <w:r>
        <w:br w:type="page"/>
      </w:r>
    </w:p>
    <w:p>
      <w:pPr>
        <w:pStyle w:val="Heading1"/>
        <w:spacing w:after="160" w:before="240"/>
      </w:pPr>
      <w:r>
        <w:t xml:space="preserve">Scenario 2: Exploratory testing</w:t>
      </w:r>
    </w:p>
    <w:p>
      <w:pPr>
        <w:spacing w:after="120"/>
      </w:pPr>
      <w:r>
        <w:rPr>
          <w:sz w:val="21"/>
          <w:szCs w:val="21"/>
        </w:rPr>
        <w:t xml:space="preserve">Task: log in as problem_user, explore the buying journey and report every bug with on-page evidence. No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Metric</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MCP</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CLI</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35</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28</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read</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2.0M</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1.6M</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write</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44.1k</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40.2k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Output</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11.8k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12.9k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$0.99</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$0.91</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API time</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2m 38s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2m 45s</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Messages in context at end</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40.2k</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40.1k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Findings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8</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14</w:t>
            </w:r>
          </w:p>
        </w:tc>
      </w:tr>
    </w:tbl>
    <w:p>
      <w:pPr>
        <w:spacing w:after="120"/>
      </w:pPr>
      <w:r>
        <w:rPr>
          <w:sz w:val="21"/>
          <w:szCs w:val="21"/>
        </w:rPr>
        <w:t xml:space="preserve">The CLI report contains all 8 MCP findings plus 6 more. Three of the extra findings were reached by opening the checkout overview by URL and setting the cart through localStorage, because the last-name bug blocks a real customer; two are in the burger menu, outside the charter. Both reports are in results/s2-mcp and results/s2-cli.</w:t>
      </w:r>
    </w:p>
    <w:p>
      <w:pPr>
        <w:pStyle w:val="Heading2"/>
        <w:spacing w:after="120" w:before="200"/>
      </w:pPr>
      <w:r>
        <w:t xml:space="preserve">MCP lab</w:t>
      </w:r>
    </w:p>
    <w:p>
      <w:pPr>
        <w:spacing w:after="60" w:before="120"/>
        <w:jc w:val="center"/>
      </w:pPr>
      <w:r>
        <w:drawing>
          <wp:inline distT="0" distB="0" distL="0" distR="0">
            <wp:extent cx="5715000" cy="2647950"/>
            <wp:effectExtent t="0" r="0" b="0" l="0"/>
            <wp:docPr id="1" name="fig6" descr="S2, MCP: /context at the end. More MCP tools loaded on demand (3.2k tokens)." title="S2, MCP: /context at the end. More MCP tools loaded on demand (3.2k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55555"/>
          <w:sz w:val="18"/>
          <w:szCs w:val="18"/>
        </w:rPr>
        <w:t xml:space="preserve">Figure 6. S2, MCP: /context at the end. More MCP tools loaded on demand (3.2k tokens).</w:t>
      </w:r>
    </w:p>
    <w:p>
      <w:pPr>
        <w:spacing w:after="60" w:before="120"/>
        <w:jc w:val="center"/>
      </w:pPr>
      <w:r>
        <w:drawing>
          <wp:inline distT="0" distB="0" distL="0" distR="0">
            <wp:extent cx="5715000" cy="2457450"/>
            <wp:effectExtent t="0" r="0" b="0" l="0"/>
            <wp:docPr id="1" name="fig7" descr="S2, MCP: /cost. 35 requests, $0.99." title="S2, MCP: /cost. 35 requests, $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57450"/>
                    </a:xfrm>
                    <a:prstGeom prst="rect">
                      <a:avLst/>
                    </a:prstGeom>
                  </pic:spPr>
                </pic:pic>
              </a:graphicData>
            </a:graphic>
          </wp:inline>
        </w:drawing>
      </w:r>
    </w:p>
    <w:p>
      <w:pPr>
        <w:spacing w:after="240"/>
        <w:jc w:val="center"/>
      </w:pPr>
      <w:r>
        <w:rPr>
          <w:i/>
          <w:iCs/>
          <w:color w:val="555555"/>
          <w:sz w:val="18"/>
          <w:szCs w:val="18"/>
        </w:rPr>
        <w:t xml:space="preserve">Figure 7. S2, MCP: /cost. 35 requests, $0.99.</w:t>
      </w:r>
    </w:p>
    <w:p>
      <w:pPr>
        <w:pStyle w:val="Heading2"/>
        <w:spacing w:after="120" w:before="200"/>
      </w:pPr>
      <w:r>
        <w:t xml:space="preserve">CLI lab</w:t>
      </w:r>
    </w:p>
    <w:p>
      <w:pPr>
        <w:spacing w:after="60" w:before="120"/>
        <w:jc w:val="center"/>
      </w:pPr>
      <w:r>
        <w:drawing>
          <wp:inline distT="0" distB="0" distL="0" distR="0">
            <wp:extent cx="5715000" cy="2162175"/>
            <wp:effectExtent t="0" r="0" b="0" l="0"/>
            <wp:docPr id="1" name="fig8" descr="S2, CLI: /context at the end. Claude Code notes that file reads (mainly page snapshots) used 174.1k tokens over the session." title="S2, CLI: /context at the end. Claude Code notes that file reads (mainly page snapshots) used 174.1k tokens over th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62175"/>
                    </a:xfrm>
                    <a:prstGeom prst="rect">
                      <a:avLst/>
                    </a:prstGeom>
                  </pic:spPr>
                </pic:pic>
              </a:graphicData>
            </a:graphic>
          </wp:inline>
        </w:drawing>
      </w:r>
    </w:p>
    <w:p>
      <w:pPr>
        <w:spacing w:after="240"/>
        <w:jc w:val="center"/>
      </w:pPr>
      <w:r>
        <w:rPr>
          <w:i/>
          <w:iCs/>
          <w:color w:val="555555"/>
          <w:sz w:val="18"/>
          <w:szCs w:val="18"/>
        </w:rPr>
        <w:t xml:space="preserve">Figure 8. S2, CLI: /context at the end. Claude Code notes that file reads (mainly page snapshots) used 174.1k tokens over the session.</w:t>
      </w:r>
    </w:p>
    <w:p>
      <w:pPr>
        <w:spacing w:after="60" w:before="120"/>
        <w:jc w:val="center"/>
      </w:pPr>
      <w:r>
        <w:drawing>
          <wp:inline distT="0" distB="0" distL="0" distR="0">
            <wp:extent cx="5715000" cy="2381250"/>
            <wp:effectExtent t="0" r="0" b="0" l="0"/>
            <wp:docPr id="1" name="fig9" descr="S2, CLI: /cost. 28 requests, $0.91." title="S2, CLI: /cost. 28 requests, $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81250"/>
                    </a:xfrm>
                    <a:prstGeom prst="rect">
                      <a:avLst/>
                    </a:prstGeom>
                  </pic:spPr>
                </pic:pic>
              </a:graphicData>
            </a:graphic>
          </wp:inline>
        </w:drawing>
      </w:r>
    </w:p>
    <w:p>
      <w:pPr>
        <w:spacing w:after="240"/>
        <w:jc w:val="center"/>
      </w:pPr>
      <w:r>
        <w:rPr>
          <w:i/>
          <w:iCs/>
          <w:color w:val="555555"/>
          <w:sz w:val="18"/>
          <w:szCs w:val="18"/>
        </w:rPr>
        <w:t xml:space="preserve">Figure 9. S2, CLI: /cost. 28 requests, $0.91.</w:t>
      </w:r>
    </w:p>
    <w:p>
      <w:r>
        <w:br w:type="page"/>
      </w:r>
    </w:p>
    <w:p>
      <w:pPr>
        <w:pStyle w:val="Heading1"/>
        <w:spacing w:after="160" w:before="240"/>
      </w:pPr>
      <w:r>
        <w:t xml:space="preserve">Scenario 3: Generating a regression suite</w:t>
      </w:r>
    </w:p>
    <w:p>
      <w:pPr>
        <w:spacing w:after="120"/>
      </w:pPr>
      <w:r>
        <w:rPr>
          <w:sz w:val="21"/>
          <w:szCs w:val="21"/>
        </w:rPr>
        <w:t xml:space="preserve">Task: write five tests (login, locked-out user, add to cart, remove from cart, checkout) with a page-object pattern in tests/s3, and keep going until they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Metric</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MCP</w:t>
            </w:r>
          </w:p>
        </w:tc>
        <w:tc>
          <w:tcPr>
            <w:tcW w:type="dxa" w:w="3013"/>
            <w:tcBorders>
              <w:top w:val="single" w:color="C9CED6" w:sz="4"/>
              <w:left w:val="single" w:color="C9CED6" w:sz="4"/>
              <w:bottom w:val="single" w:color="C9CED6" w:sz="4"/>
              <w:right w:val="single" w:color="C9CED6" w:sz="4"/>
            </w:tcBorders>
            <w:shd w:fill="E4ECE7" w:color="auto" w:val="clear"/>
            <w:tcMar>
              <w:top w:type="dxa" w:w="60"/>
              <w:left w:type="dxa" w:w="100"/>
              <w:bottom w:type="dxa" w:w="60"/>
              <w:right w:type="dxa" w:w="100"/>
            </w:tcMar>
          </w:tcPr>
          <w:p>
            <w:r>
              <w:rPr>
                <w:b/>
                <w:bCs/>
                <w:sz w:val="19"/>
                <w:szCs w:val="19"/>
              </w:rPr>
              <w:t xml:space="preserve">CLI</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Requests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18</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12</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read</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892.1k</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694.2k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Cache write</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34.8k</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31.7k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Output</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14.2k</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11.4k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Cost</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$0.74</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$0.62</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API time</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2m 8s</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1m 49s</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Context at end</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~65.3k</w:t>
            </w:r>
          </w:p>
        </w:tc>
        <w:tc>
          <w:tcPr>
            <w:tcW w:type="dxa" w:w="3013"/>
            <w:tcBorders>
              <w:top w:val="single" w:color="C9CED6" w:sz="4"/>
              <w:left w:val="single" w:color="C9CED6" w:sz="4"/>
              <w:bottom w:val="single" w:color="C9CED6" w:sz="4"/>
              <w:right w:val="single" w:color="C9CED6" w:sz="4"/>
            </w:tcBorders>
            <w:shd w:fill="F1F7F3" w:color="auto" w:val="clear"/>
            <w:tcMar>
              <w:top w:type="dxa" w:w="60"/>
              <w:left w:type="dxa" w:w="100"/>
              <w:bottom w:type="dxa" w:w="60"/>
              <w:right w:type="dxa" w:w="100"/>
            </w:tcMar>
          </w:tcPr>
          <w:p>
            <w:r>
              <w:rPr>
                <w:b/>
                <w:bCs/>
                <w:sz w:val="19"/>
                <w:szCs w:val="19"/>
              </w:rPr>
              <w:t xml:space="preserve">61.5k</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Tests passing (--repeat-each=3)</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15/15</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15/15</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Locators only in page objects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Yes</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Yes</w:t>
            </w:r>
          </w:p>
        </w:tc>
      </w:tr>
      <w:tr>
        <w:trPr>
          <w:tblHeader w:val="false"/>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waitForTimeout / test.skip</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None</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None</w:t>
            </w:r>
          </w:p>
        </w:tc>
      </w:tr>
    </w:tbl>
    <w:p>
      <w:pPr>
        <w:pStyle w:val="Heading2"/>
        <w:spacing w:after="120" w:before="200"/>
      </w:pPr>
      <w:r>
        <w:t xml:space="preserve">MCP lab</w:t>
      </w:r>
    </w:p>
    <w:p>
      <w:pPr>
        <w:spacing w:after="60" w:before="120"/>
        <w:jc w:val="center"/>
      </w:pPr>
      <w:r>
        <w:drawing>
          <wp:inline distT="0" distB="0" distL="0" distR="0">
            <wp:extent cx="5715000" cy="2895600"/>
            <wp:effectExtent t="0" r="0" b="0" l="0"/>
            <wp:docPr id="1" name="fig10" descr="S3, MCP: /context at the end." title="S3, MCP: /context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i/>
          <w:iCs/>
          <w:color w:val="555555"/>
          <w:sz w:val="18"/>
          <w:szCs w:val="18"/>
        </w:rPr>
        <w:t xml:space="preserve">Figure 10. S3, MCP: /context at the end.</w:t>
      </w:r>
    </w:p>
    <w:p>
      <w:pPr>
        <w:spacing w:after="60" w:before="120"/>
        <w:jc w:val="center"/>
      </w:pPr>
      <w:r>
        <w:drawing>
          <wp:inline distT="0" distB="0" distL="0" distR="0">
            <wp:extent cx="5715000" cy="2419350"/>
            <wp:effectExtent t="0" r="0" b="0" l="0"/>
            <wp:docPr id="1" name="fig11" descr="S3, MCP: /cost. 18 requests, $0.74." title="S3, MCP: /cost. 18 requests, $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19350"/>
                    </a:xfrm>
                    <a:prstGeom prst="rect">
                      <a:avLst/>
                    </a:prstGeom>
                  </pic:spPr>
                </pic:pic>
              </a:graphicData>
            </a:graphic>
          </wp:inline>
        </w:drawing>
      </w:r>
    </w:p>
    <w:p>
      <w:pPr>
        <w:spacing w:after="240"/>
        <w:jc w:val="center"/>
      </w:pPr>
      <w:r>
        <w:rPr>
          <w:i/>
          <w:iCs/>
          <w:color w:val="555555"/>
          <w:sz w:val="18"/>
          <w:szCs w:val="18"/>
        </w:rPr>
        <w:t xml:space="preserve">Figure 11. S3, MCP: /cost. 18 requests, $0.74.</w:t>
      </w:r>
    </w:p>
    <w:p>
      <w:pPr>
        <w:spacing w:after="60" w:before="120"/>
        <w:jc w:val="center"/>
      </w:pPr>
      <w:r>
        <w:drawing>
          <wp:inline distT="0" distB="0" distL="0" distR="0">
            <wp:extent cx="5715000" cy="2114550"/>
            <wp:effectExtent t="0" r="0" b="0" l="0"/>
            <wp:docPr id="1" name="fig12" descr="S3, MCP: npx playwright test s3 --repeat-each=3. 15 passed." title="S3, MCP: npx playwright test s3 --repeat-each=3. 15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14550"/>
                    </a:xfrm>
                    <a:prstGeom prst="rect">
                      <a:avLst/>
                    </a:prstGeom>
                  </pic:spPr>
                </pic:pic>
              </a:graphicData>
            </a:graphic>
          </wp:inline>
        </w:drawing>
      </w:r>
    </w:p>
    <w:p>
      <w:pPr>
        <w:spacing w:after="240"/>
        <w:jc w:val="center"/>
      </w:pPr>
      <w:r>
        <w:rPr>
          <w:i/>
          <w:iCs/>
          <w:color w:val="555555"/>
          <w:sz w:val="18"/>
          <w:szCs w:val="18"/>
        </w:rPr>
        <w:t xml:space="preserve">Figure 12. S3, MCP: npx playwright test s3 --repeat-each=3. 15 passed.</w:t>
      </w:r>
    </w:p>
    <w:p>
      <w:pPr>
        <w:pStyle w:val="Heading2"/>
        <w:spacing w:after="120" w:before="200"/>
      </w:pPr>
      <w:r>
        <w:t xml:space="preserve">CLI lab</w:t>
      </w:r>
    </w:p>
    <w:p>
      <w:pPr>
        <w:spacing w:after="60" w:before="120"/>
        <w:jc w:val="center"/>
      </w:pPr>
      <w:r>
        <w:drawing>
          <wp:inline distT="0" distB="0" distL="0" distR="0">
            <wp:extent cx="5715000" cy="2676525"/>
            <wp:effectExtent t="0" r="0" b="0" l="0"/>
            <wp:docPr id="1" name="fig13" descr="S3, CLI: /context at the end. 61.5k of 1M tokens." title="S3, CLI: /context at the end. 61.5k of 1M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76525"/>
                    </a:xfrm>
                    <a:prstGeom prst="rect">
                      <a:avLst/>
                    </a:prstGeom>
                  </pic:spPr>
                </pic:pic>
              </a:graphicData>
            </a:graphic>
          </wp:inline>
        </w:drawing>
      </w:r>
    </w:p>
    <w:p>
      <w:pPr>
        <w:spacing w:after="240"/>
        <w:jc w:val="center"/>
      </w:pPr>
      <w:r>
        <w:rPr>
          <w:i/>
          <w:iCs/>
          <w:color w:val="555555"/>
          <w:sz w:val="18"/>
          <w:szCs w:val="18"/>
        </w:rPr>
        <w:t xml:space="preserve">Figure 13. S3, CLI: /context at the end. 61.5k of 1M tokens.</w:t>
      </w:r>
    </w:p>
    <w:p>
      <w:pPr>
        <w:spacing w:after="60" w:before="120"/>
        <w:jc w:val="center"/>
      </w:pPr>
      <w:r>
        <w:drawing>
          <wp:inline distT="0" distB="0" distL="0" distR="0">
            <wp:extent cx="5715000" cy="2238375"/>
            <wp:effectExtent t="0" r="0" b="0" l="0"/>
            <wp:docPr id="1" name="fig14" descr="S3, CLI: /cost. 12 requests, $0.62." title="S3, CLI: /cost. 12 requests, $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38375"/>
                    </a:xfrm>
                    <a:prstGeom prst="rect">
                      <a:avLst/>
                    </a:prstGeom>
                  </pic:spPr>
                </pic:pic>
              </a:graphicData>
            </a:graphic>
          </wp:inline>
        </w:drawing>
      </w:r>
    </w:p>
    <w:p>
      <w:pPr>
        <w:spacing w:after="240"/>
        <w:jc w:val="center"/>
      </w:pPr>
      <w:r>
        <w:rPr>
          <w:i/>
          <w:iCs/>
          <w:color w:val="555555"/>
          <w:sz w:val="18"/>
          <w:szCs w:val="18"/>
        </w:rPr>
        <w:t xml:space="preserve">Figure 14. S3, CLI: /cost. 12 requests, $0.62.</w:t>
      </w:r>
    </w:p>
    <w:p>
      <w:pPr>
        <w:spacing w:after="60" w:before="120"/>
        <w:jc w:val="center"/>
      </w:pPr>
      <w:r>
        <w:drawing>
          <wp:inline distT="0" distB="0" distL="0" distR="0">
            <wp:extent cx="5715000" cy="2571750"/>
            <wp:effectExtent t="0" r="0" b="0" l="0"/>
            <wp:docPr id="1" name="fig15" descr="S3, CLI: npx playwright test s3 --repeat-each=3. 15 passed." title="S3, CLI: npx playwright test s3 --repeat-each=3. 15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555555"/>
          <w:sz w:val="18"/>
          <w:szCs w:val="18"/>
        </w:rPr>
        <w:t xml:space="preserve">Figure 15. S3, CLI: npx playwright test s3 --repeat-each=3. 15 passed.</w:t>
      </w:r>
    </w:p>
    <w:p>
      <w:r>
        <w:br w:type="page"/>
      </w:r>
    </w:p>
    <w:p>
      <w:pPr>
        <w:pStyle w:val="Heading1"/>
        <w:spacing w:after="160" w:before="240"/>
      </w:pPr>
      <w:r>
        <w:t xml:space="preserve">Appendix: practice run and run-to-run variation</w:t>
      </w:r>
    </w:p>
    <w:p>
      <w:pPr>
        <w:spacing w:after="120"/>
      </w:pPr>
      <w:r>
        <w:rPr>
          <w:sz w:val="21"/>
          <w:szCs w:val="21"/>
        </w:rPr>
        <w:t xml:space="preserve">Before the measured runs I did one practice run of S1 in each lab. It is not part of the results, but it shows how much two runs of the same task can differ. The MCP practice run used 12 requests and cost $0.367; the measured MCP run of the same task used 8 requests and cost $0.299. That is roughly a 20% spread for identical input, which is why small gaps between MCP and CLI should be read as small.</w:t>
      </w:r>
    </w:p>
    <w:p>
      <w:pPr>
        <w:spacing w:after="60" w:before="120"/>
        <w:jc w:val="center"/>
      </w:pPr>
      <w:r>
        <w:drawing>
          <wp:inline distT="0" distB="0" distL="0" distR="0">
            <wp:extent cx="5715000" cy="1733550"/>
            <wp:effectExtent t="0" r="0" b="0" l="0"/>
            <wp:docPr id="1" name="fig16" descr="Practice run, S1, MCP: /cost. 12 requests, $0.3671." title="Practice run, S1, MCP: /cost. 12 requests, $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33550"/>
                    </a:xfrm>
                    <a:prstGeom prst="rect">
                      <a:avLst/>
                    </a:prstGeom>
                  </pic:spPr>
                </pic:pic>
              </a:graphicData>
            </a:graphic>
          </wp:inline>
        </w:drawing>
      </w:r>
    </w:p>
    <w:p>
      <w:pPr>
        <w:spacing w:after="240"/>
        <w:jc w:val="center"/>
      </w:pPr>
      <w:r>
        <w:rPr>
          <w:i/>
          <w:iCs/>
          <w:color w:val="555555"/>
          <w:sz w:val="18"/>
          <w:szCs w:val="18"/>
        </w:rPr>
        <w:t xml:space="preserve">Figure 16. Practice run, S1, MCP: /cost. 12 requests, $0.3671.</w:t>
      </w:r>
    </w:p>
    <w:p>
      <w:pPr>
        <w:spacing w:after="60" w:before="120"/>
        <w:jc w:val="center"/>
      </w:pPr>
      <w:r>
        <w:drawing>
          <wp:inline distT="0" distB="0" distL="0" distR="0">
            <wp:extent cx="5715000" cy="1809750"/>
            <wp:effectExtent t="0" r="0" b="0" l="0"/>
            <wp:docPr id="1" name="fig17" descr="Practice run, S1, CLI: /cost. 9 requests, $0.3707." title="Practice run, S1, CLI: /cost. 9 requests, $0.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809750"/>
                    </a:xfrm>
                    <a:prstGeom prst="rect">
                      <a:avLst/>
                    </a:prstGeom>
                  </pic:spPr>
                </pic:pic>
              </a:graphicData>
            </a:graphic>
          </wp:inline>
        </w:drawing>
      </w:r>
    </w:p>
    <w:p>
      <w:pPr>
        <w:spacing w:after="240"/>
        <w:jc w:val="center"/>
      </w:pPr>
      <w:r>
        <w:rPr>
          <w:i/>
          <w:iCs/>
          <w:color w:val="555555"/>
          <w:sz w:val="18"/>
          <w:szCs w:val="18"/>
        </w:rPr>
        <w:t xml:space="preserve">Figure 17. Practice run, S1, CLI: /cost. 9 requests, $0.3707.</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Playwright MCP vs CLI  |  Evidence pack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D2330"/>
      <w:sz w:val="32"/>
      <w:szCs w:val="32"/>
    </w:rPr>
  </w:style>
  <w:style w:type="paragraph" w:styleId="Heading2">
    <w:name w:val="Heading 2"/>
    <w:basedOn w:val="Normal"/>
    <w:next w:val="Normal"/>
    <w:qFormat/>
    <w:pPr>
      <w:spacing w:after="120" w:before="200"/>
      <w:outlineLvl w:val="1"/>
    </w:pPr>
    <w:rPr>
      <w:b/>
      <w:bCs/>
      <w:color w:val="2D6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1523401d03dc6e8d2fa5e6e635fa635bbf4d83.png"/><Relationship Id="rId9" Type="http://schemas.openxmlformats.org/officeDocument/2006/relationships/image" Target="media/4c70614c07eb8bad818d3cb6f3f1dec9e94b842e.png"/><Relationship Id="rId10" Type="http://schemas.openxmlformats.org/officeDocument/2006/relationships/image" Target="media/04649aa7bbbba829ed5621a24ee6b895c4b53d4a.png"/><Relationship Id="rId11" Type="http://schemas.openxmlformats.org/officeDocument/2006/relationships/image" Target="media/a5a30b8c958113aaf815d97e074f92f6e71268ef.png"/><Relationship Id="rId12" Type="http://schemas.openxmlformats.org/officeDocument/2006/relationships/image" Target="media/1a73bd1ab699d8b3f3e4bcc70c46bb2cef8ef20d.png"/><Relationship Id="rId13" Type="http://schemas.openxmlformats.org/officeDocument/2006/relationships/image" Target="media/c66c0023c90ef0ed266773f8138d2a2ff064bd43.png"/><Relationship Id="rId14" Type="http://schemas.openxmlformats.org/officeDocument/2006/relationships/image" Target="media/24e621d7124a7fcf87f02085810624458587af92.png"/><Relationship Id="rId15" Type="http://schemas.openxmlformats.org/officeDocument/2006/relationships/image" Target="media/cecefc6ed06cc49c10e328730ec3dd3293944784.png"/><Relationship Id="rId16" Type="http://schemas.openxmlformats.org/officeDocument/2006/relationships/image" Target="media/f579762fd49ddd63f2bafed7dd10d77b6ff3c2a4.png"/><Relationship Id="rId17" Type="http://schemas.openxmlformats.org/officeDocument/2006/relationships/image" Target="media/3eb2885003289be2fa93905aff6f7751def56175.png"/><Relationship Id="rId18" Type="http://schemas.openxmlformats.org/officeDocument/2006/relationships/image" Target="media/f80cb3fa2a95f9a5d9a179eefe9416b8f41d96e9.png"/><Relationship Id="rId19" Type="http://schemas.openxmlformats.org/officeDocument/2006/relationships/image" Target="media/ebabcc560fe0b636b6cd201c09e5de3461f9e2ce.png"/><Relationship Id="rId20" Type="http://schemas.openxmlformats.org/officeDocument/2006/relationships/image" Target="media/5d0517dea71b49ffa4c31d4ddee138045349519e.png"/><Relationship Id="rId21" Type="http://schemas.openxmlformats.org/officeDocument/2006/relationships/image" Target="media/feb6c8ba628eac3fb32809eb8c0190e104d0a9b0.png"/><Relationship Id="rId22" Type="http://schemas.openxmlformats.org/officeDocument/2006/relationships/image" Target="media/dd9dc424036a42c6b266a85b4d371d44f48fa613.png"/><Relationship Id="rId23" Type="http://schemas.openxmlformats.org/officeDocument/2006/relationships/image" Target="media/1b773af013b68720978d8a6079b4fea9699c668f.png"/><Relationship Id="rId24" Type="http://schemas.openxmlformats.org/officeDocument/2006/relationships/image" Target="media/d2fcad1341716e8c24ceb417942e3c632c5cf5a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MCP vs Playwright CLI - Evidence pack</dc:title>
  <dc:creator>Bikash Dehury</dc:creator>
  <cp:lastModifiedBy>Un-named</cp:lastModifiedBy>
  <cp:revision>1</cp:revision>
  <dcterms:created xsi:type="dcterms:W3CDTF">2026-09-24T06:31:45.353Z</dcterms:created>
  <dcterms:modified xsi:type="dcterms:W3CDTF">2026-09-24T06:31:45.361Z</dcterms:modified>
</cp:coreProperties>
</file>

<file path=docProps/custom.xml><?xml version="1.0" encoding="utf-8"?>
<Properties xmlns="http://schemas.openxmlformats.org/officeDocument/2006/custom-properties" xmlns:vt="http://schemas.openxmlformats.org/officeDocument/2006/docPropsVTypes"/>
</file>