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the-moral-physics-of-survival"/>
    <w:p>
      <w:pPr>
        <w:pStyle w:val="Heading1"/>
      </w:pPr>
      <w:r>
        <w:t xml:space="preserve">The Moral Physics of Survival</w:t>
      </w:r>
    </w:p>
    <w:bookmarkStart w:id="25" w:name="X0b54f3374d5f063f91eb0bd68181952f22581fa"/>
    <w:p>
      <w:pPr>
        <w:pStyle w:val="Heading2"/>
      </w:pPr>
      <w:r>
        <w:t xml:space="preserve">Thermodynamic Precarity, Cognitive Agency, and the Ethics of Compelled Stabilization</w:t>
      </w:r>
    </w:p>
    <w:p>
      <w:pPr>
        <w:pStyle w:val="FirstParagraph"/>
      </w:pPr>
      <w:r>
        <w:rPr>
          <w:bCs/>
          <w:b/>
        </w:rPr>
        <w:t xml:space="preserve">Author:</w:t>
      </w:r>
      <w:r>
        <w:t xml:space="preserve"> </w:t>
      </w:r>
      <w:r>
        <w:t xml:space="preserve">Charles J. DiBella</w:t>
      </w:r>
      <w:r>
        <w:br/>
      </w:r>
      <w:r>
        <w:rPr>
          <w:bCs/>
          <w:b/>
        </w:rPr>
        <w:t xml:space="preserve">Affiliation:</w:t>
      </w:r>
      <w:r>
        <w:t xml:space="preserve"> </w:t>
      </w:r>
      <w:r>
        <w:t xml:space="preserve">Director, Urban Systems Research</w:t>
      </w:r>
      <w:r>
        <w:br/>
      </w:r>
      <w:r>
        <w:rPr>
          <w:bCs/>
          <w:b/>
        </w:rPr>
        <w:t xml:space="preserve">Contact:</w:t>
      </w:r>
      <w:r>
        <w:t xml:space="preserve"> </w:t>
      </w:r>
      <w:r>
        <w:t xml:space="preserve">charles.dibella@bikepaths.org</w:t>
      </w:r>
      <w:r>
        <w:br/>
      </w:r>
      <w:r>
        <w:rPr>
          <w:bCs/>
          <w:b/>
        </w:rPr>
        <w:t xml:space="preserve">Submission Type:</w:t>
      </w:r>
      <w:r>
        <w:t xml:space="preserve"> </w:t>
      </w:r>
      <w:r>
        <w:t xml:space="preserve">Theoretical Paper</w:t>
      </w:r>
      <w:r>
        <w:br/>
      </w:r>
      <w:r>
        <w:rPr>
          <w:bCs/>
          <w:b/>
        </w:rPr>
        <w:t xml:space="preserve">Word Count:</w:t>
      </w:r>
      <w:r>
        <w:t xml:space="preserve"> </w:t>
      </w:r>
      <w:r>
        <w:t xml:space="preserve">5213 words</w:t>
      </w:r>
    </w:p>
    <w:p>
      <w:r>
        <w:pict>
          <v:rect style="width:0;height:1.5pt" o:hralign="center" o:hrstd="t" o:hr="t"/>
        </w:pict>
      </w:r>
    </w:p>
    <w:bookmarkStart w:id="20" w:name="abstract"/>
    <w:p>
      <w:pPr>
        <w:pStyle w:val="Heading3"/>
      </w:pPr>
      <w:r>
        <w:t xml:space="preserve">Abstract</w:t>
      </w:r>
    </w:p>
    <w:p>
      <w:pPr>
        <w:pStyle w:val="FirstParagraph"/>
      </w:pPr>
      <w:r>
        <w:rPr>
          <w:bCs/>
          <w:b/>
        </w:rPr>
        <w:t xml:space="preserve">Keywords:</w:t>
      </w:r>
      <w:r>
        <w:t xml:space="preserve"> </w:t>
      </w:r>
      <w:r>
        <w:t xml:space="preserve">chronic homelessness, moral physics, cognitive agency, survival infrastructure, public utility, compelled care</w:t>
      </w:r>
    </w:p>
    <w:p>
      <w:r>
        <w:pict>
          <v:rect style="width:0;height:1.5pt" o:hralign="center" o:hrstd="t" o:hr="t"/>
        </w:pict>
      </w:r>
    </w:p>
    <w:bookmarkEnd w:id="20"/>
    <w:bookmarkStart w:id="21" w:name="declarations"/>
    <w:p>
      <w:pPr>
        <w:pStyle w:val="Heading3"/>
      </w:pPr>
      <w:r>
        <w:t xml:space="preserve">Declarations</w:t>
      </w:r>
    </w:p>
    <w:bookmarkEnd w:id="21"/>
    <w:bookmarkStart w:id="22" w:name="funding"/>
    <w:p>
      <w:pPr>
        <w:pStyle w:val="Heading3"/>
      </w:pPr>
      <w:r>
        <w:t xml:space="preserve">Funding</w:t>
      </w:r>
    </w:p>
    <w:p>
      <w:pPr>
        <w:pStyle w:val="FirstParagraph"/>
      </w:pPr>
      <w:r>
        <w:t xml:space="preserve">This work received no grant from any funding agency in the public, commercial, or not-for-profit sectors.</w:t>
      </w:r>
    </w:p>
    <w:bookmarkEnd w:id="22"/>
    <w:bookmarkStart w:id="23" w:name="disclosure-statement"/>
    <w:p>
      <w:pPr>
        <w:pStyle w:val="Heading3"/>
      </w:pPr>
      <w:r>
        <w:t xml:space="preserve">Disclosure Statement</w:t>
      </w:r>
    </w:p>
    <w:p>
      <w:pPr>
        <w:pStyle w:val="FirstParagraph"/>
      </w:pPr>
      <w:r>
        <w:t xml:space="preserve">No potential conflict of interest was reported by the authors.</w:t>
      </w:r>
    </w:p>
    <w:bookmarkEnd w:id="23"/>
    <w:bookmarkStart w:id="24" w:name="data-availability-statement"/>
    <w:p>
      <w:pPr>
        <w:pStyle w:val="Heading3"/>
      </w:pPr>
      <w:r>
        <w:t xml:space="preserve">Data Availability Statement</w:t>
      </w:r>
    </w:p>
    <w:p>
      <w:pPr>
        <w:pStyle w:val="FirstParagraph"/>
      </w:pPr>
      <w:r>
        <w:t xml:space="preserve">Data sharing is not applicable to this article as no new datasets were created or analyzed.</w:t>
      </w:r>
    </w:p>
    <w:bookmarkEnd w:id="24"/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2026-06-13T11:45:56Z</dcterms:created>
  <dcterms:modified xsi:type="dcterms:W3CDTF">2026-06-13T11:45:56Z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