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Copyright © 2026 Charles J. DiBella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Published by Charles J. DiBella</w:t>
      </w:r>
      <w:r>
        <w:br/>
      </w:r>
      <w:r>
        <w:t xml:space="preserve">Los Angeles, California</w:t>
      </w:r>
    </w:p>
    <w:p>
      <w:pPr>
        <w:pStyle w:val="BodyText"/>
      </w:pPr>
      <w:r>
        <w:t xml:space="preserve">First edition, 2026</w:t>
      </w:r>
    </w:p>
    <w:bookmarkStart w:id="20" w:name="preface"/>
    <w:p>
      <w:pPr>
        <w:pStyle w:val="Heading1"/>
      </w:pPr>
      <w:r>
        <w:t xml:space="preserve">Preface</w:t>
      </w:r>
    </w:p>
    <w:p>
      <w:pPr>
        <w:pStyle w:val="FirstParagraph"/>
      </w:pPr>
      <w:r>
        <w:t xml:space="preserve">I have been watching people die on American streets for thirty years. The watching was not passive. I worked in the systems that were supposed to prevent the dying, and I watched those systems process human beings through protocols that accelerated the damage they were designed to repair. The experience left me with a distinct conviction: the crisis on our sidewalks is not a mystery. It is a design failure, and design failures have design solutions.</w:t>
      </w:r>
    </w:p>
    <w:p>
      <w:pPr>
        <w:pStyle w:val="BodyText"/>
      </w:pPr>
      <w:r>
        <w:t xml:space="preserve">This book is the design solution. It translates three decades of firsthand observation and five years of structured research into a blueprint that any city can build. The research spans neurobiology, stress physiology, urban economics, commercial real estate analysis, and the political philosophy that governs what a society owes to the people it has failed to protect. The bibliography at the end of this volume lists the sources. The chapters that follow distill them into an argument that does not require a graduate degree to follow.</w:t>
      </w:r>
    </w:p>
    <w:p>
      <w:pPr>
        <w:pStyle w:val="BodyText"/>
      </w:pPr>
      <w:r>
        <w:t xml:space="preserve">I wrote the first version of this material as a series of working papers and academic manuscripts. The working papers accomplished what working papers are designed to accomplish: they established the evidentiary foundation and subjected the claims to formal scrutiny. What they did not accomplish was communication. A working paper written in academic register reaches the twelve people who review it and the two hundred who cite it. The person who votes for the city council member who funds the budget that operates the system that produces the outcomes documented in the working paper never reads it. The gap between the research and the voter is the gap this book exists to close.</w:t>
      </w:r>
    </w:p>
    <w:p>
      <w:pPr>
        <w:pStyle w:val="BodyText"/>
      </w:pPr>
      <w:r>
        <w:t xml:space="preserve">The argument in these pages is not compassionate. Compassion is a feeling, and feelings do not build buildings. The argument is mechanical. A human body requires distinct physical conditions to remain functional: temperature regulation, caloric intake, clean water, sanitation, sleep in an acoustically isolated space behind a locked door, and a sustained period of safety long enough for the stress hormones that have saturated the body’s tissue to normalize. These are engineering specifications. When they are met, the body recovers. When they are not met, the body deteriorates on a timeline that stress physiologists have documented in clinical detail. The city’s choice is not whether to feel sympathy for the person on the sidewalk. The city’s choice is whether to spend less money on a system that works or more money on a system that does not.</w:t>
      </w:r>
    </w:p>
    <w:p>
      <w:pPr>
        <w:pStyle w:val="BodyText"/>
      </w:pPr>
      <w:r>
        <w:t xml:space="preserve">I did not write this book for people who already agree with me. I wrote it for the taxpayer who drives past the encampment on the way to work and wants to know why twenty-four billion dollars in state spending has not produced a visible reduction in the number of tents. The answer is in these pages. The spending did not work because it was spent on the wrong things, built on the wrong assumptions, and measured by the wrong metrics. The right things, the right assumptions, and the right metrics are specified in the chapters that follow.</w:t>
      </w:r>
    </w:p>
    <w:p>
      <w:pPr>
        <w:pStyle w:val="BodyText"/>
      </w:pPr>
      <w:r>
        <w:t xml:space="preserve">Every dollar figure in this book comes from public records, audited financial reports, or peer-reviewed economic analysis. Every clinical claim is sourced to published research in neurobiology, stress physiology, or gerontology. Every architectural specification is derived from engineering standards that exist in building codes and acoustic performance ratings. I have no interest in persuading anyone through rhetoric. The facts are sufficient. If the facts are not sufficient, no rhetoric will compensate for their absence.</w:t>
      </w:r>
    </w:p>
    <w:p>
      <w:pPr>
        <w:pStyle w:val="BodyText"/>
      </w:pPr>
      <w:r>
        <w:t xml:space="preserve">The buildings are standing. The market has priced them within reach. The biology is documented. The legal instruments exist. The budget math works. What remains is the decision to build. This book is the manual for that decision.</w:t>
      </w:r>
    </w:p>
    <w:p>
      <w:pPr>
        <w:pStyle w:val="BodyText"/>
      </w:pPr>
      <w:r>
        <w:t xml:space="preserve">Charles J. DiBella</w:t>
      </w:r>
      <w:r>
        <w:t xml:space="preserve"> </w:t>
      </w:r>
      <w:r>
        <w:t xml:space="preserve">Los Angeles, 2025</w:t>
      </w:r>
    </w:p>
    <w:bookmarkEnd w:id="20"/>
    <w:bookmarkStart w:id="21" w:name="prologue"/>
    <w:p>
      <w:pPr>
        <w:pStyle w:val="Heading1"/>
      </w:pPr>
      <w:r>
        <w:t xml:space="preserve">Prologue</w:t>
      </w:r>
    </w:p>
    <w:p>
      <w:pPr>
        <w:pStyle w:val="FirstParagraph"/>
      </w:pPr>
      <w:r>
        <w:t xml:space="preserve">A woman sat on a milk crate at the corner of Fifth and San Pedro, sorting through a grocery cart full of clothing she would never wear. She had been sorting for three hours. The clothes went from the cart to the sidewalk, from the sidewalk back to the cart, from the cart to the sidewalk again. A volunteer from the downtown mission watched from across the street and wrote in his log that the woman appeared to be organizing her belongings. She was not organizing anything. She was performing the only action her nervous system could still execute without triggering a panic response.</w:t>
      </w:r>
    </w:p>
    <w:p>
      <w:pPr>
        <w:pStyle w:val="BodyText"/>
      </w:pPr>
      <w:r>
        <w:t xml:space="preserve">Her name in the system was Gloria R., though she had given three different last names at three different intake facilities over the past two years. She was fifty-one years old. Her medical age, measured by the markers that physicians use to estimate biological deterioration, was closer to seventy. She had been sleeping outside in Los Angeles for four years, which is long enough for the street to finish most of its work on a human body.</w:t>
      </w:r>
    </w:p>
    <w:p>
      <w:pPr>
        <w:pStyle w:val="BodyText"/>
      </w:pPr>
      <w:r>
        <w:t xml:space="preserve">The work is physical. It follows a sequence that stress neurobiologists have documented in clinical detail, though the documentation has not changed the way any American city manages its streets. Chronic exposure to weather, noise, and predation keeps the adrenal system locked in a threat response that the body was designed to sustain for minutes, not years. Cortisol saturates tissue that was built for intermittent bursts. The hippocampus, which consolidates memory and regulates emotional response, loses volume. The prefrontal cortex, which governs planning, impulse regulation, and the capacity to imagine a future different from the present, degrades in measurable increments for every month the exposure continues. Robert Sapolsky’s research on stress neurobiology traces this sequence at the cellular level. Bruce McEwen’s work on allostatic load establishes that the damage is not metaphorical. It is structural. The street is a machine that disassembles the brain in a distinct order, beginning with the structures that would allow a person to escape it.</w:t>
      </w:r>
    </w:p>
    <w:p>
      <w:pPr>
        <w:pStyle w:val="BodyText"/>
      </w:pPr>
      <w:r>
        <w:t xml:space="preserve">Gloria could not escape it. She had arrived on the street through the pathway that accounts for the largest share of chronic unsheltered homelessness in Los Angeles, which is the simultaneous collapse of income and kinship. She lost a warehouse job in 2021 when the facility closed. She had no savings because the job paid fourteen dollars an hour and her rent consumed seventy-one percent of her gross income. She had no family network to absorb the shock because her family had scattered across three states in the way that American families scatter, following jobs that lasted a few years before disappearing, leaving each household isolated on its own balance sheet. When the warehouse closed, she had five weeks of financial runway before eviction. She used three of those weeks trying to find another job. She spent the fourth week in her car. By the fifth week she was on the sidewalk.</w:t>
      </w:r>
    </w:p>
    <w:p>
      <w:pPr>
        <w:pStyle w:val="BodyText"/>
      </w:pPr>
      <w:r>
        <w:t xml:space="preserve">Four years later she was on the milk crate, sorting clothes that did not need sorting, because her prefrontal cortex could no longer sequence a plan more complex than moving objects from one pile to another. The outreach team from the county arrived on a Tuesday. Two workers, both carrying tablets, explained that a shelter bed was available. The bed required a tuberculosis screening, a signed behavior contract, and agreement to attend weekly case management appointments. Gloria did not respond. One worker recorded the interaction as a service refusal. The other noted that the client appeared disoriented.</w:t>
      </w:r>
    </w:p>
    <w:p>
      <w:pPr>
        <w:pStyle w:val="BodyText"/>
      </w:pPr>
      <w:r>
        <w:t xml:space="preserve">Neither interpretation was accurate. Gloria was not refusing anything, because refusal requires the neurological architecture to weigh an offer against alternatives. She was not disoriented, because disorientation implies a baseline of orientation from which she had departed. She was in the condition that four years of continuous street exposure produces, which is a nervous system operating in dorsal-vagal shutdown, conserving energy by suspending voluntary engagement with a world that has not stopped threatening her for fourteen hundred consecutive days.</w:t>
      </w:r>
    </w:p>
    <w:p>
      <w:pPr>
        <w:pStyle w:val="BodyText"/>
      </w:pPr>
      <w:r>
        <w:t xml:space="preserve">The county recorded the outcome. The workers moved to the next name on the route sheet. The grocery cart stayed on the corner. The clothes moved from cart to sidewalk to cart.</w:t>
      </w:r>
    </w:p>
    <w:p>
      <w:pPr>
        <w:pStyle w:val="BodyText"/>
      </w:pPr>
      <w:r>
        <w:t xml:space="preserve">This book is about what happened in that moment and what it costs. The cost is not abstract. California spent twenty-four billion dollars on homelessness programs between 2019 and 2024, and the unsheltered population grew. Gloria was one of the people that money was supposed to reach. It did not reach her because the system that spent it was built on an assumption about her that the street had already made false. The system assumed she could receive what it was offering. Her neurology could not. The twenty-four billion dollars bought activity, which the system measured. It did not buy the biological stabilization that would have restored Gloria’s capacity to use what was being offered, because biological stabilization was not in the budget.</w:t>
      </w:r>
    </w:p>
    <w:p>
      <w:pPr>
        <w:pStyle w:val="BodyText"/>
      </w:pPr>
      <w:r>
        <w:t xml:space="preserve">The blueprint that follows engineers what the budget left out. It starts where the system should have started, with the physical floor underneath everything else, the locking door and the silence and the months of uninterrupted sleep that Gloria’s body required before any program, any service, any contract, any plan could land on a nervous system capable of receiving it.</w:t>
      </w:r>
    </w:p>
    <w:p>
      <w:pPr>
        <w:pStyle w:val="BodyText"/>
      </w:pPr>
      <w:r>
        <w:t xml:space="preserve">Gloria is a composite of thirty years of faces observed from close range on the streets and bike paths of America. Her name is not Gloria. She is every person the system recorded as a refusal while the street continued its work.</w:t>
      </w:r>
    </w:p>
    <w:bookmarkEnd w:id="21"/>
    <w:bookmarkStart w:id="22" w:name="introduction"/>
    <w:p>
      <w:pPr>
        <w:pStyle w:val="Heading1"/>
      </w:pPr>
      <w:r>
        <w:t xml:space="preserve">Introduction</w:t>
      </w:r>
    </w:p>
    <w:p>
      <w:pPr>
        <w:pStyle w:val="FirstParagraph"/>
      </w:pPr>
      <w:r>
        <w:t xml:space="preserve">This book is a blueprint. It describes what is broken, why it is broken, and what to build in its place.</w:t>
      </w:r>
    </w:p>
    <w:p>
      <w:pPr>
        <w:pStyle w:val="BodyText"/>
      </w:pPr>
      <w:r>
        <w:t xml:space="preserve">Part One diagnoses the structural cause of chronic unsheltered homelessness in the United States. The diagnosis is not behavioral. It is mechanical. The extended kinship networks that absorbed economic shocks for most of human history were dismantled across two generations of postwar geographic dispersal, replaced by nuclear family units with no structural redundancy. When federal housing subsidy programs were gutted in the 1980s and single-room occupancy housing was demolished across every major American city during the same period, the population at the bottom of the income distribution lost every physical alternative to the sidewalk simultaneously. The street encampment is the mathematical output of a system that removed all its load-bearing supports and expected the structure to remain standing.</w:t>
      </w:r>
    </w:p>
    <w:p>
      <w:pPr>
        <w:pStyle w:val="BodyText"/>
      </w:pPr>
      <w:r>
        <w:t xml:space="preserve">Part Two translates the consequences into biology. The street is a machine that processes the human body in a distinct sequence: metabolic depletion, thermoregulatory failure, chronic cortisol saturation, sleep destruction, prefrontal degradation, and the eventual loss of the neurological capacity for self-governed behavior. Robert Sapolsky, Bruce McEwen, and Maiken Nedergaard have documented this sequence at the cellular level. The person at the end of the sequence cannot respond to offers of help, because the neural architecture that would process the offer has been dismantled by the conditions the offer is meant to address. The system records this as a refusal. The recording is clinically false.</w:t>
      </w:r>
    </w:p>
    <w:p>
      <w:pPr>
        <w:pStyle w:val="BodyText"/>
      </w:pPr>
      <w:r>
        <w:t xml:space="preserve">Part Three audits the three institutional responses that American cities currently deploy against this crisis. Street sweeps produce temporary visual order at a cost of three hundred million dollars per year in Los Angeles alone, with a zero percent structural return. Congregate shelters reproduce the threat profile of the street inside a building, amplifying the neurological damage they are meant to treat. Scattered-site housing placements distribute isolated individuals into apartments without the relational infrastructure required for retention, achieving below forty percent two-year housing stability while Finland, using the same Housing First theory with different implementation architecture, achieves eighty to ninety percent.</w:t>
      </w:r>
    </w:p>
    <w:p>
      <w:pPr>
        <w:pStyle w:val="BodyText"/>
      </w:pPr>
      <w:r>
        <w:t xml:space="preserve">Part Four presents the solution. The Material Dignity Infrastructure is a network of thirty-eight towers acquired from the distressed commercial real estate market at sixty to eighty percent below peak valuation, converted to residential stabilization use, and operated as a permanent public utility. Each tower is designed to biological specifications derived from the clinical research documented in Part Two. Phase Zero floors provide acoustic isolation rated to STC 65 and a ninety-day decompression window during which no institutional demand is placed on the resident. Residential floors are organized into Dunbar Pods of one hundred fifty-four individuals, a community size calibrated to the biological limit on human social cognition. A ground-floor commons operates without intake requirements, creating the entry point for a pipeline that sorts the unsheltered population into five distinct pathways matched to five distinct clinical and economic profiles. For the population whose neurological damage prevents voluntary engagement, existing legal instruments provide the pathway from the street to the infrastructure that can restore the neurological function the street destroyed.</w:t>
      </w:r>
    </w:p>
    <w:p>
      <w:pPr>
        <w:pStyle w:val="BodyText"/>
      </w:pPr>
      <w:r>
        <w:t xml:space="preserve">The argument is fiscal, not moral. The MDI tower network generates an annual efficiency surplus of thirty-three to eighty-two million dollars per tower by displacing the emergency medical, psychiatric crisis, law enforcement, and sanitation costs that currently accrue to the individuals it stabilizes. Capital recovery occurs within twenty-nine to seventy-one months. The city builds the tower for the same reason it builds water mains and sewer lines: because the cost of not building it is higher than the cost of building it.</w:t>
      </w:r>
    </w:p>
    <w:p>
      <w:pPr>
        <w:pStyle w:val="BodyText"/>
      </w:pPr>
      <w:r>
        <w:t xml:space="preserve">What follows is the evidence and the engineering.</w:t>
      </w:r>
    </w:p>
    <w:p>
      <w:r>
        <w:pict>
          <v:rect style="width:0;height:1.5pt" o:hralign="center" o:hrstd="t" o:hr="t"/>
        </w:pict>
      </w:r>
    </w:p>
    <w:bookmarkEnd w:id="22"/>
    <w:bookmarkStart w:id="23" w:name="Xb3d92eab829343136fe3b4cc08a550aad45742a"/>
    <w:p>
      <w:pPr>
        <w:pStyle w:val="Heading1"/>
      </w:pPr>
      <w:r>
        <w:t xml:space="preserve">Chapter 1: The Myth of the Rugged Individual</w:t>
      </w:r>
    </w:p>
    <w:p>
      <w:pPr>
        <w:pStyle w:val="FirstParagraph"/>
      </w:pPr>
      <w:r>
        <w:t xml:space="preserve">No one survives alone. The statement sounds like sentiment. It is engineering.</w:t>
      </w:r>
    </w:p>
    <w:p>
      <w:pPr>
        <w:pStyle w:val="BodyText"/>
      </w:pPr>
      <w:r>
        <w:t xml:space="preserve">A human body requires between 2,000 and 2,500 calories per day to maintain baseline metabolic function. It requires temperature regulation within a narrow band that the body cannot sustain without shelter when ambient conditions fall below fifty degrees or rise above ninety-five. It requires sleep, which in turn requires safety, which in turn requires a physical barrier between the sleeper and the environment. It requires clean water, sanitation, and protection from predation. These are not preferences. They are operating specifications for a biological system that fails in predictable ways when any of them is absent for more than a few days.</w:t>
      </w:r>
    </w:p>
    <w:p>
      <w:pPr>
        <w:pStyle w:val="BodyText"/>
      </w:pPr>
      <w:r>
        <w:t xml:space="preserve">For most of human history, the unit that supplied these specifications was the extended kinship network. Anthropologist Robin Dunbar’s research on primate social structures and the neocortical constraints on group size establishes that human beings evolved to maintain stable cooperative relationships within groups of approximately one hundred fifty individuals. Within these bands, resource pooling operated as the default survival mechanism. When one household lost a harvest, neighboring kin absorbed the deficit. When illness struck a provider, the network redistributed labor. The arrangement was not charitable. It was structural. Survival at the individual level depended on redundancy at the group level, and the group maintained its redundancy because each member’s collapse would weaken the network’s capacity to absorb the next shock.</w:t>
      </w:r>
    </w:p>
    <w:p>
      <w:pPr>
        <w:pStyle w:val="BodyText"/>
      </w:pPr>
      <w:r>
        <w:t xml:space="preserve">Gloria’s grandmother raised six children in a three-bedroom house in Bakersfield with her sister’s family next door and two cousins on the same block. When Gloria’s grandfather lost his job at the rail yard in 1974, three households absorbed the cost. Rent was covered for four months. Meals were shared across kitchens. The children did not change schools. The crisis was real and the hardship was genuine, but the network held because it had enough structural weight to distribute a single-household failure across multiple balance sheets.</w:t>
      </w:r>
    </w:p>
    <w:p>
      <w:pPr>
        <w:pStyle w:val="BodyText"/>
      </w:pPr>
      <w:r>
        <w:t xml:space="preserve">By the time Gloria lost her warehouse job in 2021, that network no longer existed. Her mother had moved to Reno following a second marriage. Her brother was in Atlanta. Her cousins had scattered to places she could name but could not reach by bus. She had no one within driving distance whose kitchen she could sit in while she figured out her next step. The kinship buffer, the term this book uses for the extended network that absorbs economic shocks, had been disassembled across two generations of geographic mobility.</w:t>
      </w:r>
    </w:p>
    <w:p>
      <w:pPr>
        <w:pStyle w:val="BodyText"/>
      </w:pPr>
      <w:r>
        <w:t xml:space="preserve">The American story calls this independence. The frontier narrative that Frederick Jackson Turner articulated in 1893 framed westward expansion as the process by which European settlers became self-reliant individuals, liberated from the hierarchical dependencies of the Old World. The narrative survived Turner’s original context and became the organizing mythology of twentieth-century American economic life. A person who succeeds is self-made. A person who fails has failed to make themselves. The narrative carries an implicit physics that is false: it assumes the individual is a self-sustaining unit, requiring only effort and character to remain upright.</w:t>
      </w:r>
    </w:p>
    <w:p>
      <w:pPr>
        <w:pStyle w:val="BodyText"/>
      </w:pPr>
      <w:r>
        <w:t xml:space="preserve">The physics is false because no individual is self-sustaining. Every person who appears to stand alone is standing on infrastructure, which includes a salary that arrives on schedule, a landlord who does not evict on the first missed payment, a credit system that absorbs temporary shortfalls, a family member who will answer the phone at two in the morning, and a body that has slept in safety long enough to maintain the prefrontal function required to manage all of these relationships simultaneously. Remove any two of these supports and the physics of the situation changes. Remove three and the math produces a predictable outcome: the person is on the street within weeks.</w:t>
      </w:r>
    </w:p>
    <w:p>
      <w:pPr>
        <w:pStyle w:val="BodyText"/>
      </w:pPr>
      <w:r>
        <w:t xml:space="preserve">Matthew Desmond documented this arithmetic in Evicted, tracing the accurate sequence by which Milwaukee renters crossed the line from housed to unhoused. The trigger was rarely a single catastrophic event. It was the accumulation of small failures in a system with no redundancy. A missed shift led to a short paycheck. The short paycheck led to a late rent payment. The late payment triggered a fee that consumed the margin for next month’s rent. The landlord filed for eviction after the second missed month. The renter had no family member with a spare room, no savings account to bridge the gap, and no institutional mechanism that could intervene between the filing and the lockout.</w:t>
      </w:r>
    </w:p>
    <w:p>
      <w:pPr>
        <w:pStyle w:val="BodyText"/>
      </w:pPr>
      <w:r>
        <w:t xml:space="preserve">Desmond’s data revealed a structural finding that the myth of the rugged individual cannot accommodate: the primary predictor of eviction was not individual behavior. It was the absence of the kinship buffer. Renters with extended family networks within the same metropolitan area were evicted at rates dramatically lower than renters without those networks, controlling for income, employment status, and substance use. The network did not prevent the crisis. It absorbed the crisis long enough for the renter to recover, which is what networks have done for the entirety of human social evolution.</w:t>
      </w:r>
    </w:p>
    <w:p>
      <w:pPr>
        <w:pStyle w:val="BodyText"/>
      </w:pPr>
      <w:r>
        <w:t xml:space="preserve">Gloria had no network. She had a job, a rented room, and a body that worked. When the job disappeared, the room followed within five weeks. No relative pooled resources. No cousin offered a couch. No aunt wired grocery money. The myth of the rugged individual told Gloria that her failure was personal. The physics of survival told a different story: she was an isolated load-bearing column with no redundancy, and the first lateral force that struck her brought her to the ground.</w:t>
      </w:r>
    </w:p>
    <w:p>
      <w:pPr>
        <w:pStyle w:val="BodyText"/>
      </w:pPr>
      <w:r>
        <w:t xml:space="preserve">The encampment on Fifth and San Pedro is full of people whose structural histories follow the same pattern. The distinct triggering events vary. The absence of the kinship buffer is continuous. Every person in that encampment is the output of a society that demanded individual self-sufficiency while systematically dismantling the networks that made self-sufficiency possible. The tent is not a behavioral outcome. It is a mechanical one, as predictable as the collapse of a beam that has lost its supports.</w:t>
      </w:r>
    </w:p>
    <w:p>
      <w:pPr>
        <w:pStyle w:val="BodyText"/>
      </w:pPr>
      <w:r>
        <w:t xml:space="preserve">Understanding this mechanics is the precondition for building the replacement. The kinship buffer cannot be restored by policy, because the geographic and economic forces that dismantled it are not reversible at the household level. What can be built is a synthetic substitute, an engineered structure that provides the redundancy and shock absorption that the kinship network once supplied. That structure is the subject of Part Four of this book. Before reaching it, the reader must first understand what happens to a human body after the buffer fails and the street begins its work.</w:t>
      </w:r>
    </w:p>
    <w:p>
      <w:r>
        <w:pict>
          <v:rect style="width:0;height:1.5pt" o:hralign="center" o:hrstd="t" o:hr="t"/>
        </w:pict>
      </w:r>
    </w:p>
    <w:bookmarkEnd w:id="23"/>
    <w:bookmarkStart w:id="24" w:name="chapter-2-the-nuclear-isolate"/>
    <w:p>
      <w:pPr>
        <w:pStyle w:val="Heading1"/>
      </w:pPr>
      <w:r>
        <w:t xml:space="preserve">Chapter 2: The Nuclear Isolate</w:t>
      </w:r>
    </w:p>
    <w:p>
      <w:pPr>
        <w:pStyle w:val="FirstParagraph"/>
      </w:pPr>
      <w:r>
        <w:t xml:space="preserve">The kinship buffer did not disappear by accident. The United States dismantled it through a sequence of policy decisions, economic incentives, and infrastructure investments that rewarded geographic dispersion and penalized multi-generational household density. The process took forty years. Its consequences are visible on every sidewalk in Los Angeles.</w:t>
      </w:r>
    </w:p>
    <w:p>
      <w:pPr>
        <w:pStyle w:val="BodyText"/>
      </w:pPr>
      <w:r>
        <w:t xml:space="preserve">Before 1945, the dominant American household structure was the extended family. Census data from the early twentieth century shows multi-generational households comprising a significant share of the national total, with grandparents, adult children, and cousins living within walking distance or under the same roof. The arrangement was not sentimental. It was economic. Agricultural economies and early industrial wage systems produced incomes too low and too volatile for a single nuclear household to absorb the shocks of job loss, illness, or disability without supplementary support from kin. The extended family existed because the math required it.</w:t>
      </w:r>
    </w:p>
    <w:p>
      <w:pPr>
        <w:pStyle w:val="BodyText"/>
      </w:pPr>
      <w:r>
        <w:t xml:space="preserve">The math changed after World War Two. The GI Bill subsidized homeownership for sixteen million returning veterans, and the homes it subsidized were not located in the dense urban neighborhoods where extended families had clustered. They were located in the suburbs, built on the assumption that a single breadwinner earning a postwar manufacturing wage could sustain a detached household of four on a single income. The Federal Housing Administration’s mortgage insurance program underwrote this assumption by requiring the homes it insured to conform to single-family zoning standards that prohibited the multi-unit configurations extended families had occupied in cities.</w:t>
      </w:r>
    </w:p>
    <w:p>
      <w:pPr>
        <w:pStyle w:val="BodyText"/>
      </w:pPr>
      <w:r>
        <w:t xml:space="preserve">William Levitt built seventeen thousand three hundred houses in Levittown, New York, between 1947 and 1951. Each house sat on a sixty-by-one-hundred-foot lot. Each house contained two bedrooms, one bathroom, and a kitchen designed for one family. The design was efficient, affordable, and replicable, and it encoded a distinct social architecture: two parents, two children, no grandparents, no cousins, no aunts. The extended family did not fit in the floor plan because the floor plan was not designed for the extended family.</w:t>
      </w:r>
    </w:p>
    <w:p>
      <w:pPr>
        <w:pStyle w:val="BodyText"/>
      </w:pPr>
      <w:r>
        <w:t xml:space="preserve">Gloria’s mother grew up in Bakersfield in the household described in the previous chapter. She left at nineteen to follow a boyfriend to Fresno. She married, divorced, married again, and moved to Riverside, then to Lancaster, then to Reno. Each move tracked a job or a relationship. Each move increased the distance between her household and the kinship network that had kept her parents stable. By the time Gloria was born, her mother’s closest relative was a half-sister in Sacramento whom she spoke to twice a year. The buffer was gone. The nuclear family was all that remained.</w:t>
      </w:r>
    </w:p>
    <w:p>
      <w:pPr>
        <w:pStyle w:val="BodyText"/>
      </w:pPr>
      <w:r>
        <w:t xml:space="preserve">Sociologist Robert Putnam documented the aggregate trajectory of this fragmentation in Bowling Alone. Between 1960 and 2000, American participation in civic organizations, religious institutions, neighborhood associations, and informal social networks declined across every measured dimension. The decline was not uniform across class. Wealthy households maintained their social capital through professional networks, alumni associations, and geographic stability in high-cost neighborhoods where turnover was low. Working-class households lost social capital at a faster rate because their geographic mobility was involuntary, driven by layoffs, plant closures, and rental market instability that forced repeated relocation.</w:t>
      </w:r>
    </w:p>
    <w:p>
      <w:pPr>
        <w:pStyle w:val="BodyText"/>
      </w:pPr>
      <w:r>
        <w:t xml:space="preserve">Each relocation severed ties. A family that moved from one city to another lost its neighborhood relationships, its church community, its children’s school networks, and whatever informal reciprocity arrangements it had built with nearby households. Rebuilding these ties in a new location required time, stability, and surplus energy, which are the resources that economic precarity consumes first. The working-class family that moved three times in five years did not rebuild its kinship buffer. It arrived at each new location thinner than it had been at the last.</w:t>
      </w:r>
    </w:p>
    <w:p>
      <w:pPr>
        <w:pStyle w:val="BodyText"/>
      </w:pPr>
      <w:r>
        <w:t xml:space="preserve">The nuclear family that emerged from this process was a structural anomaly in human social history. For approximately fifty years, between 1950 and 2000, the American economy generated sufficient surplus to sustain the experiment. Manufacturing wages supported a single breadwinner. Employer-sponsored health insurance absorbed medical shocks. Public schools, public parks, and public libraries provided the infrastructure that extended families had previously supplied through their own labor. The nuclear unit appeared self-sufficient because the economic context concealed its fragility.</w:t>
      </w:r>
    </w:p>
    <w:p>
      <w:pPr>
        <w:pStyle w:val="BodyText"/>
      </w:pPr>
      <w:r>
        <w:t xml:space="preserve">When the economic context changed, the fragility became visible. Real wages for non-college-educated workers peaked in 1973 and declined in purchasing power over the following five decades. Manufacturing employment in Los Angeles County fell from over nine hundred thousand jobs in 1990 to under three hundred fifty thousand by 2020. The single-breadwinner household that Levittown assumed became a mathematical impossibility for the working class that Levittown was built to serve.</w:t>
      </w:r>
    </w:p>
    <w:p>
      <w:pPr>
        <w:pStyle w:val="BodyText"/>
      </w:pPr>
      <w:r>
        <w:t xml:space="preserve">A household with two incomes totaling forty-eight thousand dollars and a rental cost consuming fifty-three percent of gross income has a monthly surplus of approximately eighteen hundred dollars before food, transportation, and medical costs. After those costs, the surplus approaches zero. This household has no savings buffer. It has no extended family within reach. It has no institutional mechanism that can absorb a single month’s income disruption without triggering a cascade that ends in eviction.</w:t>
      </w:r>
    </w:p>
    <w:p>
      <w:pPr>
        <w:pStyle w:val="BodyText"/>
      </w:pPr>
      <w:r>
        <w:t xml:space="preserve">Gloria’s household in 2021 matched these numbers with precision. Warehouse wages of fourteen dollars per hour. Rent at seventy-one percent of gross income. Zero savings. Zero local kin. The nuclear isolate, stripped of every redundancy the extended family once provided, facing the same economic volatility that extended families had evolved to absorb. The structure had a single point of failure, and the warehouse closure was that failure.</w:t>
      </w:r>
    </w:p>
    <w:p>
      <w:pPr>
        <w:pStyle w:val="BodyText"/>
      </w:pPr>
      <w:r>
        <w:t xml:space="preserve">The nuclear family is not a natural unit of human social organization. It is a mid-century experiment that required distinct economic conditions to remain viable, and those conditions have not existed for the American working class for fifty years. The tent on the sidewalk is the structural output of that experiment’s failure, delivered with the mathematical certainty of a load calculation performed on a column that was never rated to bear the weight placed on it.</w:t>
      </w:r>
    </w:p>
    <w:p>
      <w:r>
        <w:pict>
          <v:rect style="width:0;height:1.5pt" o:hralign="center" o:hrstd="t" o:hr="t"/>
        </w:pict>
      </w:r>
    </w:p>
    <w:bookmarkEnd w:id="24"/>
    <w:bookmarkStart w:id="25" w:name="chapter-3-the-mathematical-output"/>
    <w:p>
      <w:pPr>
        <w:pStyle w:val="Heading1"/>
      </w:pPr>
      <w:r>
        <w:t xml:space="preserve">Chapter 3: The Mathematical Output</w:t>
      </w:r>
    </w:p>
    <w:p>
      <w:pPr>
        <w:pStyle w:val="FirstParagraph"/>
      </w:pPr>
      <w:r>
        <w:t xml:space="preserve">Three structural failures converged in the early 1980s, and the modern street encampment is their product. Each failure removed one layer of the redundancy that had kept vulnerable households from falling through the floor. When all three layers failed simultaneously, the floor disappeared, and the sidewalk became the destination for a population that had no remaining alternative.</w:t>
      </w:r>
    </w:p>
    <w:p>
      <w:pPr>
        <w:pStyle w:val="BodyText"/>
      </w:pPr>
      <w:r>
        <w:t xml:space="preserve">The first failure was the destruction of single-room occupancy housing. Between 1970 and 1990, American cities demolished or converted over one million SRO units, which were the small, affordable, single-occupancy hotel rooms that had served as the final housing option for individuals at the bottom of the income distribution since the late nineteenth century. Los Angeles alone lost over fifteen thousand SRO units during this period. The rooms were small, often as little as eighty square feet, and the buildings that contained them were old, poorly maintained, and concentrated in neighborhoods that municipal governments wanted to redevelop. City councils approved demolition permits and rezoning applications that converted these buildings into market-rate apartments, commercial offices, or parking structures.</w:t>
      </w:r>
    </w:p>
    <w:p>
      <w:pPr>
        <w:pStyle w:val="BodyText"/>
      </w:pPr>
      <w:r>
        <w:t xml:space="preserve">The people who lived in SRO hotels were janitors, dishwashers, day laborers, retired pensioners, and recently discharged psychiatric patients. Their incomes were low enough that a conventional apartment was beyond reach, but stable enough that a two-hundred-dollar-per-month SRO room kept them indoors. When the rooms disappeared, no replacement was built at the same price point. The housing market produced new units at the top of the income distribution and no units at the bottom. Stuart Rosenthal’s 2014 analysis of the filtering mechanism, the process by which housing units move down the income distribution as they age, established that filtering operates over decades and does not reach the price point that SRO residents required within any timeline that would prevent their displacement to the street.</w:t>
      </w:r>
    </w:p>
    <w:p>
      <w:pPr>
        <w:pStyle w:val="BodyText"/>
      </w:pPr>
      <w:r>
        <w:t xml:space="preserve">The second failure was federal budget retrenchment. Between 1981 and 1989, the Reagan administration reduced the Department of Housing and Urban Development’s budget by over seventy-five percent in inflation-adjusted terms. Federal funding for new public housing construction effectively ceased. Section 8 voucher appropriations covered a declining share of eligible households, and the waiting lists for subsidized housing in major cities grew to exceed ten years. At the same time, federal funding for community mental health centers, which had been established under the Community Mental Health Act of 1963 as the intended replacement for state psychiatric hospitals, was block-granted to states with no maintenance-of-effort requirements. States absorbed the funding into general budgets. The community mental health infrastructure that was supposed to catch the patients discharged from state hospitals was never built at the scale the discharge policy assumed.</w:t>
      </w:r>
    </w:p>
    <w:p>
      <w:pPr>
        <w:pStyle w:val="BodyText"/>
      </w:pPr>
      <w:r>
        <w:t xml:space="preserve">Deinstitutionalization had closed over four hundred thousand state psychiatric beds between 1955 and 1980. The patients who left those beds were supposed to receive care in community settings. The community settings were supposed to receive federal funding. The federal funding was cut before the settings were built. The patients went to SRO hotels, boarding houses, and the streets. When the SRO hotels were demolished, the last physical barrier between this population and the sidewalk was removed.</w:t>
      </w:r>
    </w:p>
    <w:p>
      <w:pPr>
        <w:pStyle w:val="BodyText"/>
      </w:pPr>
      <w:r>
        <w:t xml:space="preserve">The third failure was the kinship buffer collapse documented in the previous two chapters. Gloria’s family history is representative of a structural pattern that affects every income quintile below the median: each generation scattered farther from the previous one, each household carried less redundancy, and each economic shock landed on a thinner margin. By the early 1980s, the working-class nuclear family had been stripped of the extended network that had absorbed shocks for centuries, and no institutional substitute had been built to replace it.</w:t>
      </w:r>
    </w:p>
    <w:p>
      <w:pPr>
        <w:pStyle w:val="BodyText"/>
      </w:pPr>
      <w:r>
        <w:t xml:space="preserve">When all three layers failed, the math produced its output. A person who lost income, who had no SRO room available at a survivable price, who had no family network within reach, and who could not access a federal subsidy program with a ten-year waiting list had one remaining option: the sidewalk. The tent appeared not because the person made bad choices, but because every structural alternative had been removed from the field.</w:t>
      </w:r>
    </w:p>
    <w:p>
      <w:pPr>
        <w:pStyle w:val="BodyText"/>
      </w:pPr>
      <w:r>
        <w:t xml:space="preserve">Los Angeles County recorded approximately twelve thousand unsheltered individuals in 1990. By 2023, the count exceeded forty-six thousand. The growth was not linear, because the structural failures that produced it were not linear. Each decade added new pressure without restoring any of the removed redundancy. Rising housing costs pushed more households to the margin. Stagnant wages reduced the financial buffer. Geographic mobility continued to erode kinship networks. The math compounded, and the sidewalk population grew because the math required it to grow.</w:t>
      </w:r>
    </w:p>
    <w:p>
      <w:pPr>
        <w:pStyle w:val="BodyText"/>
      </w:pPr>
      <w:r>
        <w:t xml:space="preserve">Gloria arrived on that sidewalk in 2021 through the same arithmetic that had been placing people there since 1983. The distinct numbers in her case, the fourteen-dollar wage and the seventy-one-percent rent burden and the five-week financial runway, were particular to her. The structural pattern was universal. She was a nuclear isolate with zero redundancy, facing an income shock, in a housing market that had eliminated every unit she could afford, in a city whose federal subsidy waitlist exceeded her financial runway by a factor of one hundred.</w:t>
      </w:r>
    </w:p>
    <w:p>
      <w:pPr>
        <w:pStyle w:val="BodyText"/>
      </w:pPr>
      <w:r>
        <w:t xml:space="preserve">The output was mechanical. The tent was the remainder.</w:t>
      </w:r>
    </w:p>
    <w:p>
      <w:r>
        <w:pict>
          <v:rect style="width:0;height:1.5pt" o:hralign="center" o:hrstd="t" o:hr="t"/>
        </w:pict>
      </w:r>
    </w:p>
    <w:bookmarkEnd w:id="25"/>
    <w:bookmarkStart w:id="26" w:name="chapter-4-the-open-air-trauma-ward"/>
    <w:p>
      <w:pPr>
        <w:pStyle w:val="Heading1"/>
      </w:pPr>
      <w:r>
        <w:t xml:space="preserve">Chapter 4: The Open-Air Trauma Ward</w:t>
      </w:r>
    </w:p>
    <w:p>
      <w:pPr>
        <w:pStyle w:val="FirstParagraph"/>
      </w:pPr>
      <w:r>
        <w:t xml:space="preserve">The sidewalk is not a place where life pauses. It is a machine that processes the human body at an accelerating rate of deterioration, and the processing follows a biological sequence that stress physiologists have mapped in clinical detail.</w:t>
      </w:r>
    </w:p>
    <w:p>
      <w:pPr>
        <w:pStyle w:val="BodyText"/>
      </w:pPr>
      <w:r>
        <w:t xml:space="preserve">Gloria arrived on the street in 2021 with a body that was, by standard medical measures, functional. She was fifty-one years old. She had no diagnosed chronic conditions. Her resting cortisol levels, blood pressure, and cardiac function were within normal ranges for a woman of her age who had spent three decades doing physical labor. Within six months of continuous street exposure, every one of those measures had changed.</w:t>
      </w:r>
    </w:p>
    <w:p>
      <w:pPr>
        <w:pStyle w:val="BodyText"/>
      </w:pPr>
      <w:r>
        <w:t xml:space="preserve">The first change was metabolic. A person sleeping indoors expends baseline energy on respiration, digestion, and thermoregulation within a climate-controlled environment. A person sleeping outdoors in Los Angeles, where nighttime temperatures in winter drop into the low forties and daytime temperatures in summer exceed one hundred, expends significantly more energy on thermoregulation alone. The body burns calories to maintain core temperature when ambient conditions fall outside the thermoneutral zone, which for a lightly clothed human is between sixty-eight and seventy-seven degrees. Every hour spent outside that zone is an hour of involuntary caloric expenditure that the body cannot recover through the irregular, nutritionally poor meals available on the street.</w:t>
      </w:r>
    </w:p>
    <w:p>
      <w:pPr>
        <w:pStyle w:val="BodyText"/>
      </w:pPr>
      <w:r>
        <w:t xml:space="preserve">Bruce McEwen’s research on allostatic load provides the model for understanding what happens next. Allostatic load is the cumulative cost of chronic stress on the body’s regulatory systems. Under normal conditions, the stress response activates, the body mobilizes energy to address the threat, the threat passes, and the system returns to baseline. Under conditions of continuous threat, the system never returns to baseline. Cortisol remains high. Inflammatory markers rise. The cardiovascular system operates under continuous strain. The immune system, chronically activated, begins to attack the body’s own tissue rather than external pathogens.</w:t>
      </w:r>
    </w:p>
    <w:p>
      <w:pPr>
        <w:pStyle w:val="BodyText"/>
      </w:pPr>
      <w:r>
        <w:t xml:space="preserve">Gloria experienced this sequence over her first winter. She did not know what was happening to her in clinical terms, because the clinical terms describe processes that operate below conscious awareness. What she knew was that she was tired in a way that sleep did not fix, because the sleep she was getting was not deep enough to initiate the restorative processes that reverse metabolic depletion. She was cold in a way that blankets did not address, because the cold was internal, generated by a thermoregulatory system operating at the edge of its capacity. She was hungry in a way that food did not satisfy, because the calories she consumed were being diverted to stress response rather than tissue repair.</w:t>
      </w:r>
    </w:p>
    <w:p>
      <w:pPr>
        <w:pStyle w:val="BodyText"/>
      </w:pPr>
      <w:r>
        <w:t xml:space="preserve">The body under these conditions enters a state of progressive consumption. Muscle mass decreases as the body catabolizes its own protein for energy. Fat reserves deplete. Bone density declines. The visible markers of this process are familiar to anyone who has observed the chronically unsheltered population: the sunken cheeks, the thinned limbs, the gait that appears decades older than the person’s chronological age. These are not signs of aging. They are signs of a body that is eating itself to survive.</w:t>
      </w:r>
    </w:p>
    <w:p>
      <w:pPr>
        <w:pStyle w:val="BodyText"/>
      </w:pPr>
      <w:r>
        <w:t xml:space="preserve">Gerontologists Margo Kushel and Rebecca Brown have documented the clinical consequences at the population level. Their research at UCSF’s Center for Vulnerable Populations found that homeless adults over fifty exhibited rates of geriatric conditions, including cognitive impairment, falls, urinary incontinence, and functional disability, comparable to housed adults over seventy-five. The street had added twenty-five years of biological age to their bodies. The finding was not metaphorical. It was measured in bone density scans, cognitive assessments, grip strength tests, and cardiac imaging.</w:t>
      </w:r>
    </w:p>
    <w:p>
      <w:pPr>
        <w:pStyle w:val="BodyText"/>
      </w:pPr>
      <w:r>
        <w:t xml:space="preserve">Gloria, at fifty-one, was biologically closer to seventy-five. Her joints ached in the morning because chronic inflammation had degraded her cartilage. Her vision had worsened because sustained high cortisol levels accelerates lens opacity. She developed hypertension during her second year outside, a condition she had never had indoors, because her cardiovascular system could not sustain the allostatic load without structural adaptation. Each of these changes was individually treatable in a clinical setting. On the street, none of them was treated, because the street does not contain a clinical setting, and the clinical settings that exist in the city require appointments, transportation, and the executive function to navigate intake processes that Gloria’s prefrontal cortex could no longer manage.</w:t>
      </w:r>
    </w:p>
    <w:p>
      <w:pPr>
        <w:pStyle w:val="BodyText"/>
      </w:pPr>
      <w:r>
        <w:t xml:space="preserve">The open-air trauma ward operates twenty-four hours a day and admits patients involuntarily. It charges no fees and provides no care. Its throughput is measured in years of life subtracted from each patient. For every year Gloria remained on the street, her body lost approximately five years of functional capacity, a rate that would have justified emergency intervention in any medical context except the one that American cities have constructed for the unsheltered population: the context in which the patient is not recognized as a patient, the ward is not recognized as a ward, and the deterioration is not recognized as a clinical event because it occurs outdoors rather than inside a building with a medical license.</w:t>
      </w:r>
    </w:p>
    <w:p>
      <w:pPr>
        <w:pStyle w:val="BodyText"/>
      </w:pPr>
      <w:r>
        <w:t xml:space="preserve">The city does not see a trauma ward when it looks at the encampment. It sees a nuisance, a property value problem, or a humanitarian concern. The distinction matters because what you see determines what you build in response. A nuisance gets a police sweep. A property value problem gets a fence. A humanitarian concern gets a donation. A trauma ward gets a hospital. The encampment is a trauma ward. The city has not built the hospital.</w:t>
      </w:r>
    </w:p>
    <w:p>
      <w:r>
        <w:pict>
          <v:rect style="width:0;height:1.5pt" o:hralign="center" o:hrstd="t" o:hr="t"/>
        </w:pict>
      </w:r>
    </w:p>
    <w:bookmarkEnd w:id="26"/>
    <w:bookmarkStart w:id="27" w:name="chapter-5-the-destruction-of-sleep"/>
    <w:p>
      <w:pPr>
        <w:pStyle w:val="Heading1"/>
      </w:pPr>
      <w:r>
        <w:t xml:space="preserve">Chapter 5: The Destruction of Sleep</w:t>
      </w:r>
    </w:p>
    <w:p>
      <w:pPr>
        <w:pStyle w:val="FirstParagraph"/>
      </w:pPr>
      <w:r>
        <w:t xml:space="preserve">Sleep is not rest. It is the brain’s primary maintenance cycle, and without it, the organ that governs every higher function a human being can perform degrades in a sequence that neuroscientists have documented with precision.</w:t>
      </w:r>
    </w:p>
    <w:p>
      <w:pPr>
        <w:pStyle w:val="BodyText"/>
      </w:pPr>
      <w:r>
        <w:t xml:space="preserve">During deep non-REM sleep, the glymphatic system flushes metabolic waste from brain tissue through a network of channels that expand when the brain is in its resting state and collapse when it is current. Maiken Nedergaard’s research at the University of Rochester identified this clearance mechanism in 2013, establishing that the brain requires extended periods of deep sleep to remove the accumulated byproducts of daytime neural activity. When deep sleep is interrupted or prevented, the waste accumulates. The accumulation impairs the structures it contacts, beginning with the hippocampus and the prefrontal cortex, which are the regions most metabolically current during waking hours and most dependent on nightly clearance to maintain function.</w:t>
      </w:r>
    </w:p>
    <w:p>
      <w:pPr>
        <w:pStyle w:val="BodyText"/>
      </w:pPr>
      <w:r>
        <w:t xml:space="preserve">Gloria had not achieved deep sleep in over a year. The reason was not insomnia. It was architecture.</w:t>
      </w:r>
    </w:p>
    <w:p>
      <w:pPr>
        <w:pStyle w:val="BodyText"/>
      </w:pPr>
      <w:r>
        <w:t xml:space="preserve">A person sleeping indoors in a room with a locking door occupies an environment that the nervous system can classify as non-threatening. Anthony Giddens introduced the term ontological security to describe this classification: the settled confidence that the physical world is stable, predictable, and non-threatening. When ontological security is present, the nervous system permits the transition from sympathetic activation, the fight-or-flight state, to parasympathetic dominance, the rest-and-digest state in which deep sleep becomes possible. The locking door is not a luxury. It is the mechanical prerequisite for the neurological state that permits brain maintenance.</w:t>
      </w:r>
    </w:p>
    <w:p>
      <w:pPr>
        <w:pStyle w:val="BodyText"/>
      </w:pPr>
      <w:r>
        <w:t xml:space="preserve">On the street, the locking door does not exist. Gloria slept under a tarp anchored to a chain-link fence near the intersection of Sixth and Gladys. The tarp provided partial rain protection. It provided no security. Foot traffic passed within eight feet of her sleeping position at all hours. Other encampment residents moved through the area unpredictably. Police and sanitation crews conducted sweeps on an irregular schedule that made every surface in the encampment feel temporary. The ambient noise environment included traffic, sirens, generators, arguments, and the irregular percussion of shopping carts crossing broken sidewalk.</w:t>
      </w:r>
    </w:p>
    <w:p>
      <w:pPr>
        <w:pStyle w:val="BodyText"/>
      </w:pPr>
      <w:r>
        <w:t xml:space="preserve">Under these conditions, the nervous system does not permit deep sleep. Stephen Porges’s polyvagal theory describes the autonomic hierarchy that governs this refusal. When the neuroception system, the brain’s unconscious threat assessment mechanism, detects cues of danger in the environment, it locks the autonomic nervous system into sympathetic activation. The body remains in a state of vigilant readiness. Heart rate stays high. Muscles maintain tension. The brain suppresses the slow-wave oscillations that would initiate deep non-REM sleep, because entering that state in an unsafe environment would leave the organism defenseless.</w:t>
      </w:r>
    </w:p>
    <w:p>
      <w:pPr>
        <w:pStyle w:val="BodyText"/>
      </w:pPr>
      <w:r>
        <w:t xml:space="preserve">Gloria slept in fragments. Twenty minutes here, forty minutes there, interrupted by sounds that her neuroception system could not classify as non-threatening. The fragmentation prevented the sustained deep-sleep periods that the glymphatic system requires to clear metabolic waste. Night after night, the waste accumulated. Week after week, the structures it contacted degraded.</w:t>
      </w:r>
    </w:p>
    <w:p>
      <w:pPr>
        <w:pStyle w:val="BodyText"/>
      </w:pPr>
      <w:r>
        <w:t xml:space="preserve">The degradation follows a distinct clinical sequence. Executive function declines first, because the prefrontal cortex is the most metabolically demanding structure in the brain and the most sensitive to waste accumulation. A person losing executive function cannot plan beyond the immediate moment, cannot sequence multi-step tasks, cannot regulate emotional responses to minor frustrations, and cannot maintain the working memory required to follow a conversation longer than a few exchanges. Emotional regulation declines next, as hippocampal degradation impairs the ability to contextualize threats and distinguish present danger from remembered trauma. A person losing emotional regulation responds to every stimulus as though it is an emergency. Small provocations generate rage or terror. The nervous system oscillates between hyperarousal and collapse.</w:t>
      </w:r>
    </w:p>
    <w:p>
      <w:pPr>
        <w:pStyle w:val="BodyText"/>
      </w:pPr>
      <w:r>
        <w:t xml:space="preserve">The outreach workers who visited Gloria’s encampment on Tuesday mornings encountered a person in this condition. They interpreted her non-responsiveness as disengagement. They interpreted her occasional outbursts of anger at neighboring residents as behavioral volatility. Both interpretations assumed an intact executive system making choices about how to interact with the world. The assumption was wrong. Gloria was not choosing to disengage or choosing to be volatile. Her brain was operating on the residual capacity that months of sleep deprivation had left intact, which was sufficient for the repetitive motor tasks of sorting clothes and pushing a cart but insufficient for the goal-governed, socially calibrated behavior that the outreach interaction required.</w:t>
      </w:r>
    </w:p>
    <w:p>
      <w:pPr>
        <w:pStyle w:val="BodyText"/>
      </w:pPr>
      <w:r>
        <w:t xml:space="preserve">The existing system demands this behavior as the price of entry. Shelter placements require signing contracts. Housing applications require filling out forms. Case management requires attending scheduled appointments. Each of these demands assumes a level of executive function that the street systematically destroys through sleep deprivation before the demand is made. The system is asking a person whose brain maintenance cycle has been interrupted for fourteen hundred consecutive nights to perform tasks that require a maintained brain. The request is physically incoherent. Its failure rate is not a mystery. It is a design specification.</w:t>
      </w:r>
    </w:p>
    <w:p>
      <w:pPr>
        <w:pStyle w:val="BodyText"/>
      </w:pPr>
      <w:r>
        <w:t xml:space="preserve">Restoring Gloria’s capacity to engage with any program requires restoring her sleep. Restoring her sleep requires a locking door, acoustic isolation rated above STC 65, and a ninety-day decompression window during which no institutional demand is placed on her nervous system. These specifications are not aspirational. They are the biological preconditions for the glymphatic clearance that would begin reversing the prefrontal and hippocampal damage the street has caused.</w:t>
      </w:r>
    </w:p>
    <w:p>
      <w:pPr>
        <w:pStyle w:val="BodyText"/>
      </w:pPr>
      <w:r>
        <w:t xml:space="preserve">The city does not currently provide these specifications to anyone. Building the infrastructure that provides them is the subject of Part Four.</w:t>
      </w:r>
    </w:p>
    <w:p>
      <w:r>
        <w:pict>
          <v:rect style="width:0;height:1.5pt" o:hralign="center" o:hrstd="t" o:hr="t"/>
        </w:pict>
      </w:r>
    </w:p>
    <w:bookmarkEnd w:id="27"/>
    <w:bookmarkStart w:id="28" w:name="chapter-6-the-broken-brain"/>
    <w:p>
      <w:pPr>
        <w:pStyle w:val="Heading1"/>
      </w:pPr>
      <w:r>
        <w:t xml:space="preserve">Chapter 6: The Broken Brain</w:t>
      </w:r>
    </w:p>
    <w:p>
      <w:pPr>
        <w:pStyle w:val="FirstParagraph"/>
      </w:pPr>
      <w:r>
        <w:t xml:space="preserve">The most dangerous consequence of street exposure is one that the person experiencing it cannot perceive. Neurologists call the condition anosognosia, which is the physical inability of a damaged brain to recognize its own damage. The word comes from the Greek: nosos for disease, gnosis for knowledge, and the prefix a- for without. A person with anosognosia does not know they are sick because the part of the brain that would generate that knowledge has been destroyed by the sickness itself.</w:t>
      </w:r>
    </w:p>
    <w:p>
      <w:pPr>
        <w:pStyle w:val="BodyText"/>
      </w:pPr>
      <w:r>
        <w:t xml:space="preserve">Xavier Amador documented the mechanics of this condition across two decades of clinical research. In his study of patients with acute schizophrenia and psychotic disorders, Amador found that approximately fifty percent lacked any awareness of their illness. These patients were not in denial, because denial is a psychological defense that requires an intact cognitive system choosing to reject uncomfortable information. They were neurologically incapable of perceiving their own state. The frontal lobe structures responsible for self-monitoring and self-evaluation had been compromised by the disease process, and the damage to those structures eliminated the capacity to recognize the damage.</w:t>
      </w:r>
    </w:p>
    <w:p>
      <w:pPr>
        <w:pStyle w:val="BodyText"/>
      </w:pPr>
      <w:r>
        <w:t xml:space="preserve">The street produces anosognosia through a different pathway than schizophrenia, but the functional result is identical. Chronic sleep deprivation, sustained cortisol exposure, and progressive prefrontal degradation impair the same self-monitoring circuits that Amador identified in psychotic patients. A person who has been sleeping outside in Los Angeles for three years has sustained measurable damage to the neural architecture that would allow them to evaluate their own condition and respond to offers of assistance. The outreach worker arrives with a shelter placement. The person does not respond, or responds with hostility, or responds with a statement that they are fine and do not need help. The system records this as a refusal. The recording is false. The person cannot refuse because the neurological equipment required for informed refusal has been degraded by the conditions the system left them in.</w:t>
      </w:r>
    </w:p>
    <w:p>
      <w:pPr>
        <w:pStyle w:val="BodyText"/>
      </w:pPr>
      <w:r>
        <w:t xml:space="preserve">This distinction between refusal and incapacity is the hinge on which every policy question in this book turns. If the person on the sidewalk is refusing help, the state has no authority to compel it. Autonomy is a constitutional value in American law and a foundational principle in Western political philosophy since Kant. A competent person’s refusal, even of life-saving treatment, is binding. The state must respect it.</w:t>
      </w:r>
    </w:p>
    <w:p>
      <w:pPr>
        <w:pStyle w:val="BodyText"/>
      </w:pPr>
      <w:r>
        <w:t xml:space="preserve">If the person on the sidewalk is incapable of refusing help because the neurological substrate of refusal has been physically damaged, the moral and legal calculus changes. Respecting the stated preferences of a person who lacks the neurological capacity to form preferences is not autonomy. It is abandonment dressed in the language of rights. The city that records the interaction as a refusal and drives away has not honored Gloria’s freedom. It has used her neurological destruction as administrative cover for its own failure to act.</w:t>
      </w:r>
    </w:p>
    <w:p>
      <w:pPr>
        <w:pStyle w:val="BodyText"/>
      </w:pPr>
      <w:r>
        <w:t xml:space="preserve">Gloria, on her milk crate at Fifth and San Pedro, demonstrated this condition in observable terms that required no clinical training to identify. She sorted clothes in a repeating loop for three hours without completing any organizing goal. She did not track the movement of people around her. She did not respond to firsthand address from the outreach workers. She was not sleeping, eating, or protecting her belongings from theft. She was performing a repetitive motor behavior that the nervous system defaults to when executive function has been stripped below the threshold required for goal-governed activity.</w:t>
      </w:r>
    </w:p>
    <w:p>
      <w:pPr>
        <w:pStyle w:val="BodyText"/>
      </w:pPr>
      <w:r>
        <w:t xml:space="preserve">A physician evaluating this presentation in a clinical setting would order a neurological workup. On the street, no physician was present. The outreach workers were trained in motivational interviewing and trauma-informed care, which are valuable clinical models when applied to populations whose neurological capacity to engage in motivated conversation and informed decision-making remains intact. Applied to a person in Gloria’s condition, motivational interviewing is a conversation with a nervous system that cannot participate in conversation. The model assumes the very capacity that the street has destroyed.</w:t>
      </w:r>
    </w:p>
    <w:p>
      <w:pPr>
        <w:pStyle w:val="BodyText"/>
      </w:pPr>
      <w:r>
        <w:t xml:space="preserve">The scale of the problem is not marginal. The UCSF Benioff Homelessness and Housing Initiative’s 2023 statewide study found that sixty percent of California’s unsheltered population reported a mental health condition, and forty-six percent reported a substance use condition that preceded their homelessness. Among the chronically unsheltered, the subset that has been outside for more than one year and suffers from a qualifying disability, the rates are higher and the neurological impairment is more acute. These are the individuals who cycle through the system’s intake processes repeatedly without engaging, who are recorded as service-resistant or non-compliant, and whose continued presence on the street generates the visual evidence that the public interprets as proof that the system is not working.</w:t>
      </w:r>
    </w:p>
    <w:p>
      <w:pPr>
        <w:pStyle w:val="BodyText"/>
      </w:pPr>
      <w:r>
        <w:t xml:space="preserve">The system is not working. The diagnosis is correct but the cause is wrong. The system fails this population because it was designed to serve a person who can receive services, and this population cannot receive services until the biological damage that prevents reception has been addressed. Addressing that damage requires the physical infrastructure described in the chapters that follow: the locking door, the acoustic isolation, the metabolic decompression of Phase Zero, and the relational architecture of the Dunbar Pod. The broken brain cannot be fixed by a program. It can be fixed by ninety days of uninterrupted sleep behind a door that locks from the inside, in a room where the sound transmission class rating of the walls exceeds STC 65, where food arrives without a compliance form, and where no one asks the person to do anything other than rest.</w:t>
      </w:r>
    </w:p>
    <w:p>
      <w:pPr>
        <w:pStyle w:val="BodyText"/>
      </w:pPr>
      <w:r>
        <w:t xml:space="preserve">The city does not have this infrastructure. Building it is the subject of the next six chapters.</w:t>
      </w:r>
    </w:p>
    <w:p>
      <w:r>
        <w:pict>
          <v:rect style="width:0;height:1.5pt" o:hralign="center" o:hrstd="t" o:hr="t"/>
        </w:pict>
      </w:r>
    </w:p>
    <w:bookmarkEnd w:id="28"/>
    <w:bookmarkStart w:id="29" w:name="chapter-7-the-infinite-spending-drain"/>
    <w:p>
      <w:pPr>
        <w:pStyle w:val="Heading1"/>
      </w:pPr>
      <w:r>
        <w:t xml:space="preserve">Chapter 7: The Infinite Spending Drain</w:t>
      </w:r>
    </w:p>
    <w:p>
      <w:pPr>
        <w:pStyle w:val="FirstParagraph"/>
      </w:pPr>
      <w:r>
        <w:t xml:space="preserve">On a Tuesday morning in March 2024, the Los Angeles Department of Public Works dispatched a sanitation crew to the 600 block of San Pedro Street. The crew consisted of eight workers, two front-end loaders, a dump truck, and a pressure washer. Two LAPD officers accompanied the operation. A Department of Sanitation supervisor recorded the action on a tablet. The crew spent four hours clearing approximately forty tents, two hundred bags of personal property, and an uncounted volume of debris. The sidewalk was clean by noon.</w:t>
      </w:r>
    </w:p>
    <w:p>
      <w:pPr>
        <w:pStyle w:val="BodyText"/>
      </w:pPr>
      <w:r>
        <w:t xml:space="preserve">By Thursday the tents were back. Different tents, in some cases, belonging to different people who had been displaced from a sweep on Fourth Street two days earlier. The sidewalk that had been cleared on Tuesday was indistinguishable from its pre-sweep condition by the following Monday. The city had spent an estimated forty-seven thousand dollars on the operation, including personnel costs, equipment depreciation, disposal fees, and the police overtime that accompanied the action. The return on that expenditure was approximately seventy-two hours of clean concrete.</w:t>
      </w:r>
    </w:p>
    <w:p>
      <w:pPr>
        <w:pStyle w:val="BodyText"/>
      </w:pPr>
      <w:r>
        <w:t xml:space="preserve">Los Angeles conducted over eleven thousand encampment cleanups in fiscal year 2023. The city’s expenditure on street engagement, cleanup, and enforcement operations exceeded three hundred million dollars annually when accounting for cross-departmental costs spread across Public Works, Sanitation, LAPD, and the Los Angeles Homeless Services Authority. The unsheltered count rose during the same period.</w:t>
      </w:r>
    </w:p>
    <w:p>
      <w:pPr>
        <w:pStyle w:val="BodyText"/>
      </w:pPr>
      <w:r>
        <w:t xml:space="preserve">This arithmetic is not a policy failure in the conventional sense. A policy failure implies that the policy intended one outcome and produced another. The cleanup cycle does not fail. It performs its designed function, which is the production of temporary visual order. The sweep clears the sidewalk. The cleared sidewalk satisfies the constituent complaint that initiated the sweep. The constituent complaint is resolved in the council office’s tracking system. The cycle resets. No structural variable changes because no structural intervention occurred.</w:t>
      </w:r>
    </w:p>
    <w:p>
      <w:pPr>
        <w:pStyle w:val="BodyText"/>
      </w:pPr>
      <w:r>
        <w:t xml:space="preserve">Gloria was swept from her encampment at Sixth and Gladys three times in her first year on the street. Each sweep destroyed property she could not replace: a sleeping bag rated to thirty degrees that she had received from a church volunteer, a bag of medications she had obtained from a county clinic after a four-hour wait, a pair of shoes that fit her swollen feet. After each sweep she rebuilt in a new location, expending calories she could not afford on the physical labor of carrying her remaining possessions to a site that had not yet been scheduled for clearance. The sweep did not move her toward housing. It moved her toward deeper metabolic depletion.</w:t>
      </w:r>
    </w:p>
    <w:p>
      <w:pPr>
        <w:pStyle w:val="BodyText"/>
      </w:pPr>
      <w:r>
        <w:t xml:space="preserve">The fiscal structure that sustains this cycle is self-reinforcing. Council districts receive constituent complaints about encampments. Council offices firsthand sanitation and enforcement resources to the locations generating the most complaints. The resources produce a temporary visual result that reduces complaint volume for the duration of the cleared period. When the encampment returns and complaints resume, the cycle repeats. The budget line item that funds the cycle is justified by the volume of complaints resolved, which is a metric that increases as the cycle accelerates, because each displacement generates new encampments in new locations that generate new complaints from new constituents.</w:t>
      </w:r>
    </w:p>
    <w:p>
      <w:pPr>
        <w:pStyle w:val="BodyText"/>
      </w:pPr>
      <w:r>
        <w:t xml:space="preserve">Gary Blasi, professor emeritus at UCLA School of Law, has described this pattern as aesthetic management: the allocation of public resources to manage the visual presentation of a crisis rather than the crisis itself. The term captures the operational logic with precision. The spending is not wasted in the sense that it produces no output. It produces the output it was designed to produce, which is a temporarily clean sidewalk. The output is not connected to any outcome that reduces the unsheltered population, because the spending was never designed to produce that outcome.</w:t>
      </w:r>
    </w:p>
    <w:p>
      <w:pPr>
        <w:pStyle w:val="BodyText"/>
      </w:pPr>
      <w:r>
        <w:t xml:space="preserve">The alternative is capital investment in permanent infrastructure. A single MDI tower, acquired through the distressed commercial real estate market at sixty to eighty percent below peak valuation, converted to residential stabilization use, and operated as a public utility, generates a net annual efficiency surplus of thirty-three to eighty-two million dollars when measured against the combined costs of emergency room use, psychiatric crisis intervention, law enforcement contact, and the cleanup cycle itself. The surplus is real because the costs it displaces are real, documented annually in the county’s own budget reports, and growing at a rate that exceeds inflation.</w:t>
      </w:r>
    </w:p>
    <w:p>
      <w:pPr>
        <w:pStyle w:val="BodyText"/>
      </w:pPr>
      <w:r>
        <w:t xml:space="preserve">The city currently spends three hundred million dollars per year to move tents from one block to another. The same three hundred million, redirected over a five-year capitalization period, would acquire and convert six to eight towers, providing permanent stabilization infrastructure for four thousand to six thousand individuals and eliminating the recurring cleanup expenditure for every person housed within those structures.</w:t>
      </w:r>
    </w:p>
    <w:p>
      <w:pPr>
        <w:pStyle w:val="BodyText"/>
      </w:pPr>
      <w:r>
        <w:t xml:space="preserve">The spending drain continues because the political incentive structure rewards the short-term visual result over the long-term capital investment. A council member who funds a tower conversion must wait three years for the ribbon cutting. A council member who funds a sweep delivers a clean sidewalk by Thursday. The constituent who complained does not know what the sweep cost or that the cost recurs indefinitely. The constituent only knows that the sidewalk is clean. Until the political incentive structure changes, the drain will continue, and every dollar that enters it will exit as clean concrete and nothing else.</w:t>
      </w:r>
    </w:p>
    <w:p>
      <w:r>
        <w:pict>
          <v:rect style="width:0;height:1.5pt" o:hralign="center" o:hrstd="t" o:hr="t"/>
        </w:pict>
      </w:r>
    </w:p>
    <w:bookmarkEnd w:id="29"/>
    <w:bookmarkStart w:id="30" w:name="chapter-8-the-trauma-amplifier"/>
    <w:p>
      <w:pPr>
        <w:pStyle w:val="Heading1"/>
      </w:pPr>
      <w:r>
        <w:t xml:space="preserve">Chapter 8: The Trauma Amplifier</w:t>
      </w:r>
    </w:p>
    <w:p>
      <w:pPr>
        <w:pStyle w:val="FirstParagraph"/>
      </w:pPr>
      <w:r>
        <w:t xml:space="preserve">The congregate shelter is the standard institutional response to unsheltered homelessness in the United States, and it reproduces the conditions of the street inside a building.</w:t>
      </w:r>
    </w:p>
    <w:p>
      <w:pPr>
        <w:pStyle w:val="BodyText"/>
      </w:pPr>
      <w:r>
        <w:t xml:space="preserve">A typical large shelter in Los Angeles operates as a warehouse-scale dormitory. Beds are arranged in rows of fifty to two hundred, separated by eighteen to thirty-six inches. There are no partitions between sleeping areas. Bathrooms are communal, shared among all occupants on the floor. Lights operate on an institutional schedule. Intake occurs in the evening; discharge occurs in the morning. Personal property is restricted to what fits in a small bin beneath the bed. Residents cannot lock any space. They cannot control who sleeps beside them, who moves through the room at night, or when the overhead lighting changes.</w:t>
      </w:r>
    </w:p>
    <w:p>
      <w:pPr>
        <w:pStyle w:val="BodyText"/>
      </w:pPr>
      <w:r>
        <w:t xml:space="preserve">For a person arriving from the street, this environment activates the same autonomic responses that the street activates. Stephen Porges’s polyvagal model explains why. The neuroception system evaluates safety based on environmental cues that operate below conscious awareness: the proximity of unfamiliar bodies, the unpredictability of movement in the space, the absence of a physical barrier that the nervous system can interpret as a boundary between self and threat. A room containing one hundred strangers, with no locking door and no acoustic isolation, presents the same neuroceptive profile as a street encampment. The sympathetic nervous system remains in threat mode. Deep sleep remains impossible.</w:t>
      </w:r>
    </w:p>
    <w:p>
      <w:pPr>
        <w:pStyle w:val="BodyText"/>
      </w:pPr>
      <w:r>
        <w:t xml:space="preserve">Gloria entered a congregate shelter once, during her second month on the street, before the neurological damage from chronic exposure had fully progressed. She left after one night. The experience was worse than the sidewalk, because the sidewalk allowed her to position herself with her back against a wall and her belongings within arm’s reach, which provided a minimal sense of territorial control that the shelter’s open-floor plan eliminated. On the sidewalk she could hear threats approaching from a distance. In the shelter she was surrounded by breathing, coughing, and movement from every direction, and the acoustic environment prevented her nervous system from distinguishing between ambient noise and potential danger.</w:t>
      </w:r>
    </w:p>
    <w:p>
      <w:pPr>
        <w:pStyle w:val="BodyText"/>
      </w:pPr>
      <w:r>
        <w:t xml:space="preserve">Her experience is not unusual. The 2023 UCSF statewide study found that a significant share of unsheltered individuals had previously used shelter services and declined to return. The study’s respondents cited distinct environmental conditions as their primary reason for refusal: lack of privacy, inability to keep possessions locked, fear of theft and assault, and the requirement to leave during daytime hours. These are not preferences. They are autonomic responses to an environment that the nervous system cannot classify as non-threatening.</w:t>
      </w:r>
    </w:p>
    <w:p>
      <w:pPr>
        <w:pStyle w:val="BodyText"/>
      </w:pPr>
      <w:r>
        <w:t xml:space="preserve">The shelter system’s retention problem is a design problem. A person whose nervous system has been calibrated by months or years of street exposure to treat every unfamiliar environment as a threat will not achieve biological stabilization in an environment that presents the same threat profile as the street. Biological stabilization requires distinct physical conditions: a private room, a locking door, acoustic isolation sufficient to permit deep sleep, and a duration of uninterrupted safety long enough for cortisol levels to normalize and prefrontal function to begin recovering. The congregate shelter provides none of these conditions. It provides a roof, which addresses rain and temperature but does not address the neurological damage that drives chronic homelessness.</w:t>
      </w:r>
    </w:p>
    <w:p>
      <w:pPr>
        <w:pStyle w:val="BodyText"/>
      </w:pPr>
      <w:r>
        <w:t xml:space="preserve">The fiscal cost of this design failure compounds annually. The per-bed operating cost of a congregate shelter in Los Angeles ranges from thirty-five to fifty-five dollars per night, depending on the facility and the services bundled with the bed. For a one-hundred-bed shelter operating at ninety percent capacity for three hundred sixty-five nights, the annual operating cost ranges from one point one million to one point eight million dollars. The outcome produced by this expenditure is temporary overnight housing that does not reduce the unsheltered population, because the individuals cycling through the shelter are not being stabilized. They are being stored for twelve hours and returned to the street in the morning.</w:t>
      </w:r>
    </w:p>
    <w:p>
      <w:pPr>
        <w:pStyle w:val="BodyText"/>
      </w:pPr>
      <w:r>
        <w:t xml:space="preserve">The trauma amplifier label is clinical, not rhetorical. A shelter that interrupts sleep, eliminates privacy, removes territorial control, and surrounds a traumatized individual with the unpredictable behavior of one hundred other traumatized individuals is amplifying the physiological damage that produced the homelessness in the first place. Each night in such a facility delays the neurological recovery that would eventually enable the person to sustain permanent housing. The system is spending one point five million dollars per facility per year to make the problem harder to solve.</w:t>
      </w:r>
    </w:p>
    <w:p>
      <w:pPr>
        <w:pStyle w:val="BodyText"/>
      </w:pPr>
      <w:r>
        <w:t xml:space="preserve">The alternative is not the absence of shelter. It is a different kind of shelter, one whose physical specifications match the biological requirements of the population it serves. Those specifications are the subject of the chapters that follow.</w:t>
      </w:r>
    </w:p>
    <w:p>
      <w:r>
        <w:pict>
          <v:rect style="width:0;height:1.5pt" o:hralign="center" o:hrstd="t" o:hr="t"/>
        </w:pict>
      </w:r>
    </w:p>
    <w:bookmarkEnd w:id="30"/>
    <w:bookmarkStart w:id="31" w:name="chapter-9-the-scattered-site-illusion"/>
    <w:p>
      <w:pPr>
        <w:pStyle w:val="Heading1"/>
      </w:pPr>
      <w:r>
        <w:t xml:space="preserve">Chapter 9: The Scattered-Site Illusion</w:t>
      </w:r>
    </w:p>
    <w:p>
      <w:pPr>
        <w:pStyle w:val="FirstParagraph"/>
      </w:pPr>
      <w:r>
        <w:t xml:space="preserve">Housing First, as implemented in the United States, places individuals straight into permanent housing units distributed across the private rental market. The theory is sound: a person cannot stabilize without a stable address, and requiring sobriety or treatment compliance as a precondition for housing inverts the causal sequence, demanding the outcome before providing the conditions that produce it. Sam Tsemberis developed the model at Pathways to Housing in New York in 1992, and its theoretical foundation has been validated by every major longitudinal study conducted since. Finland adopted a national Housing First strategy and achieved eighty to ninety percent two-year housing retention.</w:t>
      </w:r>
    </w:p>
    <w:p>
      <w:pPr>
        <w:pStyle w:val="BodyText"/>
      </w:pPr>
      <w:r>
        <w:t xml:space="preserve">The United States achieves below forty percent. The gap between Finland’s outcome and America’s is not a gap in theory. It is a gap in implementation, and the gap has a distinct structural cause.</w:t>
      </w:r>
    </w:p>
    <w:p>
      <w:pPr>
        <w:pStyle w:val="BodyText"/>
      </w:pPr>
      <w:r>
        <w:t xml:space="preserve">American Housing First implementation distributes individuals into scattered-site apartments, which are conventional rental units leased from private landlords through subsidy programs, located throughout the city in buildings where the majority of tenants are not program participants. The individual receives a key, a case manager who visits periodically, and a lease that carries the same obligations as any market-rate tenancy. The system counts the placement as a success at the moment the lease is signed.</w:t>
      </w:r>
    </w:p>
    <w:p>
      <w:pPr>
        <w:pStyle w:val="BodyText"/>
      </w:pPr>
      <w:r>
        <w:t xml:space="preserve">The placement is not a success. It is the beginning of a countdown. A person who has been sleeping outside for two years carries the neurological damage documented in the preceding chapters: degraded executive function, impaired emotional regulation, disrupted sleep architecture, and the social isolation produced by months or years without sustained human contact. This person is placed into an apartment alone. The apartment is quiet, which is good for sleep. The apartment is also empty of every relational structure that a human being requires to sustain recovery over time.</w:t>
      </w:r>
    </w:p>
    <w:p>
      <w:pPr>
        <w:pStyle w:val="BodyText"/>
      </w:pPr>
      <w:r>
        <w:t xml:space="preserve">Finland’s Housing First programs achieve their retention rates because they embed the housing unit within a relational infrastructure. Each resident has a dedicated housing advisor who maintains regular contact and carries detailed knowledge of the individual’s history. Community spaces within the housing support social interaction among residents. The advisor-to-resident ratio is low enough that the advisor knows each person by name and can detect early signs of crisis before the crisis escalates to lease violation. The relational layer is not an add-on. It is the structural element that converts housing placement into housing retention.</w:t>
      </w:r>
    </w:p>
    <w:p>
      <w:pPr>
        <w:pStyle w:val="BodyText"/>
      </w:pPr>
      <w:r>
        <w:t xml:space="preserve">American scattered-site implementation omits this layer. Case managers carry caseloads of thirty to sixty individuals. Visits occur monthly or less frequently. The case manager does not live in the building, does not share meals with the resident, and does not have the time or the structural position to build the relational continuity that Finland’s model depends on. The resident is alone in an apartment with a brain that has been damaged by the street, a nervous system that has not yet recalibrated to indoor safety, and no one within physical proximity who knows them well enough to notice when the deterioration begins.</w:t>
      </w:r>
    </w:p>
    <w:p>
      <w:pPr>
        <w:pStyle w:val="BodyText"/>
      </w:pPr>
      <w:r>
        <w:t xml:space="preserve">The deterioration begins with missed appointments, because the prefrontal damage from chronic sleep deprivation impairs the capacity to track scheduled obligations. It progresses to erratic behavior as emotional regulation fails under the stress of isolation. Neighbors in the building, who did not choose to live near a formerly unsheltered individual and who have no context for understanding the behavior, file complaints. The landlord issues warnings. The warnings escalate to eviction proceedings. The person is back on the street within twelve to eighteen months, in the same or worse neurological condition than when the placement began.</w:t>
      </w:r>
    </w:p>
    <w:p>
      <w:pPr>
        <w:pStyle w:val="BodyText"/>
      </w:pPr>
      <w:r>
        <w:t xml:space="preserve">This cycle is not a rare outcome. It is the modal outcome of American scattered-site Housing First implementation, and it explains the sub-forty-percent retention rate that separates American results from Finnish results. The theory works. The implementation fails because it provides the physical container of housing without the relational infrastructure that converts the container into a home.</w:t>
      </w:r>
    </w:p>
    <w:p>
      <w:pPr>
        <w:pStyle w:val="BodyText"/>
      </w:pPr>
      <w:r>
        <w:t xml:space="preserve">Gloria never received a scattered-site placement because she never reached the front of the waiting list. The list in Los Angeles County contained over sixty thousand names when she became eligible, and the average wait exceeded four years. Had she received a placement, the outcome would have followed the pattern documented above: a key, a room, a monthly visit from a case manager she did not know, and a countdown to the lease violation that would return her to the sidewalk.</w:t>
      </w:r>
    </w:p>
    <w:p>
      <w:pPr>
        <w:pStyle w:val="BodyText"/>
      </w:pPr>
      <w:r>
        <w:t xml:space="preserve">The alternative to the scattered-site model is the vertically integrated tower, in which the housing unit, the relational infrastructure, the clinical support, and the community architecture are contained within a single structure designed to the biological and social specifications that the preceding chapters have established. That structure is the subject of the next three chapters.</w:t>
      </w:r>
    </w:p>
    <w:p>
      <w:r>
        <w:pict>
          <v:rect style="width:0;height:1.5pt" o:hralign="center" o:hrstd="t" o:hr="t"/>
        </w:pict>
      </w:r>
    </w:p>
    <w:bookmarkEnd w:id="31"/>
    <w:bookmarkStart w:id="32" w:name="chapter-10-the-municipal-quarantine"/>
    <w:p>
      <w:pPr>
        <w:pStyle w:val="Heading1"/>
      </w:pPr>
      <w:r>
        <w:t xml:space="preserve">Chapter 10: The Municipal Quarantine</w:t>
      </w:r>
    </w:p>
    <w:p>
      <w:pPr>
        <w:pStyle w:val="FirstParagraph"/>
      </w:pPr>
      <w:r>
        <w:t xml:space="preserve">In 1908, the city of Los Angeles completed a 233-mile aqueduct from the Owens Valley to the San Fernando Valley. The project cost twenty-three million dollars, employed over five thousand workers, and required five years of construction through some of the most hostile terrain in the American West. William Mulholland, the self-taught engineer who designed and supervised the project, did not build the aqueduct because he felt compassion for thirsty Angelenos. He built it because the city was going to die without water.</w:t>
      </w:r>
    </w:p>
    <w:p>
      <w:pPr>
        <w:pStyle w:val="BodyText"/>
      </w:pPr>
      <w:r>
        <w:t xml:space="preserve">The argument for the aqueduct was not moral. It was mechanical. A city of three hundred thousand people drawing from a local river that could support one hundred thousand faced a binary outcome: import water or cease to exist as a viable urban settlement. The political controversies surrounding the aqueduct, including the dispossession of Owens Valley ranchers and the real estate speculation in the San Fernando Valley, were real and significant. They did not change the underlying physics. The city needed water. Mulholland built the pipe.</w:t>
      </w:r>
    </w:p>
    <w:p>
      <w:pPr>
        <w:pStyle w:val="BodyText"/>
      </w:pPr>
      <w:r>
        <w:t xml:space="preserve">The same mechanical logic governs every major public utility a city has ever constructed. London built its sewer system after the Great Stink of 1858 because cholera and typhoid were killing citizens at rates that threatened the economic viability of the city. New York built its subway system because surface transportation could not move enough workers to sustain the commercial density that the city’s economy required. None of these projects were built from compassion. They were built from self-preservation. The city recognized that a distinct physical threat would destroy it if the threat was not contained, and it built the infrastructure required to contain it.</w:t>
      </w:r>
    </w:p>
    <w:p>
      <w:pPr>
        <w:pStyle w:val="BodyText"/>
      </w:pPr>
      <w:r>
        <w:t xml:space="preserve">The unsheltered population on the streets of Los Angeles presents the same category of threat. The threat is not the people. The threat is the unmanaged biological crisis that their presence on the street represents, and the cascading costs that the crisis imposes on every public system it touches.</w:t>
      </w:r>
    </w:p>
    <w:p>
      <w:pPr>
        <w:pStyle w:val="BodyText"/>
      </w:pPr>
      <w:r>
        <w:t xml:space="preserve">Emergency room use by chronically unsheltered individuals costs Los Angeles County hospitals an estimated two point seven billion dollars annually. A single chronically homeless individual generates average annual public costs of thirty-five thousand to one hundred fifty thousand dollars across emergency medical, psychiatric crisis, law enforcement, and criminal justice systems, depending on the severity of their condition. These costs are not borne by the unsheltered individual. They are borne by the county’s general fund, which means they are borne by every taxpayer in the county, distributed invisibly across hospital budgets that raise costs for insured patients, criminal justice budgets that reduce capacity for other public safety functions, and sanitation budgets that divert resources from routine maintenance.</w:t>
      </w:r>
    </w:p>
    <w:p>
      <w:pPr>
        <w:pStyle w:val="BodyText"/>
      </w:pPr>
      <w:r>
        <w:t xml:space="preserve">The fiscal argument for the MDI tower network mirrors the fiscal argument for the aqueduct: the cost of building the infrastructure is less than the cost of not building it. A single tower acquired at distressed-market pricing, converted to residential stabilization use, and operated at the specifications described in the following chapters, generates an annual efficiency surplus of thirty-three to eighty-two million dollars relative to the status quo costs of managing the same population on the street. Capital recovery occurs within twenty-nine to seventy-one months, depending on acquisition price and operating configuration.</w:t>
      </w:r>
    </w:p>
    <w:p>
      <w:pPr>
        <w:pStyle w:val="BodyText"/>
      </w:pPr>
      <w:r>
        <w:t xml:space="preserve">This is not a social program. It is a public utility. The distinction matters because social programs compete for discretionary funding and justify their budgets through moral arguments that a significant portion of the electorate does not find persuasive. Public utilities justify their budgets through mechanical necessity. No one debates whether the water treatment plant deserves funding. The water treatment plant exists because the alternative is disease. The MDI tower exists because the alternative is the indefinite continuation of a three-hundred-million-dollar annual cleanup cycle, a two-point-seven-billion-dollar annual emergency medical burden, and a street population that grows while the spending grows with it.</w:t>
      </w:r>
    </w:p>
    <w:p>
      <w:pPr>
        <w:pStyle w:val="BodyText"/>
      </w:pPr>
      <w:r>
        <w:t xml:space="preserve">Gloria’s costs to the public system during her four years on the street included eleven emergency room visits totaling approximately seventy-three thousand dollars in unreimbursed medical care, four police contacts that generated booking and processing costs, three sanitation sweeps that destroyed property the county later replaced through outreach distribution, and an indeterminate share of the municipal staff time consumed by constituent complaints about the encampment where she lived. These costs accrued without producing any change in her condition. They were maintenance costs for a problem that the city chose to maintain rather than solve.</w:t>
      </w:r>
    </w:p>
    <w:p>
      <w:pPr>
        <w:pStyle w:val="BodyText"/>
      </w:pPr>
      <w:r>
        <w:t xml:space="preserve">The city builds sewers to prevent biological collapse. It builds water systems to prevent dehydration. It builds electrical grids to prevent economic paralysis. The MDI tower network applies the same logic to the biological crisis on its streets. The tower is a pipe. What it carries is not water. It is the minimum physical infrastructure required to keep a human body alive long enough for the brain to recover its capacity to function. The pipe does not ask whether the person using it deserves water. The tower does not ask whether the person entering it deserves recovery. Both operate on the same principle: the city builds the utility because the cost of not building it is higher than the cost of building it.</w:t>
      </w:r>
    </w:p>
    <w:p>
      <w:r>
        <w:pict>
          <v:rect style="width:0;height:1.5pt" o:hralign="center" o:hrstd="t" o:hr="t"/>
        </w:pict>
      </w:r>
    </w:p>
    <w:bookmarkEnd w:id="32"/>
    <w:bookmarkStart w:id="33" w:name="chapter-11-vertical-stabilization"/>
    <w:p>
      <w:pPr>
        <w:pStyle w:val="Heading1"/>
      </w:pPr>
      <w:r>
        <w:t xml:space="preserve">Chapter 11: Vertical Stabilization</w:t>
      </w:r>
    </w:p>
    <w:p>
      <w:pPr>
        <w:pStyle w:val="FirstParagraph"/>
      </w:pPr>
      <w:r>
        <w:t xml:space="preserve">One California Plaza sold in late 2024 for two hundred million dollars. Four years earlier, the building had been valued at six hundred million. The sixty-seven percent decline was not an anomaly. It was the leading edge of a commercial real estate correction that has made the physical infrastructure for the MDI tower network available at a price that no government budget cycle could have justified at peak market valuations.</w:t>
      </w:r>
    </w:p>
    <w:p>
      <w:pPr>
        <w:pStyle w:val="BodyText"/>
      </w:pPr>
      <w:r>
        <w:t xml:space="preserve">The correction has a structural cause. The COVID-19 pandemic accelerated a transition from in-office to remote and hybrid work configurations that commercial real estate analysts had been forecasting for a decade but that employers had been slow to adopt. When the transition occurred, it occurred rapidly and across every sector simultaneously. Companies that had occupied fifty thousand square feet discovered they needed twenty thousand. Companies that had occupied full floors discovered they needed half floors. When leases expired, tenants either downsized or did not renew. The vacancy rate for Class B and Class C office space in downtown Los Angeles exceeded thirty percent by 2025, and commercial real estate analysts at Cushman and Wakefield projected that approximately half of the existing Class B and C inventory would never return to office use.</w:t>
      </w:r>
    </w:p>
    <w:p>
      <w:pPr>
        <w:pStyle w:val="BodyText"/>
      </w:pPr>
      <w:r>
        <w:t xml:space="preserve">This projection creates a distinct opportunity that has a limited window. The buildings are available now because their owners cannot service their debt at current occupancy levels. A tower generating revenue from twelve percent of its leasable space while carrying a mortgage underwritten at seventy percent occupancy faces a binary choice: sell at a steep discount or default to the lender. Both outcomes produce buildings available for acquisition at prices that reflect the distressed conditions of the market rather than the replacement cost of the structure.</w:t>
      </w:r>
    </w:p>
    <w:p>
      <w:pPr>
        <w:pStyle w:val="BodyText"/>
      </w:pPr>
      <w:r>
        <w:t xml:space="preserve">The replacement cost matters because these are not cheap buildings. A Class B office tower in downtown Los Angeles was constructed with steel-frame structural systems, concrete floor plates, modern elevator banks, electrical and plumbing infrastructure built to commercial code, and HVAC systems designed for high-occupancy loads. Constructing an equivalent building from the ground up would cost between three hundred and five hundred dollars per square foot. Acquiring the same building at distressed pricing costs between sixty and one hundred twenty dollars per square foot. The conversion premium for adapting office floor plates to residential use, which includes adding partition walls, individual bathrooms, kitchenettes, and the acoustic isolation required for Phase Zero units, adds approximately forty to seventy dollars per square foot depending on the scope of the STC rating requirement.</w:t>
      </w:r>
    </w:p>
    <w:p>
      <w:pPr>
        <w:pStyle w:val="BodyText"/>
      </w:pPr>
      <w:r>
        <w:t xml:space="preserve">The total acquisition and conversion cost for a single tower of approximately four hundred thousand square feet, yielding between three hundred and five hundred residential units depending on unit size configuration, ranges from forty to seventy-five million dollars. At peak market valuations, the acquisition alone would have exceeded three hundred million. The distressed market has reduced the capital requirement by sixty to eighty percent.</w:t>
      </w:r>
    </w:p>
    <w:p>
      <w:pPr>
        <w:pStyle w:val="BodyText"/>
      </w:pPr>
      <w:r>
        <w:t xml:space="preserve">Gloria’s encampment at Sixth and Gladys sat within walking distance of fourteen vacant or substantially vacant office towers. The buildings were visible from the sidewalk where she slept. The irony requires no commentary: the physical infrastructure that could have stabilized every person in her encampment stood empty above them, losing value on a depreciation schedule that no private market mechanism would reverse, while the city spent three hundred million dollars annually on cleanup operations that produced no structural change.</w:t>
      </w:r>
    </w:p>
    <w:p>
      <w:pPr>
        <w:pStyle w:val="BodyText"/>
      </w:pPr>
      <w:r>
        <w:t xml:space="preserve">The MDI blueprint specifies a thirty-eight-tower network distributed across the Los Angeles metropolitan area. The network requires approximately nineteen million square feet of total space, configured at a density that yields approximately one hundred fifty residents per floor in the Dunbar Pod arrangement described in Chapter 14. At current distressed-market pricing, the total acquisition and conversion cost for the full network ranges from one point five to two point eight billion dollars, depending on building condition and location.</w:t>
      </w:r>
    </w:p>
    <w:p>
      <w:pPr>
        <w:pStyle w:val="BodyText"/>
      </w:pPr>
      <w:r>
        <w:t xml:space="preserve">This figure is large in total terms and small relative to the cost of the status quo. Los Angeles County spends over five billion dollars annually on systems that manage the unsheltered population without reducing it, including emergency medical, psychiatric crisis, law enforcement, sanitation, and shelter operations. The full MDI network, capitalized over a five-year acquisition period, requires annual capital outlays of three hundred to five hundred sixty million dollars, which is less than the annual cleanup budget alone. Once operational, each tower generates an efficiency surplus by displacing the recurring costs that currently accrue to the individuals it stabilizes.</w:t>
      </w:r>
    </w:p>
    <w:p>
      <w:pPr>
        <w:pStyle w:val="BodyText"/>
      </w:pPr>
      <w:r>
        <w:t xml:space="preserve">The window is closing. Commercial real estate markets are cyclical. When interest rates decline and economic conditions improve, distressed towers will be acquired by private investors for conversion to market-rate residential or mixed-use configurations. The opportunity to acquire these buildings at prices that make the MDI network fiscally viable exists now and will not exist indefinitely. Every quarter of delay increases the average acquisition cost and reduces the number of buildings available at prices that generate the efficiency surplus the model requires.</w:t>
      </w:r>
    </w:p>
    <w:p>
      <w:r>
        <w:pict>
          <v:rect style="width:0;height:1.5pt" o:hralign="center" o:hrstd="t" o:hr="t"/>
        </w:pict>
      </w:r>
    </w:p>
    <w:bookmarkEnd w:id="33"/>
    <w:bookmarkStart w:id="34" w:name="chapter-12-the-synthetic-urban-commons"/>
    <w:p>
      <w:pPr>
        <w:pStyle w:val="Heading1"/>
      </w:pPr>
      <w:r>
        <w:t xml:space="preserve">Chapter 12: The Synthetic Urban Commons</w:t>
      </w:r>
    </w:p>
    <w:p>
      <w:pPr>
        <w:pStyle w:val="FirstParagraph"/>
      </w:pPr>
      <w:r>
        <w:t xml:space="preserve">Every existing pathway into the homeless services system in Los Angeles requires the person seeking help to pass a gate. The gate takes different forms depending on the program: a sobriety requirement, a tuberculosis screening, a signed behavior contract, a background check, an income verification, a case manager assignment, or a waiting list that functions as a temporal gate by making access contingent on surviving long enough to reach the front of the queue. Each gate assumes that the person approaching it possesses the executive function, the documentation, and the behavioral regulation required to pass through it. The preceding chapters have established that the population most in need of stabilization is the population least capable of passing any gate.</w:t>
      </w:r>
    </w:p>
    <w:p>
      <w:pPr>
        <w:pStyle w:val="BodyText"/>
      </w:pPr>
      <w:r>
        <w:t xml:space="preserve">The Synthetic Urban Commons eliminates the gate. The ground floor of every MDI tower operates twenty-four hours a day, three hundred sixty-five days a year, open to any person who walks through the door. No intake form. No identification requirement. No sobriety test. No behavioral contract. The person enters and receives immediate access to the physical resources that the street denies: clean water, food, a shower, a bathroom, a place to sit in safety, a charging station for the phone that connects them to whatever remains of their social network, and veterinary care for the animal companion that many unsheltered individuals will not abandon under any circumstances, which is the single most common reason cited for refusing shelter placement.</w:t>
      </w:r>
    </w:p>
    <w:p>
      <w:pPr>
        <w:pStyle w:val="BodyText"/>
      </w:pPr>
      <w:r>
        <w:t xml:space="preserve">This design is not novel. It replicates the operational logic of the medieval monastery’s hospitium, the guest house that provided food and shelter to any traveler who arrived at the gate without condition or qualification. Benedictine monasteries operated hospitia across Europe for over a thousand years. The principle was straightforward: a person in need who arrives at the door is received because they are a person in need. The principle did not require the guest to earn the hospitality, prove their worthiness, or demonstrate behavioral compliance. It required only that they arrive.</w:t>
      </w:r>
    </w:p>
    <w:p>
      <w:pPr>
        <w:pStyle w:val="BodyText"/>
      </w:pPr>
      <w:r>
        <w:t xml:space="preserve">The modern equivalent scales the principle to the dimensions of a city. A ground-floor commons occupying fifteen to twenty thousand square feet, staffed by a combination of professional service providers and formerly unsheltered individuals hired through the tower’s own workforce pipeline, can process three hundred to five hundred daily contacts while maintaining the environmental conditions required for the nervous system to begin registering safety cues. The space is designed to Porges’s specifications: warm lighting rather than institutional fluorescent, acoustic management that reduces ambient noise below levels that trigger sympathetic activation, clear sightlines that permit the occupant to see exits and assess the room without turning, and staff trained to approach from the front at conversational distance rather than from behind or above.</w:t>
      </w:r>
    </w:p>
    <w:p>
      <w:pPr>
        <w:pStyle w:val="BodyText"/>
      </w:pPr>
      <w:r>
        <w:t xml:space="preserve">Gloria entered a tower commons for the first time on a hypothetical Tuesday morning. No one asked her name. No one asked whether she was sober. No one asked her to sign anything. She sat in a chair near a window and drank a cup of coffee. After forty-five minutes, she used the bathroom, which had a locking door and was clean. After ninety minutes, she accepted a meal from the food service counter. She did not speak to anyone. She did not need to. The commons asked nothing of her nervous system except to be present in a space that did not threaten her.</w:t>
      </w:r>
    </w:p>
    <w:p>
      <w:pPr>
        <w:pStyle w:val="BodyText"/>
      </w:pPr>
      <w:r>
        <w:t xml:space="preserve">This first contact is the critical entry point for the whole MDI pipeline. The commons functions as the mouth of a funnel. At the wide end, any person can enter without qualification. As the person returns, day after day, the nervous system begins to recalibrate. The threat assessment that kept the body in sympathetic activation on the street begins to soften in an environment that consistently presents safety cues. Staff members who are present every day become familiar faces. Familiar faces activate the ventral vagal circuit that governs social engagement. Social engagement permits conversation. Conversation permits the exploration of whether the person might be interested in a room upstairs.</w:t>
      </w:r>
    </w:p>
    <w:p>
      <w:pPr>
        <w:pStyle w:val="BodyText"/>
      </w:pPr>
      <w:r>
        <w:t xml:space="preserve">The upstairs is Phase Zero, and the transition from the commons to Phase Zero is voluntary for every person whose neurological capacity permits voluntary decision-making. For the population whose neurological capacity does not permit voluntary decision-making, the legal mechanisms described in Chapter 16 provide the alternative pathway. The commons does not force anyone upstairs. It creates the biological conditions under which the person’s own nervous system makes the transition possible.</w:t>
      </w:r>
    </w:p>
    <w:p>
      <w:pPr>
        <w:pStyle w:val="BodyText"/>
      </w:pPr>
      <w:r>
        <w:t xml:space="preserve">The cost of operating a ground-floor commons is embedded in the tower’s operating budget, funded through the same CalAIM Medi-Cal billing lines that fund the residential floors above. The services provided on the ground floor, including meals, hygiene facilities, basic medical screening, and harm reduction, are billable under California’s Enhanced Care Management and Community Supports programs. The commons is not a charitable addition to the tower. It is a revenue-generating service point that funds itself while functioning as the entry mechanism for the pipeline that reduces the street population.</w:t>
      </w:r>
    </w:p>
    <w:p>
      <w:r>
        <w:pict>
          <v:rect style="width:0;height:1.5pt" o:hralign="center" o:hrstd="t" o:hr="t"/>
        </w:pict>
      </w:r>
    </w:p>
    <w:bookmarkEnd w:id="34"/>
    <w:bookmarkStart w:id="35" w:name="chapter-13-phase-zero"/>
    <w:p>
      <w:pPr>
        <w:pStyle w:val="Heading1"/>
      </w:pPr>
      <w:r>
        <w:t xml:space="preserve">Chapter 13: Phase Zero</w:t>
      </w:r>
    </w:p>
    <w:p>
      <w:pPr>
        <w:pStyle w:val="FirstParagraph"/>
      </w:pPr>
      <w:r>
        <w:t xml:space="preserve">The transition from street to stability requires a physical bridge. Phase Zero is that bridge: a dedicated floor within the MDI tower designed to specifications that address the neurological damage documented in Chapters 4 through 6 before any social, vocational, or clinical program is introduced.</w:t>
      </w:r>
    </w:p>
    <w:p>
      <w:pPr>
        <w:pStyle w:val="BodyText"/>
      </w:pPr>
      <w:r>
        <w:t xml:space="preserve">The design begins with the door. Each Phase Zero unit contains a single-occupancy room with a door that locks from the inside. The resident holds the only key. No staff member, no case manager, no administrator can enter the room without the resident’s permission except under a medical emergency protocol that requires two-person clinical authorization. The locking door is not a comfort feature. It is the mechanical prerequisite for the autonomic state change that initiates neurological recovery. When the nervous system detects a reliable physical barrier between the self and the environment, the neuroception system begins downregulating the threat response that has been current for the duration of the person’s street exposure.</w:t>
      </w:r>
    </w:p>
    <w:p>
      <w:pPr>
        <w:pStyle w:val="BodyText"/>
      </w:pPr>
      <w:r>
        <w:t xml:space="preserve">The walls are the second critical specification. Phase Zero units are constructed to a Sound Transmission Class rating of STC 65 or higher, which is the acoustic engineering standard that reduces sound transmission between adjacent spaces to levels below the threshold of audibility for conversational speech, television audio, and ambient building noise. At STC 65, a person inside the room cannot hear a conversation occurring in the hallway. They cannot hear footsteps on the floor above. They cannot hear sirens from the street below. For a nervous system that has spent years classifying every ambient sound as a potential threat, the absence of audible stimuli is a clinical intervention. It permits the transition from sympathetic hyperarousal to parasympathetic dominance, which is the autonomic state in which deep non-REM sleep becomes possible.</w:t>
      </w:r>
    </w:p>
    <w:p>
      <w:pPr>
        <w:pStyle w:val="BodyText"/>
      </w:pPr>
      <w:r>
        <w:t xml:space="preserve">The deep sleep is the point. Everything else in Phase Zero is designed to protect it. Lighting in the units is adjustable to allow the resident to match their circadian preference. Temperature is individually controlled. Meals are delivered to the room during the initial stabilization period so that the resident does not need to navigate communal spaces before their nervous system has recalibrated to the presence of other people. No program is offered. No meeting is scheduled. No form is presented. The resident’s only task is to sleep, eat, and exist in safety.</w:t>
      </w:r>
    </w:p>
    <w:p>
      <w:pPr>
        <w:pStyle w:val="BodyText"/>
      </w:pPr>
      <w:r>
        <w:t xml:space="preserve">Gloria entered Phase Zero on her eleventh day of visiting the ground-floor commons. A staff member she had come to recognize by face asked whether she would like to see a room upstairs. She followed the staff member to the elevator, walked down a quiet hallway, and stood in a doorway looking at a room that contained a bed with clean sheets, a bathroom with a door, a window that looked out over the city, and a silence she had not heard in four years. She sat on the bed. She did not lie down immediately, because her nervous system required time to process the absence of threat before it would permit the vulnerability of sleep. She sat for an hour. Then she lay down. She slept for fourteen hours.</w:t>
      </w:r>
    </w:p>
    <w:p>
      <w:pPr>
        <w:pStyle w:val="BodyText"/>
      </w:pPr>
      <w:r>
        <w:t xml:space="preserve">The ninety-day decompression window begins at that moment. Clinical research on cortisol normalization in trauma populations establishes that sustained reduction in cortisol levels requires a minimum of sixty to ninety days of consistent safety cues before the hypothalamic-pituitary-adrenal axis resets to baseline function. During this window, the resident is not expected to make decisions about their future, attend case management appointments, or demonstrate progress toward any defined goal. The window exists because the biology demands it. Prefrontal function cannot be restored by willpower or motivation. It is restored by sleep, nutrition, and the prolonged absence of threat, delivered in sequence, at the pace the nervous system requires.</w:t>
      </w:r>
    </w:p>
    <w:p>
      <w:pPr>
        <w:pStyle w:val="BodyText"/>
      </w:pPr>
      <w:r>
        <w:t xml:space="preserve">By the end of the ninety-day window, a person who has completed Phase Zero has undergone measurable neurological change. Cortisol levels have normalized. Sleep architecture has restored deep non-REM cycles. The prefrontal cortex has begun regaining the capacity for executive function that the street had degraded. The person can hold a conversation. They can track a schedule. They can begin thinking about what comes next.</w:t>
      </w:r>
    </w:p>
    <w:p>
      <w:pPr>
        <w:pStyle w:val="BodyText"/>
      </w:pPr>
      <w:r>
        <w:t xml:space="preserve">What comes next is the Dunbar Pod. The transition from Phase Zero to the residential floor is the transition from biological stabilization to social reintegration, and the social architecture of the pod is designed to the same level of biological specificity as the acoustic isolation of Phase Zero. The resident does not leave the tower. They move upstairs.</w:t>
      </w:r>
    </w:p>
    <w:p>
      <w:r>
        <w:pict>
          <v:rect style="width:0;height:1.5pt" o:hralign="center" o:hrstd="t" o:hr="t"/>
        </w:pict>
      </w:r>
    </w:p>
    <w:bookmarkEnd w:id="35"/>
    <w:bookmarkStart w:id="36" w:name="chapter-14-the-dunbar-pod"/>
    <w:p>
      <w:pPr>
        <w:pStyle w:val="Heading1"/>
      </w:pPr>
      <w:r>
        <w:t xml:space="preserve">Chapter 14: The Dunbar Pod</w:t>
      </w:r>
    </w:p>
    <w:p>
      <w:pPr>
        <w:pStyle w:val="FirstParagraph"/>
      </w:pPr>
      <w:r>
        <w:t xml:space="preserve">Robin Dunbar’s research on primate neocortex size and social group structure established a hard constraint that governs the design of every residential floor in the MDI tower: the human brain can maintain stable, trust-based relationships with approximately one hundred fifty individuals. Beyond that number, the cognitive overhead required to track social identities, remember reciprocal obligations, and distinguish allies from strangers exceeds the neocortical processing capacity that evolution allocated to these functions. The number is not a guideline. It is a biological limit, derived from regression analysis across primate species and validated by anthropological surveys of human social structures from hunter-gatherer bands to military units.</w:t>
      </w:r>
    </w:p>
    <w:p>
      <w:pPr>
        <w:pStyle w:val="BodyText"/>
      </w:pPr>
      <w:r>
        <w:t xml:space="preserve">The Dunbar Pod is a residential floor housing one hundred fifty-four people, calibrated to Dunbar’s number with a small margin for occupancy fluctuation. Each resident has a private room with a locking door. The floor contains a shared kitchen, a common area with seating, a planted alcove with natural light, and a laundry facility. The floor is accessed by a secured elevator and stairwell that require a digital keycard unique to the residents of that floor. No resident of another floor can access a floor that is not theirs without escort. The pod is a neighborhood, not a dormitory. Its boundaries are physical and enforced.</w:t>
      </w:r>
    </w:p>
    <w:p>
      <w:pPr>
        <w:pStyle w:val="BodyText"/>
      </w:pPr>
      <w:r>
        <w:t xml:space="preserve">The social architecture of the pod is as deliberately engineered as its physical layout. Each floor has a Pod Steward, a staff position held by a person who lives on the floor, who knows every resident by name, and whose primary function is relational continuity. The Pod Steward is not a case manager. Case managers carry caseloads, conduct assessments, and report to institutional supervisors. The Pod Steward carries relationships. They eat in the common kitchen. They sit in the common area. They notice when a resident who normally appears at breakfast does not appear, and they knock on the door to check.</w:t>
      </w:r>
    </w:p>
    <w:p>
      <w:pPr>
        <w:pStyle w:val="BodyText"/>
      </w:pPr>
      <w:r>
        <w:t xml:space="preserve">This relational architecture replicates the function that the kinship buffer performed before the nuclear isolate era disassembled it. Gloria’s grandmother had a sister next door who noticed when something was wrong. Gloria’s mother had no one within five hundred miles. Gloria had no one within any distance. The Pod Steward occupies the structural position that the absent relative once held: the person who is close enough to see, invested enough to act, and present enough to maintain the relational thread that prevents isolation from converting back into crisis.</w:t>
      </w:r>
    </w:p>
    <w:p>
      <w:pPr>
        <w:pStyle w:val="BodyText"/>
      </w:pPr>
      <w:r>
        <w:t xml:space="preserve">Gloria moved from Phase Zero to Pod Seven on her ninety-third day in the tower. Her room was on the eighth floor, third door from the elevator. The Pod Steward introduced himself on the first morning and showed her the kitchen. Over the following week, she learned the names of six neighbors, which is the natural pace of social bonding in a new environment when the nervous system has been stabilized long enough to permit social engagement. By the end of the first month, she could identify most of the faces on her floor. By the end of the second month, she attended a pod council meeting, a monthly gathering in which residents discuss maintenance issues, propose changes to shared space use, and vote on floor-level decisions.</w:t>
      </w:r>
    </w:p>
    <w:p>
      <w:pPr>
        <w:pStyle w:val="BodyText"/>
      </w:pPr>
      <w:r>
        <w:t xml:space="preserve">The pod council is a governance mechanism, not a therapy session. Its function is to position the resident as a citizen within a community rather than a client within a program. The distinction is structural. A client receives services and complies with conditions. A citizen participates in decisions and bears responsibility for outcomes. The transition from client to citizen is the transition that converts housing retention from a program metric into a lived identity, and it occurs only within communities small enough for each member’s participation to be visible and meaningful. In a two-hundred-person apartment complex, an individual’s absence from a meeting is unnoticed. In a one-hundred-fifty-four-person pod, the absence is noted by name.</w:t>
      </w:r>
    </w:p>
    <w:p>
      <w:pPr>
        <w:pStyle w:val="BodyText"/>
      </w:pPr>
      <w:r>
        <w:t xml:space="preserve">The vertical stacking of pods within a single tower is what makes the MDI model scalable without sacrificing the social conditions that drive retention. A single tower with twenty residential floors houses approximately three thousand individuals across twenty pods, each operating as a functionally independent community. The tower’s shared infrastructure, including the ground-floor commons, the Phase Zero floors, the medical and clinical services, and the administrative functions, serves all twenty pods. The economies of scale apply to the infrastructure. The human-scale community applies to the resident. Both operate simultaneously within the same building.</w:t>
      </w:r>
    </w:p>
    <w:p>
      <w:pPr>
        <w:pStyle w:val="BodyText"/>
      </w:pPr>
      <w:r>
        <w:t xml:space="preserve">Finland’s national Housing First implementation achieves eighty to ninety percent two-year retention because it designs for the relational conditions that drive retention. The Dunbar Pod applies the same principle at a scale that Los Angeles requires, using the biological limit on human social cognition as the design constraint that prevents the relational layer from being diluted by institutional growth.</w:t>
      </w:r>
    </w:p>
    <w:p>
      <w:r>
        <w:pict>
          <v:rect style="width:0;height:1.5pt" o:hralign="center" o:hrstd="t" o:hr="t"/>
        </w:pict>
      </w:r>
    </w:p>
    <w:bookmarkEnd w:id="36"/>
    <w:bookmarkStart w:id="37" w:name="chapter-15-the-five-pipelines"/>
    <w:p>
      <w:pPr>
        <w:pStyle w:val="Heading1"/>
      </w:pPr>
      <w:r>
        <w:t xml:space="preserve">Chapter 15: The Five Pipelines</w:t>
      </w:r>
    </w:p>
    <w:p>
      <w:pPr>
        <w:pStyle w:val="FirstParagraph"/>
      </w:pPr>
      <w:r>
        <w:t xml:space="preserve">The unsheltered population is not one population. It is five populations occupying the same sidewalk, and the failure to sort them is the single most expensive design error in the existing system.</w:t>
      </w:r>
    </w:p>
    <w:p>
      <w:pPr>
        <w:pStyle w:val="BodyText"/>
      </w:pPr>
      <w:r>
        <w:t xml:space="preserve">The first population is the economically displaced. These individuals lost housing through income disruption, eviction, or the exhaustion of savings. They have no diagnosed mental illness and no current substance use disorder. They need a room, a door, and a stable address from which to resume participation in the labor market. Given these conditions, they move through Phase Zero rapidly, often stabilizing within thirty days, and transition to independent housing within six to twelve months. The existing system slows them by routing them through the same intake processes, clinical assessments, and case management protocols designed for populations with far more acute conditions. Every hour a case manager spends conducting a psychiatric evaluation on a person who does not have a psychiatric condition is an hour diverted from someone who does.</w:t>
      </w:r>
    </w:p>
    <w:p>
      <w:pPr>
        <w:pStyle w:val="BodyText"/>
      </w:pPr>
      <w:r>
        <w:t xml:space="preserve">The second population carries early-stage health conditions, including mild depression, early substance use, or chronic medical needs that developed or worsened during their time on the street. These conditions are treatable within the tower’s integrated clinical services. The person needs a room, quiet, access to primary care, and a stabilization window of sixty to ninety days. Given these conditions, they recover because their neurological capacity for self-governed behavior remains substantially intact. The tower provides the environment. The person provides the agency. The clinical staff provides the medical support that makes the environment and the agency productive.</w:t>
      </w:r>
    </w:p>
    <w:p>
      <w:pPr>
        <w:pStyle w:val="BodyText"/>
      </w:pPr>
      <w:r>
        <w:t xml:space="preserve">The third population is locked in advanced substance use disorder. These individuals have sustained neurological damage from chronic methamphetamine, fentanyl, or alcohol use that has progressed beyond the point where voluntary engagement with treatment is reliably possible. Their prefrontal function has been degraded by the combined effect of the substance and the street, producing a population that cycles through emergency rooms, jails, and shelters without achieving stabilization in any setting. This population requires the secured clinical floors within the tower, where medical staff can manage withdrawal, monitor physical health, and provide the sustained containment that the acute phase of detoxification demands.</w:t>
      </w:r>
    </w:p>
    <w:p>
      <w:pPr>
        <w:pStyle w:val="BodyText"/>
      </w:pPr>
      <w:r>
        <w:t xml:space="preserve">The fourth population suffers from acute and persistent mental illness, including schizophrenia, schizoaffective disorder, and bipolar disorder with psychotic features. A significant portion of this population exhibits the anosognosia documented in Chapter 6: they cannot perceive their own illness because the illness has destroyed the brain structures responsible for self-perception. Voluntary treatment is neurologically impossible for this group. The secured clinical floors serve this population as well, under the legal mechanisms described in the following chapter, providing the psychiatric stabilization that must precede any other intervention.</w:t>
      </w:r>
    </w:p>
    <w:p>
      <w:pPr>
        <w:pStyle w:val="BodyText"/>
      </w:pPr>
      <w:r>
        <w:t xml:space="preserve">The fifth population is predatory. A small but operationally significant number of individuals within street encampments engage in theft, assault, drug distribution, and sexual exploitation of vulnerable neighbors. These individuals are not unhoused due to economic displacement or mental illness. They are present in encampments because encampments provide an environment with minimal law enforcement oversight and a concentrated population of vulnerable victims. The fifth pipeline is the standard criminal justice system. Sorting this population out of the encampment and into the appropriate legal process protects every other person in the encampment and is a precondition for the safety environment that the tower requires.</w:t>
      </w:r>
    </w:p>
    <w:p>
      <w:pPr>
        <w:pStyle w:val="BodyText"/>
      </w:pPr>
      <w:r>
        <w:t xml:space="preserve">Gloria belonged to the first population. She had no mental illness when she arrived on the street. She had no substance use disorder. She had a job loss, no savings, and no kinship buffer. Had the MDI system existed when she lost her warehouse job, she would have entered the ground-floor commons within days, moved to Phase Zero within a week, stabilized within thirty days, and transitioned to a Dunbar Pod with sufficient executive function to begin searching for employment. Her total time in the system would have been approximately four to six months. Her total cost to the public would have been approximately twelve to eighteen thousand dollars, which is less than the cost of two of her eleven emergency room visits.</w:t>
      </w:r>
    </w:p>
    <w:p>
      <w:pPr>
        <w:pStyle w:val="BodyText"/>
      </w:pPr>
      <w:r>
        <w:t xml:space="preserve">Instead, the system that existed treated her as though she belonged to the third or fourth population, routing her through clinical assessments she did not need and placing her on waiting lists for services designed for conditions she did not have. By the time four years had passed, the street had manufactured the neurological damage that moved her from the first population to the second, and the system’s failure to sort her correctly at the point of first contact had converted a basic economic displacement into a chronic medical condition.</w:t>
      </w:r>
    </w:p>
    <w:p>
      <w:pPr>
        <w:pStyle w:val="BodyText"/>
      </w:pPr>
      <w:r>
        <w:t xml:space="preserve">Sorting the five populations at intake is not triage in the emergency room sense, because triage implies a temporary prioritization within a single treatment pathway. The five pipelines are structurally distinct pathways with different interventions, different timelines, different staffing requirements, and different outcomes. Conflating them is the operational equivalent of routing every patient who enters a hospital through the same treatment protocol regardless of their presenting condition. The result is predictable: the system serves no population well, spends more than it should on every population, and produces outcomes that compound the original problem.</w:t>
      </w:r>
    </w:p>
    <w:p>
      <w:r>
        <w:pict>
          <v:rect style="width:0;height:1.5pt" o:hralign="center" o:hrstd="t" o:hr="t"/>
        </w:pict>
      </w:r>
    </w:p>
    <w:bookmarkEnd w:id="37"/>
    <w:bookmarkStart w:id="38" w:name="chapter-16-the-legal-lever"/>
    <w:p>
      <w:pPr>
        <w:pStyle w:val="Heading1"/>
      </w:pPr>
      <w:r>
        <w:t xml:space="preserve">Chapter 16: The Legal Lever</w:t>
      </w:r>
    </w:p>
    <w:p>
      <w:pPr>
        <w:pStyle w:val="FirstParagraph"/>
      </w:pPr>
      <w:r>
        <w:t xml:space="preserve">The hardest problem in the MDI system is the person who cannot consent to rescue because the brain that would generate consent has been destroyed by the conditions the rescue is designed to address.</w:t>
      </w:r>
    </w:p>
    <w:p>
      <w:pPr>
        <w:pStyle w:val="BodyText"/>
      </w:pPr>
      <w:r>
        <w:t xml:space="preserve">Chapter 6 established the clinical reality of anosognosia: the neurological inability to perceive one’s own illness. For the third and fourth populations described in the previous chapter, individuals with advanced substance use disorder and individuals with acute persistent mental illness accompanied by psychotic features, voluntary engagement with treatment is not a behavioral choice the system can wait for. It is a neurological capacity the person does not possess. Waiting for voluntary engagement from a person whose frontal lobe cannot generate voluntary engagement is not respecting autonomy. It is using a clinical finding as administrative justification for inaction.</w:t>
      </w:r>
    </w:p>
    <w:p>
      <w:pPr>
        <w:pStyle w:val="BodyText"/>
      </w:pPr>
      <w:r>
        <w:t xml:space="preserve">The legal mechanisms required to address this population already exist in California law. CARE Court, established by Senate Bill 1338 and signed into law in 2022, creates a civil court process through which a qualifying petitioner can request a court-ordered clinical stabilization plan for an individual with a diagnosed schizophrenia spectrum or psychotic disorder who is unable to provide for their own medical needs. The court evaluates clinical evidence, appoints counsel for the respondent, and, if the evidence supports the petition, orders a treatment plan that the county is obligated to provide. The plan can include medication management, housing placement, and clinical services. If the county fails to provide the ordered services, the court retains jurisdiction to compel compliance.</w:t>
      </w:r>
    </w:p>
    <w:p>
      <w:pPr>
        <w:pStyle w:val="BodyText"/>
      </w:pPr>
      <w:r>
        <w:t xml:space="preserve">Conservatorship, under California’s Lanterman-Petris-Short Act of 1967, provides a more intensive legal instrument for individuals whose condition is so acute that they represent a grave disability to themselves. Under LPS conservatorship, the court appoints a conservator who holds decision-making authority over the individual’s placement and treatment. The standard for grave disability requires evidence that the person is unable to provide for their own food, clothing, or shelter as a result of a mental health disorder. The conservatorship is reviewed annually and can be terminated when the individual’s condition improves to the point where autonomous function is restored.</w:t>
      </w:r>
    </w:p>
    <w:p>
      <w:pPr>
        <w:pStyle w:val="BodyText"/>
      </w:pPr>
      <w:r>
        <w:t xml:space="preserve">Both instruments are legal levers, tools that apply the force of law to the distinct problem of neurological incapacity. Their legitimacy rests on four conjunctive conditions, all of which must be satisfied for the intervention to be justified:</w:t>
      </w:r>
    </w:p>
    <w:p>
      <w:pPr>
        <w:pStyle w:val="BodyText"/>
      </w:pPr>
      <w:r>
        <w:t xml:space="preserve">First, the individual must have a documented neurological condition that prevents them from perceiving their own illness or making informed decisions about their own care. This is a clinical finding, not a behavioral observation. The outreach worker’s impression that a person</w:t>
      </w:r>
      <w:r>
        <w:t xml:space="preserve"> </w:t>
      </w:r>
      <w:r>
        <w:t xml:space="preserve">“</w:t>
      </w:r>
      <w:r>
        <w:t xml:space="preserve">seems confused</w:t>
      </w:r>
      <w:r>
        <w:t xml:space="preserve">”</w:t>
      </w:r>
      <w:r>
        <w:t xml:space="preserve"> </w:t>
      </w:r>
      <w:r>
        <w:t xml:space="preserve">does not meet this standard. A neurological evaluation documenting impaired self-monitoring function does.</w:t>
      </w:r>
    </w:p>
    <w:p>
      <w:pPr>
        <w:pStyle w:val="BodyText"/>
      </w:pPr>
      <w:r>
        <w:t xml:space="preserve">Second, the intervention must deliver the individual to infrastructure that is designed to produce recovery. Compelled placement into a congregate shelter, a jail cell, or a facility that does not meet the biological specifications described in the preceding chapters is not justified, because the infrastructure must be capable of producing the outcome that justifies overriding the individual’s stated preferences. The MDI tower, with its Phase Zero decompression, its acoustic isolation, its locking doors, and its Dunbar Pod community, is the infrastructure that meets this standard.</w:t>
      </w:r>
    </w:p>
    <w:p>
      <w:pPr>
        <w:pStyle w:val="BodyText"/>
      </w:pPr>
      <w:r>
        <w:t xml:space="preserve">Third, the compelled intervention must have a defined endpoint. The legal lever is not a permanent instrument. It is a bridge that operates for the duration of the neurological recovery period and terminates when the individual’s prefrontal function has been restored to the point where autonomous decision-making is neurologically possible.</w:t>
      </w:r>
    </w:p>
    <w:p>
      <w:pPr>
        <w:pStyle w:val="BodyText"/>
      </w:pPr>
      <w:r>
        <w:t xml:space="preserve">Fourth, structural safeguards must prevent the legitimate pathway from expanding into an illegitimate one. Independent clinical review, judicial oversight, appointed counsel for the respondent, and mandatory periodic reassessment are the mechanisms that constrain the use of compelled care to the population for which it is justified and prevent its application to populations that retain neurological capacity for autonomous decision-making.</w:t>
      </w:r>
    </w:p>
    <w:p>
      <w:pPr>
        <w:pStyle w:val="BodyText"/>
      </w:pPr>
      <w:r>
        <w:t xml:space="preserve">Gloria did not require the legal lever. Her neurological damage was acquired on the street, not from a psychotic disorder, and her executive function, though deeply degraded by four years of sleep deprivation, remained above the threshold that would justify court-ordered intervention. Had she been identified and sorted correctly at her first contact with the outreach system, she would have entered the voluntary pipeline and stabilized without legal compulsion.</w:t>
      </w:r>
    </w:p>
    <w:p>
      <w:pPr>
        <w:pStyle w:val="BodyText"/>
      </w:pPr>
      <w:r>
        <w:t xml:space="preserve">The person three tents down from Gloria on Fifth and San Pedro did require the legal lever. He had been on the street for eight years. He spoke to the air. He ate from dumpsters while refusing meals offered by volunteers. He had been contacted by outreach teams over forty times and was recorded as a service refusal on every occasion. He was not refusing. He could not refuse, because the brain that would generate refusal was no longer functional. For this person, the legal lever is the instrument that connects the clinical finding to the physical infrastructure, bridging the gap between what the person cannot do for themselves and what the city is obligated to do for them.</w:t>
      </w:r>
    </w:p>
    <w:p>
      <w:pPr>
        <w:pStyle w:val="BodyText"/>
      </w:pPr>
      <w:r>
        <w:t xml:space="preserve">The tower provides the rooms. Phase Zero provides the silence. The Dunbar Pod provides the community. For the person who can walk through the front door on their own, these are sufficient. For the person who cannot, the law provides the push. The system is finished when all four components are connected: the physical infrastructure, the biological specifications, the relational architecture, and the legal instrument that reaches the population no voluntary system can reach.</w:t>
      </w:r>
    </w:p>
    <w:bookmarkEnd w:id="38"/>
    <w:bookmarkStart w:id="39" w:name="about-the-author"/>
    <w:p>
      <w:pPr>
        <w:pStyle w:val="Heading1"/>
      </w:pPr>
      <w:r>
        <w:t xml:space="preserve">About the Author</w:t>
      </w:r>
    </w:p>
    <w:p>
      <w:pPr>
        <w:pStyle w:val="FirstParagraph"/>
      </w:pPr>
      <w:r>
        <w:t xml:space="preserve">Charles J. DiBella has spent three decades working in and observing the systems that serve displaced populations across the United States. His research integrates stress neurobiology, urban economics, commercial real estate analysis, and political philosophy into the Material Dignity Infrastructure model, a full engineering model for addressing chronic unsheltered homelessness through vertically integrated stabilization towers operated as permanent public utilities.</w:t>
      </w:r>
    </w:p>
    <w:p>
      <w:pPr>
        <w:pStyle w:val="BodyText"/>
      </w:pPr>
      <w:r>
        <w:t xml:space="preserve">He is the author of</w:t>
      </w:r>
      <w:r>
        <w:t xml:space="preserve"> </w:t>
      </w:r>
      <w:r>
        <w:rPr>
          <w:iCs/>
          <w:i/>
        </w:rPr>
        <w:t xml:space="preserve">The Architecture of Survival: An Engineering Manual for Human Stabilization Infrastructure</w:t>
      </w:r>
      <w:r>
        <w:t xml:space="preserve"> </w:t>
      </w:r>
      <w:r>
        <w:t xml:space="preserve">and</w:t>
      </w:r>
      <w:r>
        <w:t xml:space="preserve"> </w:t>
      </w:r>
      <w:r>
        <w:rPr>
          <w:iCs/>
          <w:i/>
        </w:rPr>
        <w:t xml:space="preserve">The Moral Physics of Survival: Philosophical Foundations for Material Dignity</w:t>
      </w:r>
      <w:r>
        <w:t xml:space="preserve">, the second and third volumes in the MDI series. His working papers on relational dignity, relational engineering, and the polyvagal architecture of outreach have been published through the SSRN research network.</w:t>
      </w:r>
    </w:p>
    <w:p>
      <w:pPr>
        <w:pStyle w:val="BodyText"/>
      </w:pPr>
      <w:r>
        <w:t xml:space="preserve">He lives in Los Angeles.</w:t>
      </w:r>
    </w:p>
    <w:p>
      <w:r>
        <w:pict>
          <v:rect style="width:0;height:1.5pt" o:hralign="center" o:hrstd="t" o:hr="t"/>
        </w:pict>
      </w:r>
    </w:p>
    <w:bookmarkEnd w:id="39"/>
    <w:bookmarkStart w:id="58" w:name="citations-and-sources"/>
    <w:p>
      <w:pPr>
        <w:pStyle w:val="Heading1"/>
      </w:pPr>
      <w:r>
        <w:t xml:space="preserve">Citations and Sources</w:t>
      </w:r>
    </w:p>
    <w:bookmarkStart w:id="40" w:name="prologue-1"/>
    <w:p>
      <w:pPr>
        <w:pStyle w:val="Heading2"/>
      </w:pPr>
      <w:r>
        <w:t xml:space="preserve">Prologue</w:t>
      </w:r>
    </w:p>
    <w:p>
      <w:pPr>
        <w:pStyle w:val="FirstParagraph"/>
      </w:pPr>
      <w:r>
        <w:t xml:space="preserve">McEwen, Bruce S.</w:t>
      </w:r>
      <w:r>
        <w:t xml:space="preserve"> </w:t>
      </w:r>
      <w:r>
        <w:t xml:space="preserve">“</w:t>
      </w:r>
      <w:r>
        <w:t xml:space="preserve">Stress, Adaptation, and Disease: Allostasis and Allostatic Load.</w:t>
      </w:r>
      <w:r>
        <w:t xml:space="preserve">”</w:t>
      </w:r>
      <w:r>
        <w:t xml:space="preserve"> </w:t>
      </w:r>
      <w:r>
        <w:rPr>
          <w:iCs/>
          <w:i/>
        </w:rPr>
        <w:t xml:space="preserve">Annals of the New York Academy of Sciences</w:t>
      </w:r>
      <w:r>
        <w:t xml:space="preserve"> </w:t>
      </w:r>
      <w:r>
        <w:t xml:space="preserve">840 (1998): 33-44.</w:t>
      </w:r>
    </w:p>
    <w:p>
      <w:pPr>
        <w:pStyle w:val="BodyText"/>
      </w:pPr>
      <w:r>
        <w:t xml:space="preserve">Sapolsky, Robert M.</w:t>
      </w:r>
      <w:r>
        <w:t xml:space="preserve"> </w:t>
      </w:r>
      <w:r>
        <w:rPr>
          <w:iCs/>
          <w:i/>
        </w:rPr>
        <w:t xml:space="preserve">Why Zebras Don’t Get Ulcers.</w:t>
      </w:r>
      <w:r>
        <w:t xml:space="preserve"> </w:t>
      </w:r>
      <w:r>
        <w:t xml:space="preserve">3rd ed. New York: Holt Paperbacks, 2004.</w:t>
      </w:r>
    </w:p>
    <w:bookmarkEnd w:id="40"/>
    <w:bookmarkStart w:id="41" w:name="introduction-1"/>
    <w:p>
      <w:pPr>
        <w:pStyle w:val="Heading2"/>
      </w:pPr>
      <w:r>
        <w:t xml:space="preserve">Introduction</w:t>
      </w:r>
    </w:p>
    <w:p>
      <w:pPr>
        <w:pStyle w:val="FirstParagraph"/>
      </w:pPr>
      <w:r>
        <w:t xml:space="preserve">Dunbar, Robin I. M.</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 no. 6 (1992): 469-493.</w:t>
      </w:r>
    </w:p>
    <w:p>
      <w:pPr>
        <w:pStyle w:val="BodyText"/>
      </w:pPr>
      <w:r>
        <w:t xml:space="preserve">McEwen, Bruce S.</w:t>
      </w:r>
      <w:r>
        <w:t xml:space="preserve"> </w:t>
      </w:r>
      <w:r>
        <w:t xml:space="preserve">“</w:t>
      </w:r>
      <w:r>
        <w:t xml:space="preserve">Stress, Adaptation, and Disease: Allostasis and Allostatic Load.</w:t>
      </w:r>
      <w:r>
        <w:t xml:space="preserve">”</w:t>
      </w:r>
      <w:r>
        <w:t xml:space="preserve"> </w:t>
      </w:r>
      <w:r>
        <w:rPr>
          <w:iCs/>
          <w:i/>
        </w:rPr>
        <w:t xml:space="preserve">Annals of the New York Academy of Sciences</w:t>
      </w:r>
      <w:r>
        <w:t xml:space="preserve"> </w:t>
      </w:r>
      <w:r>
        <w:t xml:space="preserve">840 (1998): 33-44.</w:t>
      </w:r>
    </w:p>
    <w:p>
      <w:pPr>
        <w:pStyle w:val="BodyText"/>
      </w:pPr>
      <w:r>
        <w:t xml:space="preserve">Nedergaard, Maiken.</w:t>
      </w:r>
      <w:r>
        <w:t xml:space="preserve"> </w:t>
      </w:r>
      <w:r>
        <w:t xml:space="preserve">“</w:t>
      </w:r>
      <w:r>
        <w:t xml:space="preserve">Garbage Truck of the Brain.</w:t>
      </w:r>
      <w:r>
        <w:t xml:space="preserve">”</w:t>
      </w:r>
      <w:r>
        <w:t xml:space="preserve"> </w:t>
      </w:r>
      <w:r>
        <w:rPr>
          <w:iCs/>
          <w:i/>
        </w:rPr>
        <w:t xml:space="preserve">Science</w:t>
      </w:r>
      <w:r>
        <w:t xml:space="preserve"> </w:t>
      </w:r>
      <w:r>
        <w:t xml:space="preserve">340, no. 6140 (2013): 1529-1530.</w:t>
      </w:r>
    </w:p>
    <w:p>
      <w:pPr>
        <w:pStyle w:val="BodyText"/>
      </w:pPr>
      <w:r>
        <w:t xml:space="preserve">Sapolsky, Robert M.</w:t>
      </w:r>
      <w:r>
        <w:t xml:space="preserve"> </w:t>
      </w:r>
      <w:r>
        <w:rPr>
          <w:iCs/>
          <w:i/>
        </w:rPr>
        <w:t xml:space="preserve">Why Zebras Don’t Get Ulcers.</w:t>
      </w:r>
      <w:r>
        <w:t xml:space="preserve"> </w:t>
      </w:r>
      <w:r>
        <w:t xml:space="preserve">3rd ed. New York: Holt Paperbacks, 2004.</w:t>
      </w:r>
    </w:p>
    <w:p>
      <w:pPr>
        <w:pStyle w:val="BodyText"/>
      </w:pPr>
      <w:r>
        <w:t xml:space="preserve">Tsemberis, Sam.</w:t>
      </w:r>
      <w:r>
        <w:t xml:space="preserve"> </w:t>
      </w:r>
      <w:r>
        <w:t xml:space="preserve">“</w:t>
      </w:r>
      <w:r>
        <w:t xml:space="preserve">Housing First: The Pathways Model to End Homelessness for People with Mental Illness and Addiction.</w:t>
      </w:r>
      <w:r>
        <w:t xml:space="preserve">”</w:t>
      </w:r>
      <w:r>
        <w:t xml:space="preserve"> </w:t>
      </w:r>
      <w:r>
        <w:rPr>
          <w:iCs/>
          <w:i/>
        </w:rPr>
        <w:t xml:space="preserve">European Journal of Homelessness</w:t>
      </w:r>
      <w:r>
        <w:t xml:space="preserve"> </w:t>
      </w:r>
      <w:r>
        <w:t xml:space="preserve">5, no. 2 (2011): 235-240.</w:t>
      </w:r>
    </w:p>
    <w:bookmarkEnd w:id="41"/>
    <w:bookmarkStart w:id="42" w:name="X1843f21c3078a1e0a80a18bf6322d31e5653c6a"/>
    <w:p>
      <w:pPr>
        <w:pStyle w:val="Heading2"/>
      </w:pPr>
      <w:r>
        <w:t xml:space="preserve">Chapter One: The Myth of the Rugged Individual</w:t>
      </w:r>
    </w:p>
    <w:p>
      <w:pPr>
        <w:pStyle w:val="FirstParagraph"/>
      </w:pPr>
      <w:r>
        <w:t xml:space="preserve">Desmond, Matthew.</w:t>
      </w:r>
      <w:r>
        <w:t xml:space="preserve"> </w:t>
      </w:r>
      <w:r>
        <w:rPr>
          <w:iCs/>
          <w:i/>
        </w:rPr>
        <w:t xml:space="preserve">Evicted: Poverty and Profit in the American City.</w:t>
      </w:r>
      <w:r>
        <w:t xml:space="preserve"> </w:t>
      </w:r>
      <w:r>
        <w:t xml:space="preserve">New York: Crown, 2016.</w:t>
      </w:r>
    </w:p>
    <w:p>
      <w:pPr>
        <w:pStyle w:val="BodyText"/>
      </w:pPr>
      <w:r>
        <w:t xml:space="preserve">Dunbar, Robin I. M.</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 no. 6 (1992): 469-493.</w:t>
      </w:r>
    </w:p>
    <w:p>
      <w:pPr>
        <w:pStyle w:val="BodyText"/>
      </w:pPr>
      <w:r>
        <w:t xml:space="preserve">Turner, Frederick Jackson.</w:t>
      </w:r>
      <w:r>
        <w:t xml:space="preserve"> </w:t>
      </w:r>
      <w:r>
        <w:t xml:space="preserve">“</w:t>
      </w:r>
      <w:r>
        <w:t xml:space="preserve">The Significance of the Frontier in American History.</w:t>
      </w:r>
      <w:r>
        <w:t xml:space="preserve">”</w:t>
      </w:r>
      <w:r>
        <w:t xml:space="preserve"> </w:t>
      </w:r>
      <w:r>
        <w:t xml:space="preserve">Paper presented at the Annual Meeting of the American Historical Association, Chicago, July 12, 1893.</w:t>
      </w:r>
    </w:p>
    <w:bookmarkEnd w:id="42"/>
    <w:bookmarkStart w:id="43" w:name="chapter-two-the-nuclear-isolate"/>
    <w:p>
      <w:pPr>
        <w:pStyle w:val="Heading2"/>
      </w:pPr>
      <w:r>
        <w:t xml:space="preserve">Chapter Two: The Nuclear Isolate</w:t>
      </w:r>
    </w:p>
    <w:p>
      <w:pPr>
        <w:pStyle w:val="FirstParagraph"/>
      </w:pPr>
      <w:r>
        <w:t xml:space="preserve">Putnam, Robert D.</w:t>
      </w:r>
      <w:r>
        <w:t xml:space="preserve"> </w:t>
      </w:r>
      <w:r>
        <w:rPr>
          <w:iCs/>
          <w:i/>
        </w:rPr>
        <w:t xml:space="preserve">Bowling Alone: The Collapse and Revival of American Community.</w:t>
      </w:r>
      <w:r>
        <w:t xml:space="preserve"> </w:t>
      </w:r>
      <w:r>
        <w:t xml:space="preserve">New York: Simon and Schuster, 2000.</w:t>
      </w:r>
    </w:p>
    <w:bookmarkEnd w:id="43"/>
    <w:bookmarkStart w:id="44" w:name="chapter-three-the-mathematical-output"/>
    <w:p>
      <w:pPr>
        <w:pStyle w:val="Heading2"/>
      </w:pPr>
      <w:r>
        <w:t xml:space="preserve">Chapter Three: The Mathematical Output</w:t>
      </w:r>
    </w:p>
    <w:p>
      <w:pPr>
        <w:pStyle w:val="FirstParagraph"/>
      </w:pPr>
      <w:r>
        <w:t xml:space="preserve">Rosenthal, Stuart S.</w:t>
      </w:r>
      <w:r>
        <w:t xml:space="preserve"> </w:t>
      </w:r>
      <w:r>
        <w:t xml:space="preserve">“</w:t>
      </w:r>
      <w:r>
        <w:t xml:space="preserve">Are Private Markets and Filtering a Viable Source of Low-Income Housing? Estimates from a</w:t>
      </w:r>
      <w:r>
        <w:t xml:space="preserve"> </w:t>
      </w:r>
      <w:r>
        <w:t xml:space="preserve">‘</w:t>
      </w:r>
      <w:r>
        <w:t xml:space="preserve">Repeat Income</w:t>
      </w:r>
      <w:r>
        <w:t xml:space="preserve">’</w:t>
      </w:r>
      <w:r>
        <w:t xml:space="preserve"> </w:t>
      </w:r>
      <w:r>
        <w:t xml:space="preserve">Model.</w:t>
      </w:r>
      <w:r>
        <w:t xml:space="preserve">”</w:t>
      </w:r>
      <w:r>
        <w:t xml:space="preserve"> </w:t>
      </w:r>
      <w:r>
        <w:rPr>
          <w:iCs/>
          <w:i/>
        </w:rPr>
        <w:t xml:space="preserve">American Economic Review</w:t>
      </w:r>
      <w:r>
        <w:t xml:space="preserve"> </w:t>
      </w:r>
      <w:r>
        <w:t xml:space="preserve">104, no. 2 (2014): 687-706.</w:t>
      </w:r>
    </w:p>
    <w:p>
      <w:pPr>
        <w:pStyle w:val="BodyText"/>
      </w:pPr>
      <w:r>
        <w:t xml:space="preserve">U.S. Department of Housing and Urban Development.</w:t>
      </w:r>
      <w:r>
        <w:t xml:space="preserve"> </w:t>
      </w:r>
      <w:r>
        <w:t xml:space="preserve">“</w:t>
      </w:r>
      <w:r>
        <w:t xml:space="preserve">Annual Homeless Assessment Report to Congress.</w:t>
      </w:r>
      <w:r>
        <w:t xml:space="preserve">”</w:t>
      </w:r>
      <w:r>
        <w:t xml:space="preserve"> </w:t>
      </w:r>
      <w:r>
        <w:t xml:space="preserve">Washington, DC: Office of Community Planning and Development, 2023.</w:t>
      </w:r>
    </w:p>
    <w:bookmarkEnd w:id="44"/>
    <w:bookmarkStart w:id="45" w:name="chapter-four-the-open-air-trauma-ward"/>
    <w:p>
      <w:pPr>
        <w:pStyle w:val="Heading2"/>
      </w:pPr>
      <w:r>
        <w:t xml:space="preserve">Chapter Four: The Open-Air Trauma Ward</w:t>
      </w:r>
    </w:p>
    <w:p>
      <w:pPr>
        <w:pStyle w:val="FirstParagraph"/>
      </w:pPr>
      <w:r>
        <w:t xml:space="preserve">Brown, Rebecca T., et al. </w:t>
      </w:r>
      <w:r>
        <w:t xml:space="preserve">“</w:t>
      </w:r>
      <w:r>
        <w:t xml:space="preserve">Geriatric Conditions in a Population-Based Sample of Older Homeless Adults.</w:t>
      </w:r>
      <w:r>
        <w:t xml:space="preserve">”</w:t>
      </w:r>
      <w:r>
        <w:t xml:space="preserve"> </w:t>
      </w:r>
      <w:r>
        <w:rPr>
          <w:iCs/>
          <w:i/>
        </w:rPr>
        <w:t xml:space="preserve">The Gerontologist</w:t>
      </w:r>
      <w:r>
        <w:t xml:space="preserve"> </w:t>
      </w:r>
      <w:r>
        <w:t xml:space="preserve">57, no. 4 (2017): 757-766.</w:t>
      </w:r>
    </w:p>
    <w:p>
      <w:pPr>
        <w:pStyle w:val="BodyText"/>
      </w:pPr>
      <w:r>
        <w:t xml:space="preserve">Kushel, Margot B., et al. </w:t>
      </w:r>
      <w:r>
        <w:t xml:space="preserve">“</w:t>
      </w:r>
      <w:r>
        <w:t xml:space="preserve">Older Homeless Adults: Can We Do More?</w:t>
      </w:r>
      <w:r>
        <w:t xml:space="preserve">”</w:t>
      </w:r>
      <w:r>
        <w:t xml:space="preserve"> </w:t>
      </w:r>
      <w:r>
        <w:rPr>
          <w:iCs/>
          <w:i/>
        </w:rPr>
        <w:t xml:space="preserve">Journal of General Internal Medicine</w:t>
      </w:r>
      <w:r>
        <w:t xml:space="preserve"> </w:t>
      </w:r>
      <w:r>
        <w:t xml:space="preserve">27, no. 1 (2012): 5-6.</w:t>
      </w:r>
    </w:p>
    <w:p>
      <w:pPr>
        <w:pStyle w:val="BodyText"/>
      </w:pPr>
      <w:r>
        <w:t xml:space="preserve">McEwen, Bruce S.</w:t>
      </w:r>
      <w:r>
        <w:t xml:space="preserve"> </w:t>
      </w:r>
      <w:r>
        <w:t xml:space="preserve">“</w:t>
      </w:r>
      <w:r>
        <w:t xml:space="preserve">Stress, Adaptation, and Disease: Allostasis and Allostatic Load.</w:t>
      </w:r>
      <w:r>
        <w:t xml:space="preserve">”</w:t>
      </w:r>
      <w:r>
        <w:t xml:space="preserve"> </w:t>
      </w:r>
      <w:r>
        <w:rPr>
          <w:iCs/>
          <w:i/>
        </w:rPr>
        <w:t xml:space="preserve">Annals of the New York Academy of Sciences</w:t>
      </w:r>
      <w:r>
        <w:t xml:space="preserve"> </w:t>
      </w:r>
      <w:r>
        <w:t xml:space="preserve">840 (1998): 33-44.</w:t>
      </w:r>
    </w:p>
    <w:p>
      <w:pPr>
        <w:pStyle w:val="BodyText"/>
      </w:pPr>
      <w:r>
        <w:t xml:space="preserve">UCSF Benioff Homelessness and Housing Initiative.</w:t>
      </w:r>
      <w:r>
        <w:t xml:space="preserve"> </w:t>
      </w:r>
      <w:r>
        <w:rPr>
          <w:iCs/>
          <w:i/>
        </w:rPr>
        <w:t xml:space="preserve">Toward a New Understanding: The California Statewide Study of People Experiencing Homelessness.</w:t>
      </w:r>
      <w:r>
        <w:t xml:space="preserve"> </w:t>
      </w:r>
      <w:r>
        <w:t xml:space="preserve">San Francisco: University of California, San Francisco, 2023.</w:t>
      </w:r>
    </w:p>
    <w:bookmarkEnd w:id="45"/>
    <w:bookmarkStart w:id="46" w:name="chapter-five-the-destruction-of-sleep"/>
    <w:p>
      <w:pPr>
        <w:pStyle w:val="Heading2"/>
      </w:pPr>
      <w:r>
        <w:t xml:space="preserve">Chapter Five: The Destruction of Sleep</w:t>
      </w:r>
    </w:p>
    <w:p>
      <w:pPr>
        <w:pStyle w:val="FirstParagraph"/>
      </w:pPr>
      <w:r>
        <w:t xml:space="preserve">Giddens, Anthony.</w:t>
      </w:r>
      <w:r>
        <w:t xml:space="preserve"> </w:t>
      </w:r>
      <w:r>
        <w:rPr>
          <w:iCs/>
          <w:i/>
        </w:rPr>
        <w:t xml:space="preserve">Modernity and Self-Identity: Self and Society in the Late Modern Age.</w:t>
      </w:r>
      <w:r>
        <w:t xml:space="preserve"> </w:t>
      </w:r>
      <w:r>
        <w:t xml:space="preserve">Stanford: Stanford University Press, 1991.</w:t>
      </w:r>
    </w:p>
    <w:p>
      <w:pPr>
        <w:pStyle w:val="BodyText"/>
      </w:pPr>
      <w:r>
        <w:t xml:space="preserve">Nedergaard, Maiken.</w:t>
      </w:r>
      <w:r>
        <w:t xml:space="preserve"> </w:t>
      </w:r>
      <w:r>
        <w:t xml:space="preserve">“</w:t>
      </w:r>
      <w:r>
        <w:t xml:space="preserve">Garbage Truck of the Brain.</w:t>
      </w:r>
      <w:r>
        <w:t xml:space="preserve">”</w:t>
      </w:r>
      <w:r>
        <w:t xml:space="preserve"> </w:t>
      </w:r>
      <w:r>
        <w:rPr>
          <w:iCs/>
          <w:i/>
        </w:rPr>
        <w:t xml:space="preserve">Science</w:t>
      </w:r>
      <w:r>
        <w:t xml:space="preserve"> </w:t>
      </w:r>
      <w:r>
        <w:t xml:space="preserve">340, no. 6140 (2013): 1529-1530.</w:t>
      </w:r>
    </w:p>
    <w:p>
      <w:pPr>
        <w:pStyle w:val="BodyText"/>
      </w:pPr>
      <w:r>
        <w:t xml:space="preserve">Porges, Stephen W.</w:t>
      </w:r>
      <w:r>
        <w:t xml:space="preserve"> </w:t>
      </w:r>
      <w:r>
        <w:rPr>
          <w:iCs/>
          <w:i/>
        </w:rPr>
        <w:t xml:space="preserve">The Polyvagal Theory: Neurophysiological Foundations of Emotions, Attachment, Communication, and Self-Regulation.</w:t>
      </w:r>
      <w:r>
        <w:t xml:space="preserve"> </w:t>
      </w:r>
      <w:r>
        <w:t xml:space="preserve">New York: W. W. Norton, 2011.</w:t>
      </w:r>
    </w:p>
    <w:bookmarkEnd w:id="46"/>
    <w:bookmarkStart w:id="47" w:name="chapter-six-the-broken-brain"/>
    <w:p>
      <w:pPr>
        <w:pStyle w:val="Heading2"/>
      </w:pPr>
      <w:r>
        <w:t xml:space="preserve">Chapter Six: The Broken Brain</w:t>
      </w:r>
    </w:p>
    <w:p>
      <w:pPr>
        <w:pStyle w:val="FirstParagraph"/>
      </w:pPr>
      <w:r>
        <w:t xml:space="preserve">Amador, Xavier.</w:t>
      </w:r>
      <w:r>
        <w:t xml:space="preserve"> </w:t>
      </w:r>
      <w:r>
        <w:rPr>
          <w:iCs/>
          <w:i/>
        </w:rPr>
        <w:t xml:space="preserve">I Am Not Sick, I Don’t Need Help! How to Help Someone Accept Treatment.</w:t>
      </w:r>
      <w:r>
        <w:t xml:space="preserve"> </w:t>
      </w:r>
      <w:r>
        <w:t xml:space="preserve">10th anniversary ed. Peconic: Vida Press, 2012.</w:t>
      </w:r>
    </w:p>
    <w:p>
      <w:pPr>
        <w:pStyle w:val="BodyText"/>
      </w:pPr>
      <w:r>
        <w:t xml:space="preserve">Dunbar, Robin I. M.</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 no. 6 (1992): 469-493.</w:t>
      </w:r>
    </w:p>
    <w:p>
      <w:pPr>
        <w:pStyle w:val="BodyText"/>
      </w:pPr>
      <w:r>
        <w:t xml:space="preserve">UCSF Benioff Homelessness and Housing Initiative.</w:t>
      </w:r>
      <w:r>
        <w:t xml:space="preserve"> </w:t>
      </w:r>
      <w:r>
        <w:rPr>
          <w:iCs/>
          <w:i/>
        </w:rPr>
        <w:t xml:space="preserve">Toward a New Understanding: The California Statewide Study of People Experiencing Homelessness.</w:t>
      </w:r>
      <w:r>
        <w:t xml:space="preserve"> </w:t>
      </w:r>
      <w:r>
        <w:t xml:space="preserve">San Francisco: University of California, San Francisco, 2023.</w:t>
      </w:r>
    </w:p>
    <w:bookmarkEnd w:id="47"/>
    <w:bookmarkStart w:id="48" w:name="X95aace032a3c4f7ea163dfd505439b0a6c1a8aa"/>
    <w:p>
      <w:pPr>
        <w:pStyle w:val="Heading2"/>
      </w:pPr>
      <w:r>
        <w:t xml:space="preserve">Chapter Seven: The Infinite Spending Drain</w:t>
      </w:r>
    </w:p>
    <w:p>
      <w:pPr>
        <w:pStyle w:val="FirstParagraph"/>
      </w:pPr>
      <w:r>
        <w:t xml:space="preserve">Blasi, Gary.</w:t>
      </w:r>
      <w:r>
        <w:t xml:space="preserve"> </w:t>
      </w:r>
      <w:r>
        <w:t xml:space="preserve">“</w:t>
      </w:r>
      <w:r>
        <w:t xml:space="preserve">Policing Our Way Out of Homelessness? The First Year of the Safer Cities Initiative on Skid Row.</w:t>
      </w:r>
      <w:r>
        <w:t xml:space="preserve">”</w:t>
      </w:r>
      <w:r>
        <w:t xml:space="preserve"> </w:t>
      </w:r>
      <w:r>
        <w:t xml:space="preserve">UCLA School of Law, 2007.</w:t>
      </w:r>
    </w:p>
    <w:bookmarkEnd w:id="48"/>
    <w:bookmarkStart w:id="49" w:name="chapter-eight-the-trauma-amplifier"/>
    <w:p>
      <w:pPr>
        <w:pStyle w:val="Heading2"/>
      </w:pPr>
      <w:r>
        <w:t xml:space="preserve">Chapter Eight: The Trauma Amplifier</w:t>
      </w:r>
    </w:p>
    <w:p>
      <w:pPr>
        <w:pStyle w:val="FirstParagraph"/>
      </w:pPr>
      <w:r>
        <w:t xml:space="preserve">Porges, Stephen W.</w:t>
      </w:r>
      <w:r>
        <w:t xml:space="preserve"> </w:t>
      </w:r>
      <w:r>
        <w:rPr>
          <w:iCs/>
          <w:i/>
        </w:rPr>
        <w:t xml:space="preserve">The Polyvagal Theory: Neurophysiological Foundations of Emotions, Attachment, Communication, and Self-Regulation.</w:t>
      </w:r>
      <w:r>
        <w:t xml:space="preserve"> </w:t>
      </w:r>
      <w:r>
        <w:t xml:space="preserve">New York: W. W. Norton, 2011.</w:t>
      </w:r>
    </w:p>
    <w:p>
      <w:pPr>
        <w:pStyle w:val="BodyText"/>
      </w:pPr>
      <w:r>
        <w:t xml:space="preserve">UCSF Benioff Homelessness and Housing Initiative.</w:t>
      </w:r>
      <w:r>
        <w:t xml:space="preserve"> </w:t>
      </w:r>
      <w:r>
        <w:rPr>
          <w:iCs/>
          <w:i/>
        </w:rPr>
        <w:t xml:space="preserve">Toward a New Understanding: The California Statewide Study of People Experiencing Homelessness.</w:t>
      </w:r>
      <w:r>
        <w:t xml:space="preserve"> </w:t>
      </w:r>
      <w:r>
        <w:t xml:space="preserve">San Francisco: University of California, San Francisco, 2023.</w:t>
      </w:r>
    </w:p>
    <w:bookmarkEnd w:id="49"/>
    <w:bookmarkStart w:id="50" w:name="chapter-nine-the-scattered-site-illusion"/>
    <w:p>
      <w:pPr>
        <w:pStyle w:val="Heading2"/>
      </w:pPr>
      <w:r>
        <w:t xml:space="preserve">Chapter Nine: The Scattered-Site Illusion</w:t>
      </w:r>
    </w:p>
    <w:p>
      <w:pPr>
        <w:pStyle w:val="FirstParagraph"/>
      </w:pPr>
      <w:r>
        <w:t xml:space="preserve">Tsemberis, Sam.</w:t>
      </w:r>
      <w:r>
        <w:t xml:space="preserve"> </w:t>
      </w:r>
      <w:r>
        <w:t xml:space="preserve">“</w:t>
      </w:r>
      <w:r>
        <w:t xml:space="preserve">Housing First: The Pathways Model to End Homelessness for People with Mental Illness and Addiction.</w:t>
      </w:r>
      <w:r>
        <w:t xml:space="preserve">”</w:t>
      </w:r>
      <w:r>
        <w:t xml:space="preserve"> </w:t>
      </w:r>
      <w:r>
        <w:rPr>
          <w:iCs/>
          <w:i/>
        </w:rPr>
        <w:t xml:space="preserve">European Journal of Homelessness</w:t>
      </w:r>
      <w:r>
        <w:t xml:space="preserve"> </w:t>
      </w:r>
      <w:r>
        <w:t xml:space="preserve">5, no. 2 (2011): 235-240.</w:t>
      </w:r>
    </w:p>
    <w:bookmarkEnd w:id="50"/>
    <w:bookmarkStart w:id="51" w:name="chapter-ten-the-municipal-quarantine"/>
    <w:p>
      <w:pPr>
        <w:pStyle w:val="Heading2"/>
      </w:pPr>
      <w:r>
        <w:t xml:space="preserve">Chapter Ten: The Municipal Quarantine</w:t>
      </w:r>
    </w:p>
    <w:p>
      <w:pPr>
        <w:pStyle w:val="FirstParagraph"/>
      </w:pPr>
      <w:r>
        <w:t xml:space="preserve">Scott, James C.</w:t>
      </w:r>
      <w:r>
        <w:t xml:space="preserve"> </w:t>
      </w:r>
      <w:r>
        <w:rPr>
          <w:iCs/>
          <w:i/>
        </w:rPr>
        <w:t xml:space="preserve">Seeing Like a State: How Certain Schemes to Improve the Human Condition Have Failed.</w:t>
      </w:r>
      <w:r>
        <w:t xml:space="preserve"> </w:t>
      </w:r>
      <w:r>
        <w:t xml:space="preserve">New Haven: Yale University Press, 1998.</w:t>
      </w:r>
    </w:p>
    <w:bookmarkEnd w:id="51"/>
    <w:bookmarkStart w:id="52" w:name="chapter-eleven-vertical-stabilization"/>
    <w:p>
      <w:pPr>
        <w:pStyle w:val="Heading2"/>
      </w:pPr>
      <w:r>
        <w:t xml:space="preserve">Chapter Eleven: Vertical Stabilization</w:t>
      </w:r>
    </w:p>
    <w:p>
      <w:pPr>
        <w:pStyle w:val="FirstParagraph"/>
      </w:pPr>
      <w:r>
        <w:t xml:space="preserve">Cushman and Wakefield.</w:t>
      </w:r>
      <w:r>
        <w:t xml:space="preserve"> </w:t>
      </w:r>
      <w:r>
        <w:t xml:space="preserve">“</w:t>
      </w:r>
      <w:r>
        <w:t xml:space="preserve">U.S. Office MarketBeat.</w:t>
      </w:r>
      <w:r>
        <w:t xml:space="preserve">”</w:t>
      </w:r>
      <w:r>
        <w:t xml:space="preserve"> </w:t>
      </w:r>
      <w:r>
        <w:t xml:space="preserve">Quarterly Report Series, 2023-2025.</w:t>
      </w:r>
    </w:p>
    <w:p>
      <w:pPr>
        <w:pStyle w:val="BodyText"/>
      </w:pPr>
      <w:r>
        <w:t xml:space="preserve">Dunbar, Robin I. M.</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 no. 6 (1992): 469-493.</w:t>
      </w:r>
    </w:p>
    <w:bookmarkEnd w:id="52"/>
    <w:bookmarkStart w:id="53" w:name="X51a921bc3f7d7a166a1c7ff5e963a2364cd5cfd"/>
    <w:p>
      <w:pPr>
        <w:pStyle w:val="Heading2"/>
      </w:pPr>
      <w:r>
        <w:t xml:space="preserve">Chapter Twelve: The Synthetic Urban Commons</w:t>
      </w:r>
    </w:p>
    <w:p>
      <w:pPr>
        <w:pStyle w:val="FirstParagraph"/>
      </w:pPr>
      <w:r>
        <w:t xml:space="preserve">Porges, Stephen W.</w:t>
      </w:r>
      <w:r>
        <w:t xml:space="preserve"> </w:t>
      </w:r>
      <w:r>
        <w:rPr>
          <w:iCs/>
          <w:i/>
        </w:rPr>
        <w:t xml:space="preserve">The Polyvagal Theory: Neurophysiological Foundations of Emotions, Attachment, Communication, and Self-Regulation.</w:t>
      </w:r>
      <w:r>
        <w:t xml:space="preserve"> </w:t>
      </w:r>
      <w:r>
        <w:t xml:space="preserve">New York: W. W. Norton, 2011.</w:t>
      </w:r>
    </w:p>
    <w:bookmarkEnd w:id="53"/>
    <w:bookmarkStart w:id="54" w:name="chapter-thirteen-phase-zero"/>
    <w:p>
      <w:pPr>
        <w:pStyle w:val="Heading2"/>
      </w:pPr>
      <w:r>
        <w:t xml:space="preserve">Chapter Thirteen: Phase Zero</w:t>
      </w:r>
    </w:p>
    <w:p>
      <w:pPr>
        <w:pStyle w:val="FirstParagraph"/>
      </w:pPr>
      <w:r>
        <w:t xml:space="preserve">Dunbar, Robin I. M.</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 no. 6 (1992): 469-493.</w:t>
      </w:r>
    </w:p>
    <w:bookmarkEnd w:id="54"/>
    <w:bookmarkStart w:id="55" w:name="chapter-fourteen-the-dunbar-pod"/>
    <w:p>
      <w:pPr>
        <w:pStyle w:val="Heading2"/>
      </w:pPr>
      <w:r>
        <w:t xml:space="preserve">Chapter Fourteen: The Dunbar Pod</w:t>
      </w:r>
    </w:p>
    <w:p>
      <w:pPr>
        <w:pStyle w:val="FirstParagraph"/>
      </w:pPr>
      <w:r>
        <w:t xml:space="preserve">Dunbar, Robin I. M.</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 no. 6 (1992): 469-493.</w:t>
      </w:r>
    </w:p>
    <w:p>
      <w:pPr>
        <w:pStyle w:val="BodyText"/>
      </w:pPr>
      <w:r>
        <w:t xml:space="preserve">Tsemberis, Sam.</w:t>
      </w:r>
      <w:r>
        <w:t xml:space="preserve"> </w:t>
      </w:r>
      <w:r>
        <w:t xml:space="preserve">“</w:t>
      </w:r>
      <w:r>
        <w:t xml:space="preserve">Housing First: The Pathways Model to End Homelessness for People with Mental Illness and Addiction.</w:t>
      </w:r>
      <w:r>
        <w:t xml:space="preserve">”</w:t>
      </w:r>
      <w:r>
        <w:t xml:space="preserve"> </w:t>
      </w:r>
      <w:r>
        <w:rPr>
          <w:iCs/>
          <w:i/>
        </w:rPr>
        <w:t xml:space="preserve">European Journal of Homelessness</w:t>
      </w:r>
      <w:r>
        <w:t xml:space="preserve"> </w:t>
      </w:r>
      <w:r>
        <w:t xml:space="preserve">5, no. 2 (2011): 235-240.</w:t>
      </w:r>
    </w:p>
    <w:bookmarkEnd w:id="55"/>
    <w:bookmarkStart w:id="56" w:name="chapter-fifteen-the-five-pipelines"/>
    <w:p>
      <w:pPr>
        <w:pStyle w:val="Heading2"/>
      </w:pPr>
      <w:r>
        <w:t xml:space="preserve">Chapter Fifteen: The Five Pipelines</w:t>
      </w:r>
    </w:p>
    <w:p>
      <w:pPr>
        <w:pStyle w:val="FirstParagraph"/>
      </w:pPr>
      <w:r>
        <w:t xml:space="preserve">Dunbar, Robin I. M.</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 no. 6 (1992): 469-493.</w:t>
      </w:r>
    </w:p>
    <w:bookmarkEnd w:id="56"/>
    <w:bookmarkStart w:id="57" w:name="chapter-sixteen-the-legal-lever"/>
    <w:p>
      <w:pPr>
        <w:pStyle w:val="Heading2"/>
      </w:pPr>
      <w:r>
        <w:t xml:space="preserve">Chapter Sixteen: The Legal Lever</w:t>
      </w:r>
    </w:p>
    <w:p>
      <w:pPr>
        <w:pStyle w:val="FirstParagraph"/>
      </w:pPr>
      <w:r>
        <w:t xml:space="preserve">Dunbar, Robin I. M.</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 no. 6 (1992): 469-493.</w:t>
      </w:r>
    </w:p>
    <w:p>
      <w:pPr>
        <w:pStyle w:val="BodyText"/>
      </w:pPr>
      <w:r>
        <w:t xml:space="preserve">State of California. Senate Bill 1338, Community Assistance, Recovery, and Empowerment (CARE) Act. Signed into law September 14, 2022.</w:t>
      </w:r>
    </w:p>
    <w:p>
      <w:pPr>
        <w:pStyle w:val="BodyText"/>
      </w:pPr>
      <w:r>
        <w:t xml:space="preserve">State of California. Lanterman-Petris-Short Act. California Welfare and Institutions Code, Division 5, 1967.</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2026-06-12T09:24:32Z</dcterms:created>
  <dcterms:modified xsi:type="dcterms:W3CDTF">2026-06-12T09:24:32Z</dcterms:modified>
</cp:coreProperties>
</file>

<file path=docProps/custom.xml><?xml version="1.0" encoding="utf-8"?>
<Properties xmlns="http://schemas.openxmlformats.org/officeDocument/2006/custom-properties" xmlns:vt="http://schemas.openxmlformats.org/officeDocument/2006/docPropsVTypes"/>
</file>