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C0392B"/>
          <w:sz w:val="28"/>
          <w:szCs w:val="28"/>
        </w:rPr>
        <w:t xml:space="preserve">EDITORIAL INSTRUCTIONS FOR: Architectural Triage (Preprint Book 4)</w:t>
      </w:r>
    </w:p>
    <w:p>
      <w:r>
        <w:rPr>
          <w:rFonts w:ascii="Arial" w:cs="Arial" w:eastAsia="Arial" w:hAnsi="Arial"/>
          <w:i/>
          <w:iCs/>
          <w:color w:val="7F8C8D"/>
          <w:sz w:val="22"/>
          <w:szCs w:val="22"/>
        </w:rPr>
        <w:t xml:space="preserve">Prepared for Charles J. DiBella — Global Youth Learning Collective Review</w:t>
      </w:r>
    </w:p>
    <w:p>
      <w:r>
        <w:t xml:space="preserve"/>
      </w:r>
    </w:p>
    <w:p>
      <w:pPr>
        <w:spacing w:after="160"/>
      </w:pPr>
      <w:r>
        <w:rPr>
          <w:rFonts w:ascii="Arial" w:cs="Arial" w:eastAsia="Arial" w:hAnsi="Arial"/>
          <w:sz w:val="22"/>
          <w:szCs w:val="22"/>
        </w:rPr>
        <w:t xml:space="preserve">This document contains four sections: (1) granular step-by-step edit instructions for the preprint, (2) a ready-to-paste About the Author section, (3) the updated 8-metric Verification Table, and (4) the Pipeline Classification Table. All text in blue boxes is paste-ready for insertion into the manuscript.</w:t>
      </w:r>
    </w:p>
    <w:p>
      <w:r>
        <w:t xml:space="preserve"/>
      </w:r>
    </w:p>
    <w:p>
      <w:pPr>
        <w:pStyle w:val="Heading1"/>
      </w:pPr>
      <w:r>
        <w:rPr>
          <w:rFonts w:ascii="Arial" w:cs="Arial" w:eastAsia="Arial" w:hAnsi="Arial"/>
          <w:b/>
          <w:bCs/>
          <w:sz w:val="32"/>
          <w:szCs w:val="32"/>
        </w:rPr>
        <w:t xml:space="preserve">SECTION 1: GRANULAR EDIT INSTRUCTIONS</w:t>
      </w:r>
    </w:p>
    <w:p>
      <w:pPr>
        <w:pStyle w:val="Heading2"/>
      </w:pPr>
      <w:r>
        <w:rPr>
          <w:rFonts w:ascii="Arial" w:cs="Arial" w:eastAsia="Arial" w:hAnsi="Arial"/>
          <w:b/>
          <w:bCs/>
          <w:sz w:val="26"/>
          <w:szCs w:val="26"/>
        </w:rPr>
        <w:t xml:space="preserve">EDIT 1 — Author's Note (Page 1, after copyright block)</w:t>
      </w:r>
    </w:p>
    <w:p>
      <w:pPr>
        <w:spacing w:after="160"/>
      </w:pPr>
      <w:r>
        <w:rPr>
          <w:rFonts w:ascii="Arial" w:cs="Arial" w:eastAsia="Arial" w:hAnsi="Arial"/>
          <w:sz w:val="22"/>
          <w:szCs w:val="22"/>
        </w:rPr>
        <w:t xml:space="preserve">LOCATION: The Author's Note section, after the sentence ending '...validates the complete clinical mechanics of the Material Dignity Infrastructure.'</w:t>
      </w:r>
    </w:p>
    <w:p>
      <w:r>
        <w:t xml:space="preserve"/>
      </w:r>
    </w:p>
    <w:p>
      <w:pPr>
        <w:spacing w:after="160"/>
      </w:pPr>
      <w:r>
        <w:rPr>
          <w:rFonts w:ascii="Arial" w:cs="Arial" w:eastAsia="Arial" w:hAnsi="Arial"/>
          <w:b/>
          <w:bCs/>
          <w:sz w:val="22"/>
          <w:szCs w:val="22"/>
        </w:rPr>
        <w:t xml:space="preserve">ADD THIS SENTENCE immediately after the Author's Note paragraph:</w:t>
      </w:r>
    </w:p>
    <w:p>
      <w:pPr>
        <w:pBdr>
          <w:left w:val="single" w:color="2E86C1" w:sz="8"/>
        </w:pBdr>
        <w:shd w:fill="EBF5FB" w:val="clear"/>
        <w:spacing w:after="160"/>
        <w:ind w:left="360"/>
      </w:pPr>
      <w:r>
        <w:rPr>
          <w:rFonts w:ascii="Arial" w:cs="Arial" w:eastAsia="Arial" w:hAnsi="Arial"/>
          <w:i/>
          <w:iCs/>
          <w:sz w:val="22"/>
          <w:szCs w:val="22"/>
        </w:rPr>
        <w:t xml:space="preserve">Arthur, Jenifer, and Marcus are composite illustrations constructed from documented population characteristics corresponding to Pipelines B, C, and A respectively. They are not drawn from individual case files. Their purpose is to demonstrate the mechanical function of each pipeline through a human lens.</w:t>
      </w:r>
    </w:p>
    <w:p>
      <w:pPr>
        <w:spacing w:after="160"/>
      </w:pPr>
      <w:r>
        <w:rPr>
          <w:rFonts w:ascii="Arial" w:cs="Arial" w:eastAsia="Arial" w:hAnsi="Arial"/>
          <w:sz w:val="22"/>
          <w:szCs w:val="22"/>
        </w:rPr>
        <w:t xml:space="preserve">WHY: This single sentence resolves the most predictable academic objection to the narrative method. Without it, reviewers will assume these are undisclosed real individuals and question IRB compliance. With it, the method is immediately defensible as composite illustration — a standard technique in policy and implementation science literature.</w:t>
      </w:r>
    </w:p>
    <w:p>
      <w:r>
        <w:t xml:space="preserve"/>
      </w:r>
    </w:p>
    <w:p>
      <w:pPr>
        <w:pStyle w:val="Heading2"/>
      </w:pPr>
      <w:r>
        <w:rPr>
          <w:rFonts w:ascii="Arial" w:cs="Arial" w:eastAsia="Arial" w:hAnsi="Arial"/>
          <w:b/>
          <w:bCs/>
          <w:sz w:val="26"/>
          <w:szCs w:val="26"/>
        </w:rPr>
        <w:t xml:space="preserve">EDIT 2 — Preface: The Architectural Engine (after first two paragraphs)</w:t>
      </w:r>
    </w:p>
    <w:p>
      <w:pPr>
        <w:spacing w:after="160"/>
      </w:pPr>
      <w:r>
        <w:rPr>
          <w:rFonts w:ascii="Arial" w:cs="Arial" w:eastAsia="Arial" w:hAnsi="Arial"/>
          <w:sz w:val="22"/>
          <w:szCs w:val="22"/>
        </w:rPr>
        <w:t xml:space="preserve">LOCATION: End of the Preface section, before Chapter 1 begins.</w:t>
      </w:r>
    </w:p>
    <w:p>
      <w:r>
        <w:t xml:space="preserve"/>
      </w:r>
    </w:p>
    <w:p>
      <w:pPr>
        <w:spacing w:after="160"/>
      </w:pPr>
      <w:r>
        <w:rPr>
          <w:rFonts w:ascii="Arial" w:cs="Arial" w:eastAsia="Arial" w:hAnsi="Arial"/>
          <w:b/>
          <w:bCs/>
          <w:sz w:val="22"/>
          <w:szCs w:val="22"/>
        </w:rPr>
        <w:t xml:space="preserve">ADD THIS PARAGRAPH:</w:t>
      </w:r>
    </w:p>
    <w:p>
      <w:pPr>
        <w:pBdr>
          <w:left w:val="single" w:color="2E86C1" w:sz="8"/>
        </w:pBdr>
        <w:shd w:fill="EBF5FB" w:val="clear"/>
        <w:spacing w:after="160"/>
        <w:ind w:left="360"/>
      </w:pPr>
      <w:r>
        <w:rPr>
          <w:rFonts w:ascii="Arial" w:cs="Arial" w:eastAsia="Arial" w:hAnsi="Arial"/>
          <w:i/>
          <w:iCs/>
          <w:sz w:val="22"/>
          <w:szCs w:val="22"/>
        </w:rPr>
        <w:t xml:space="preserve">This volume is the fourth in the Material Dignity Infrastructure series. The full theoretical framework, including the capabilities approach synthesis, the National Stability Utility model, and the complete Los Angeles operational specification with fiscal architecture and legal governance, is developed across Papers 1 through 3 available at SSRN (Abstract IDs: 5968756, 6211658, 6579600) and at bikepaths.org. This book renders that framework through three composite pipeline illustrations to make its human and architectural logic visible to a general audience.</w:t>
      </w:r>
    </w:p>
    <w:p>
      <w:pPr>
        <w:spacing w:after="160"/>
      </w:pPr>
      <w:r>
        <w:rPr>
          <w:rFonts w:ascii="Arial" w:cs="Arial" w:eastAsia="Arial" w:hAnsi="Arial"/>
          <w:sz w:val="22"/>
          <w:szCs w:val="22"/>
        </w:rPr>
        <w:t xml:space="preserve">WHY: This locates Book 4 within the series, directs academic readers to the peer-reviewable papers, and explains the narrative method as a deliberate translation choice rather than a substitute for rigor.</w:t>
      </w:r>
    </w:p>
    <w:p>
      <w:r>
        <w:t xml:space="preserve"/>
      </w:r>
    </w:p>
    <w:p>
      <w:pPr>
        <w:pStyle w:val="Heading2"/>
      </w:pPr>
      <w:r>
        <w:rPr>
          <w:rFonts w:ascii="Arial" w:cs="Arial" w:eastAsia="Arial" w:hAnsi="Arial"/>
          <w:b/>
          <w:bCs/>
          <w:sz w:val="26"/>
          <w:szCs w:val="26"/>
        </w:rPr>
        <w:t xml:space="preserve">EDIT 3 — Preface: Research Question (insert before 'Part One examines...')</w:t>
      </w:r>
    </w:p>
    <w:p>
      <w:pPr>
        <w:spacing w:after="160"/>
      </w:pPr>
      <w:r>
        <w:rPr>
          <w:rFonts w:ascii="Arial" w:cs="Arial" w:eastAsia="Arial" w:hAnsi="Arial"/>
          <w:sz w:val="22"/>
          <w:szCs w:val="22"/>
        </w:rPr>
        <w:t xml:space="preserve">LOCATION: Preface, before the paragraph beginning 'Part One examines Pipeline 2...'</w:t>
      </w:r>
    </w:p>
    <w:p>
      <w:r>
        <w:t xml:space="preserve"/>
      </w:r>
    </w:p>
    <w:p>
      <w:pPr>
        <w:spacing w:after="160"/>
      </w:pPr>
      <w:r>
        <w:rPr>
          <w:rFonts w:ascii="Arial" w:cs="Arial" w:eastAsia="Arial" w:hAnsi="Arial"/>
          <w:b/>
          <w:bCs/>
          <w:sz w:val="22"/>
          <w:szCs w:val="22"/>
        </w:rPr>
        <w:t xml:space="preserve">ADD THIS PARAGRAPH:</w:t>
      </w:r>
    </w:p>
    <w:p>
      <w:pPr>
        <w:pBdr>
          <w:left w:val="single" w:color="2E86C1" w:sz="8"/>
        </w:pBdr>
        <w:shd w:fill="EBF5FB" w:val="clear"/>
        <w:spacing w:after="160"/>
        <w:ind w:left="360"/>
      </w:pPr>
      <w:r>
        <w:rPr>
          <w:rFonts w:ascii="Arial" w:cs="Arial" w:eastAsia="Arial" w:hAnsi="Arial"/>
          <w:i/>
          <w:iCs/>
          <w:sz w:val="22"/>
          <w:szCs w:val="22"/>
        </w:rPr>
        <w:t xml:space="preserve">The governing research question underlying the full MDI series is this: Does a simultaneous five-operation engineering intervention — deploying acoustic architecture, pipeline-differentiated intake, and Dunbar-scale social infrastructure — outperform fragmented legacy systems in biological stabilization, housing retention, and cost efficiency for the chronically unsheltered? The answer is verified against eight binary metrics constituting the Singular Prototype Threshold, detailed in the companion working paper. This volume demonstrates the pipeline mechanics through which that question is answered.</w:t>
      </w:r>
    </w:p>
    <w:p>
      <w:pPr>
        <w:spacing w:after="160"/>
      </w:pPr>
      <w:r>
        <w:rPr>
          <w:rFonts w:ascii="Arial" w:cs="Arial" w:eastAsia="Arial" w:hAnsi="Arial"/>
          <w:sz w:val="22"/>
          <w:szCs w:val="22"/>
        </w:rPr>
        <w:t xml:space="preserve">WHY: Every academic paper requires a stated research question. This supplies it in a way that connects narrative to the falsifiable framework in Paper 3. It also signals to any reviewer that the author is aware of the distinction between question, method, and claim.</w:t>
      </w:r>
    </w:p>
    <w:p>
      <w:r>
        <w:t xml:space="preserve"/>
      </w:r>
    </w:p>
    <w:p>
      <w:pPr>
        <w:pStyle w:val="Heading2"/>
      </w:pPr>
      <w:r>
        <w:rPr>
          <w:rFonts w:ascii="Arial" w:cs="Arial" w:eastAsia="Arial" w:hAnsi="Arial"/>
          <w:b/>
          <w:bCs/>
          <w:sz w:val="26"/>
          <w:szCs w:val="26"/>
        </w:rPr>
        <w:t xml:space="preserve">EDIT 4 — Preface: Legal Lever Framing (insert before Part Two description)</w:t>
      </w:r>
    </w:p>
    <w:p>
      <w:pPr>
        <w:spacing w:after="160"/>
      </w:pPr>
      <w:r>
        <w:rPr>
          <w:rFonts w:ascii="Arial" w:cs="Arial" w:eastAsia="Arial" w:hAnsi="Arial"/>
          <w:sz w:val="22"/>
          <w:szCs w:val="22"/>
        </w:rPr>
        <w:t xml:space="preserve">LOCATION: Preface, before the paragraph beginning 'Part Two shifts to Pipeline 4...'</w:t>
      </w:r>
    </w:p>
    <w:p>
      <w:r>
        <w:t xml:space="preserve"/>
      </w:r>
    </w:p>
    <w:p>
      <w:pPr>
        <w:spacing w:after="160"/>
      </w:pPr>
      <w:r>
        <w:rPr>
          <w:rFonts w:ascii="Arial" w:cs="Arial" w:eastAsia="Arial" w:hAnsi="Arial"/>
          <w:b/>
          <w:bCs/>
          <w:sz w:val="22"/>
          <w:szCs w:val="22"/>
        </w:rPr>
        <w:t xml:space="preserve">ADD THIS SENTENCE at the start of the Part Two description paragraph:</w:t>
      </w:r>
    </w:p>
    <w:p>
      <w:pPr>
        <w:pBdr>
          <w:left w:val="single" w:color="2E86C1" w:sz="8"/>
        </w:pBdr>
        <w:shd w:fill="EBF5FB" w:val="clear"/>
        <w:spacing w:after="160"/>
        <w:ind w:left="360"/>
      </w:pPr>
      <w:r>
        <w:rPr>
          <w:rFonts w:ascii="Arial" w:cs="Arial" w:eastAsia="Arial" w:hAnsi="Arial"/>
          <w:i/>
          <w:iCs/>
          <w:sz w:val="22"/>
          <w:szCs w:val="22"/>
        </w:rPr>
        <w:t xml:space="preserve">Pipeline C represents approximately 30 percent of the unsheltered population. The compelled legal pathway described in this section operates exclusively within existing California law — the CARE Act (2023), Laura's Law, and the Lanterman-Petris-Short Act — under independent judicial oversight. The MDI architecture does not create new coercive authority; it provides the destination those existing legal instruments currently lack.</w:t>
      </w:r>
    </w:p>
    <w:p>
      <w:pPr>
        <w:spacing w:after="160"/>
      </w:pPr>
      <w:r>
        <w:rPr>
          <w:rFonts w:ascii="Arial" w:cs="Arial" w:eastAsia="Arial" w:hAnsi="Arial"/>
          <w:sz w:val="22"/>
          <w:szCs w:val="22"/>
        </w:rPr>
        <w:t xml:space="preserve">WHY: This is the single most important edit in the document. It neutralizes the civil liberties objection before it is raised, accurately characterizes the legal framework, and removes the impression that MDI is advocating for expanded state coercion. It also directly addresses the pushback that drove the author to consider abandoning the project.</w:t>
      </w:r>
    </w:p>
    <w:p>
      <w:r>
        <w:t xml:space="preserve"/>
      </w:r>
    </w:p>
    <w:p>
      <w:pPr>
        <w:pStyle w:val="Heading2"/>
      </w:pPr>
      <w:r>
        <w:rPr>
          <w:rFonts w:ascii="Arial" w:cs="Arial" w:eastAsia="Arial" w:hAnsi="Arial"/>
          <w:b/>
          <w:bCs/>
          <w:sz w:val="26"/>
          <w:szCs w:val="26"/>
        </w:rPr>
        <w:t xml:space="preserve">EDIT 5 — Chapter 14: Add Verification Metrics Table</w:t>
      </w:r>
    </w:p>
    <w:p>
      <w:pPr>
        <w:spacing w:after="160"/>
      </w:pPr>
      <w:r>
        <w:rPr>
          <w:rFonts w:ascii="Arial" w:cs="Arial" w:eastAsia="Arial" w:hAnsi="Arial"/>
          <w:sz w:val="22"/>
          <w:szCs w:val="22"/>
        </w:rPr>
        <w:t xml:space="preserve">LOCATION: Chapter 14 (The Municipal Yield), after the paragraph ending '...the public loses its reason to conflate the two.'</w:t>
      </w:r>
    </w:p>
    <w:p>
      <w:r>
        <w:t xml:space="preserve"/>
      </w:r>
    </w:p>
    <w:p>
      <w:pPr>
        <w:spacing w:after="160"/>
      </w:pPr>
      <w:r>
        <w:rPr>
          <w:rFonts w:ascii="Arial" w:cs="Arial" w:eastAsia="Arial" w:hAnsi="Arial"/>
          <w:b/>
          <w:bCs/>
          <w:sz w:val="22"/>
          <w:szCs w:val="22"/>
        </w:rPr>
        <w:t xml:space="preserve">ADD THIS HEADING AND TABLE:</w:t>
      </w:r>
    </w:p>
    <w:p>
      <w:pPr>
        <w:pBdr>
          <w:left w:val="single" w:color="2E86C1" w:sz="8"/>
        </w:pBdr>
        <w:shd w:fill="EBF5FB" w:val="clear"/>
        <w:spacing w:after="80"/>
        <w:ind w:left="360"/>
      </w:pPr>
      <w:r>
        <w:rPr>
          <w:rFonts w:ascii="Arial" w:cs="Arial" w:eastAsia="Arial" w:hAnsi="Arial"/>
          <w:b/>
          <w:bCs/>
          <w:i/>
          <w:iCs/>
          <w:sz w:val="22"/>
          <w:szCs w:val="22"/>
        </w:rPr>
        <w:t xml:space="preserve">Heading to insert: 'The Eight Verification Metrics'</w:t>
      </w:r>
    </w:p>
    <w:p>
      <w:pPr>
        <w:spacing w:after="80"/>
        <w:ind w:left="360"/>
      </w:pPr>
      <w:r>
        <w:rPr>
          <w:rFonts w:ascii="Arial" w:cs="Arial" w:eastAsia="Arial" w:hAnsi="Arial"/>
          <w:sz w:val="22"/>
          <w:szCs w:val="22"/>
        </w:rPr>
        <w:t xml:space="preserve">Followed by this explanatory paragraph:</w:t>
      </w:r>
    </w:p>
    <w:p>
      <w:pPr>
        <w:pBdr>
          <w:left w:val="single" w:color="2E86C1" w:sz="8"/>
        </w:pBdr>
        <w:shd w:fill="EBF5FB" w:val="clear"/>
        <w:spacing w:after="160"/>
        <w:ind w:left="360"/>
      </w:pPr>
      <w:r>
        <w:rPr>
          <w:rFonts w:ascii="Arial" w:cs="Arial" w:eastAsia="Arial" w:hAnsi="Arial"/>
          <w:i/>
          <w:iCs/>
          <w:sz w:val="22"/>
          <w:szCs w:val="22"/>
        </w:rPr>
        <w:t xml:space="preserve">The fiscal efficiency described in this chapter is not a projection based on intention. It is a falsifiable claim evaluated against eight binary verification metrics constituting the Singular Prototype Threshold. All eight must pass at One California Plaza before a single additional tower is acquired. Failure of any metric halts network expansion and triggers architectural revision. This clause is the difference between a policy proposal — evaluated on intention — and an engineering specification — evaluated on measured performance.</w:t>
      </w:r>
    </w:p>
    <w:p>
      <w:pPr>
        <w:spacing w:after="160"/>
      </w:pPr>
      <w:r>
        <w:rPr>
          <w:rFonts w:ascii="Arial" w:cs="Arial" w:eastAsia="Arial" w:hAnsi="Arial"/>
          <w:sz w:val="22"/>
          <w:szCs w:val="22"/>
        </w:rPr>
        <w:t xml:space="preserve">Then insert the metrics table from Section 3 of this document (copy and paste the table below into the manuscript at this location).</w:t>
      </w:r>
    </w:p>
    <w:p>
      <w:r>
        <w:t xml:space="preserve"/>
      </w:r>
    </w:p>
    <w:p>
      <w:pPr>
        <w:spacing w:after="160"/>
      </w:pPr>
      <w:r>
        <w:rPr>
          <w:rFonts w:ascii="Arial" w:cs="Arial" w:eastAsia="Arial" w:hAnsi="Arial"/>
          <w:sz w:val="22"/>
          <w:szCs w:val="22"/>
        </w:rPr>
        <w:t xml:space="preserve">WHY: The metrics are the strongest academic contribution in the entire MDI series. They are invisible in the current preprint. Placing them in Chapter 14 transforms the book's final chapter from narrative into specification, and gives any reader — academic, policy, or general — the clearest possible statement of what success looks like and how it is measured.</w:t>
      </w:r>
    </w:p>
    <w:p>
      <w:r>
        <w:t xml:space="preserve"/>
      </w:r>
    </w:p>
    <w:p>
      <w:pPr>
        <w:pStyle w:val="Heading2"/>
      </w:pPr>
      <w:r>
        <w:rPr>
          <w:rFonts w:ascii="Arial" w:cs="Arial" w:eastAsia="Arial" w:hAnsi="Arial"/>
          <w:b/>
          <w:bCs/>
          <w:sz w:val="26"/>
          <w:szCs w:val="26"/>
        </w:rPr>
        <w:t xml:space="preserve">EDIT 6 — Citations: Expand Section Headers</w:t>
      </w:r>
    </w:p>
    <w:p>
      <w:pPr>
        <w:spacing w:after="160"/>
      </w:pPr>
      <w:r>
        <w:rPr>
          <w:rFonts w:ascii="Arial" w:cs="Arial" w:eastAsia="Arial" w:hAnsi="Arial"/>
          <w:sz w:val="22"/>
          <w:szCs w:val="22"/>
        </w:rPr>
        <w:t xml:space="preserve">LOCATION: The Citations and Sources section at the end of the document.</w:t>
      </w:r>
    </w:p>
    <w:p>
      <w:r>
        <w:t xml:space="preserve"/>
      </w:r>
    </w:p>
    <w:p>
      <w:pPr>
        <w:spacing w:after="160"/>
      </w:pPr>
      <w:r>
        <w:rPr>
          <w:rFonts w:ascii="Arial" w:cs="Arial" w:eastAsia="Arial" w:hAnsi="Arial"/>
          <w:sz w:val="22"/>
          <w:szCs w:val="22"/>
        </w:rPr>
        <w:t xml:space="preserve">CURRENT TEXT: Section headers read 'Chapter One: The Extraction', 'Chapter Two: The Decompression', etc.</w:t>
      </w:r>
    </w:p>
    <w:p>
      <w:r>
        <w:t xml:space="preserve"/>
      </w:r>
    </w:p>
    <w:p>
      <w:pPr>
        <w:spacing w:after="160"/>
      </w:pPr>
      <w:r>
        <w:rPr>
          <w:rFonts w:ascii="Arial" w:cs="Arial" w:eastAsia="Arial" w:hAnsi="Arial"/>
          <w:b/>
          <w:bCs/>
          <w:sz w:val="22"/>
          <w:szCs w:val="22"/>
        </w:rPr>
        <w:t xml:space="preserve">CHANGE TO: Replace chapter-by-chapter headers with subject-matter headers that reflect the actual academic literature being cited. Use these headers:</w:t>
      </w:r>
    </w:p>
    <w:p>
      <w:pPr>
        <w:pBdr>
          <w:left w:val="single" w:color="2E86C1" w:sz="8"/>
        </w:pBdr>
        <w:shd w:fill="EBF5FB" w:val="clear"/>
        <w:spacing w:after="160"/>
        <w:ind w:left="360"/>
      </w:pPr>
      <w:r>
        <w:rPr>
          <w:rFonts w:ascii="Arial" w:cs="Arial" w:eastAsia="Arial" w:hAnsi="Arial"/>
          <w:i/>
          <w:iCs/>
          <w:sz w:val="22"/>
          <w:szCs w:val="22"/>
        </w:rPr>
        <w:t xml:space="preserve">Neuroscience and Polyvagal Theory
Urban Homelessness: Policy and Cost Evidence
Capabilities Approach and Theoretical Framework
Pod Integration and Dunbar's Number
Housing First: Evidence and Outcomes
[Move each existing citation under the appropriate subject header]</w:t>
      </w:r>
    </w:p>
    <w:p>
      <w:pPr>
        <w:spacing w:after="160"/>
      </w:pPr>
      <w:r>
        <w:rPr>
          <w:rFonts w:ascii="Arial" w:cs="Arial" w:eastAsia="Arial" w:hAnsi="Arial"/>
          <w:sz w:val="22"/>
          <w:szCs w:val="22"/>
        </w:rPr>
        <w:t xml:space="preserve">WHY: Chapter-by-chapter citation headers signal to academic readers that citations serve the narrative rather than the scholarship. Subject-matter headers signal the opposite. This is a small change with significant effect on perceived rigor.</w:t>
      </w:r>
    </w:p>
    <w:p>
      <w:r>
        <w:t xml:space="preserve"/>
      </w:r>
    </w:p>
    <w:p>
      <w:pPr>
        <w:pStyle w:val="Heading2"/>
      </w:pPr>
      <w:r>
        <w:rPr>
          <w:rFonts w:ascii="Arial" w:cs="Arial" w:eastAsia="Arial" w:hAnsi="Arial"/>
          <w:b/>
          <w:bCs/>
          <w:sz w:val="26"/>
          <w:szCs w:val="26"/>
        </w:rPr>
        <w:t xml:space="preserve">EDIT 7 — Add About the Author (final page)</w:t>
      </w:r>
    </w:p>
    <w:p>
      <w:pPr>
        <w:spacing w:after="160"/>
      </w:pPr>
      <w:r>
        <w:rPr>
          <w:rFonts w:ascii="Arial" w:cs="Arial" w:eastAsia="Arial" w:hAnsi="Arial"/>
          <w:sz w:val="22"/>
          <w:szCs w:val="22"/>
        </w:rPr>
        <w:t xml:space="preserve">LOCATION: After the Citations and Sources section, add a new page with the heading 'About the Author'.</w:t>
      </w:r>
    </w:p>
    <w:p>
      <w:r>
        <w:t xml:space="preserve"/>
      </w:r>
    </w:p>
    <w:p>
      <w:pPr>
        <w:spacing w:after="160"/>
      </w:pPr>
      <w:r>
        <w:rPr>
          <w:rFonts w:ascii="Arial" w:cs="Arial" w:eastAsia="Arial" w:hAnsi="Arial"/>
          <w:b/>
          <w:bCs/>
          <w:sz w:val="22"/>
          <w:szCs w:val="22"/>
        </w:rPr>
        <w:t xml:space="preserve">USE THE TEXT FROM SECTION 2 OF THIS DOCUMENT.</w:t>
      </w:r>
    </w:p>
    <w:p>
      <w:r>
        <w:t xml:space="preserve"/>
      </w:r>
    </w:p>
    <w:p>
      <w:pPr>
        <w:spacing w:after="160"/>
      </w:pPr>
      <w:r>
        <w:rPr>
          <w:rFonts w:ascii="Arial" w:cs="Arial" w:eastAsia="Arial" w:hAnsi="Arial"/>
          <w:sz w:val="22"/>
          <w:szCs w:val="22"/>
        </w:rPr>
        <w:t xml:space="preserve">WHY: The author's 30-year lived experience at street level is his primary methodological credential. Without an About the Author section, readers have no way to understand why this framework is grounded differently from academic policy work. This section transforms what might appear to be a weakness — no institutional affiliation — into a distinctive and irreplaceable form of primary research.</w:t>
      </w:r>
    </w:p>
    <w:p>
      <w:r>
        <w:t xml:space="preserve"/>
      </w:r>
    </w:p>
    <w:p>
      <w:pPr>
        <w:pStyle w:val="Heading2"/>
      </w:pPr>
      <w:r>
        <w:rPr>
          <w:rFonts w:ascii="Arial" w:cs="Arial" w:eastAsia="Arial" w:hAnsi="Arial"/>
          <w:b/>
          <w:bCs/>
          <w:sz w:val="26"/>
          <w:szCs w:val="26"/>
        </w:rPr>
        <w:t xml:space="preserve">EDIT 8 — Add Framework Reference (after Preface or as final front matter)</w:t>
      </w:r>
    </w:p>
    <w:p>
      <w:pPr>
        <w:spacing w:after="160"/>
      </w:pPr>
      <w:r>
        <w:rPr>
          <w:rFonts w:ascii="Arial" w:cs="Arial" w:eastAsia="Arial" w:hAnsi="Arial"/>
          <w:sz w:val="22"/>
          <w:szCs w:val="22"/>
        </w:rPr>
        <w:t xml:space="preserve">LOCATION: As the last element of front matter, immediately before Chapter 1, or as an inserted page after the Preface.</w:t>
      </w:r>
    </w:p>
    <w:p>
      <w:r>
        <w:t xml:space="preserve"/>
      </w:r>
    </w:p>
    <w:p>
      <w:pPr>
        <w:spacing w:after="160"/>
      </w:pPr>
      <w:r>
        <w:rPr>
          <w:rFonts w:ascii="Arial" w:cs="Arial" w:eastAsia="Arial" w:hAnsi="Arial"/>
          <w:b/>
          <w:bCs/>
          <w:sz w:val="22"/>
          <w:szCs w:val="22"/>
        </w:rPr>
        <w:t xml:space="preserve">ADD THIS SINGLE PARAGRAPH:</w:t>
      </w:r>
    </w:p>
    <w:p>
      <w:pPr>
        <w:pBdr>
          <w:left w:val="single" w:color="2E86C1" w:sz="8"/>
        </w:pBdr>
        <w:shd w:fill="EBF5FB" w:val="clear"/>
        <w:spacing w:after="160"/>
        <w:ind w:left="360"/>
      </w:pPr>
      <w:r>
        <w:rPr>
          <w:rFonts w:ascii="Arial" w:cs="Arial" w:eastAsia="Arial" w:hAnsi="Arial"/>
          <w:i/>
          <w:iCs/>
          <w:sz w:val="22"/>
          <w:szCs w:val="22"/>
        </w:rPr>
        <w:t xml:space="preserve">A complete plain-language overview of the MDI engineering framework — including all five operations, the pipeline taxonomy, the fiscal architecture, and the eight verification metrics — is available at bikepaths.org/blog/topics/audio/podcasts/conceptual_framework/MDI_Engineering_Framework_Plain-Language_Guide.htm</w:t>
      </w:r>
    </w:p>
    <w:p>
      <w:pPr>
        <w:spacing w:after="160"/>
      </w:pPr>
      <w:r>
        <w:rPr>
          <w:rFonts w:ascii="Arial" w:cs="Arial" w:eastAsia="Arial" w:hAnsi="Arial"/>
          <w:sz w:val="22"/>
          <w:szCs w:val="22"/>
        </w:rPr>
        <w:t xml:space="preserve">WHY: Readers who want the technical specification should be able to find it immediately without hunting. A single sentence does this. It also positions the book correctly as the human translation of a technical document rather than a standalone claim.</w:t>
      </w:r>
    </w:p>
    <w:p>
      <w:r>
        <w:t xml:space="preserve"/>
      </w:r>
    </w:p>
    <w:p>
      <w:pPr>
        <w:pStyle w:val="Heading1"/>
      </w:pPr>
      <w:r>
        <w:rPr>
          <w:rFonts w:ascii="Arial" w:cs="Arial" w:eastAsia="Arial" w:hAnsi="Arial"/>
          <w:b/>
          <w:bCs/>
          <w:sz w:val="32"/>
          <w:szCs w:val="32"/>
        </w:rPr>
        <w:t xml:space="preserve">SECTION 2: ABOUT THE AUTHOR — READY TO PASTE</w:t>
      </w:r>
    </w:p>
    <w:p>
      <w:pPr>
        <w:pBdr>
          <w:left w:val="single" w:color="2E86C1" w:sz="8"/>
        </w:pBdr>
        <w:shd w:fill="EBF5FB" w:val="clear"/>
        <w:spacing w:after="160"/>
        <w:ind w:left="360"/>
      </w:pPr>
      <w:r>
        <w:rPr>
          <w:rFonts w:ascii="Arial" w:cs="Arial" w:eastAsia="Arial" w:hAnsi="Arial"/>
          <w:b/>
          <w:bCs/>
          <w:sz w:val="28"/>
          <w:szCs w:val="28"/>
        </w:rPr>
        <w:t xml:space="preserve">About the Author
</w:t>
      </w:r>
      <w:r>
        <w:rPr>
          <w:rFonts w:ascii="Arial" w:cs="Arial" w:eastAsia="Arial" w:hAnsi="Arial"/>
          <w:sz w:val="22"/>
          <w:szCs w:val="22"/>
        </w:rPr>
        <w:t xml:space="preserve">Charles J. DiBella is a Principal Systems Architect whose work sits at the intersection of urban economics, clinical systems design, and public infrastructure engineering.
Since 1997, DiBella has lived and traveled full-time by bicycle — logging thousands of miles across coast-to-coast American journeys alongside extensive tours through Southeast Asia and Europe. This life, conducted at street level and sustained across three decades, provided the observational foundation for the Material Dignity Infrastructure.
The MDI framework did not emerge from academic study of homelessness. It emerged from direct, sustained immersion in the physical realities of street life: the metabolic destruction of outdoor sleeping, the survival architecture that encampment communities build under pressure, the rational logic behind shelter refusal, and the precise moment when voluntary engagement becomes physiologically possible.
DiBella's background spans architectural design, blueprint and implementation science, and engineering — disciplines that train practitioners to think in specifications, tolerances, and falsifiable performance thresholds rather than intentions and policy proposals. The MDI framework reflects that disciplinary grounding: it is an industrial specification, not a program description.
Four working papers in the Material Dignity Infrastructure series are available via SSRN. This volume is the fourth book in a companion series published through Amazon KDP. Further technical documentation, audio companions, and the plain-language framework guide are available at bikepaths.org.</w:t>
      </w:r>
    </w:p>
    <w:p>
      <w:r>
        <w:t xml:space="preserve"/>
      </w:r>
    </w:p>
    <w:p>
      <w:pPr>
        <w:pStyle w:val="Heading1"/>
      </w:pPr>
      <w:r>
        <w:rPr>
          <w:rFonts w:ascii="Arial" w:cs="Arial" w:eastAsia="Arial" w:hAnsi="Arial"/>
          <w:b/>
          <w:bCs/>
          <w:sz w:val="32"/>
          <w:szCs w:val="32"/>
        </w:rPr>
        <w:t xml:space="preserve">SECTION 3: THE EIGHT VERIFICATION METRICS — INSERT INTO CHAPTER 14</w:t>
      </w:r>
    </w:p>
    <w:p>
      <w:pPr>
        <w:spacing w:after="160"/>
      </w:pPr>
      <w:r>
        <w:rPr>
          <w:rFonts w:ascii="Arial" w:cs="Arial" w:eastAsia="Arial" w:hAnsi="Arial"/>
          <w:sz w:val="22"/>
          <w:szCs w:val="22"/>
        </w:rPr>
        <w:t xml:space="preserve">Copy this table and insert it into Chapter 14 at the location described in Edit 5 above.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200"/>
        <w:gridCol w:w="2840"/>
        <w:gridCol w:w="2800"/>
      </w:tblGrid>
      <w:tr>
        <w:trPr>
          <w:tblHeader/>
        </w:trPr>
        <w:tc>
          <w:tcPr>
            <w:tcW w:type="dxa" w:w="5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Is Being Measured</w:t>
            </w:r>
          </w:p>
        </w:tc>
        <w:tc>
          <w:tcPr>
            <w:tcW w:type="dxa" w:w="28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Threshold to Pass</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Verified</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Encampment reduction in target zone</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70–80% within 24 months of activation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LAHSA Point-in-Time methodology</w:t>
            </w:r>
          </w:p>
        </w:tc>
      </w:tr>
      <w:tr>
        <w:tc>
          <w:tcPr>
            <w:tcW w:type="dxa" w:w="5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sz w:val="20"/>
                <w:szCs w:val="20"/>
              </w:rPr>
              <w:t xml:space="preserve">2</w:t>
            </w:r>
          </w:p>
        </w:tc>
        <w:tc>
          <w:tcPr>
            <w:tcW w:type="dxa" w:w="3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Continuous housing retention</w:t>
            </w:r>
          </w:p>
        </w:tc>
        <w:tc>
          <w:tcPr>
            <w:tcW w:type="dxa" w:w="28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≥85% at 24 months post-placement</w:t>
            </w:r>
          </w:p>
        </w:tc>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HMIS registry tracking</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Emergency service cost reduction</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≥$40,000 per resident per year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County fiscal audit</w:t>
            </w:r>
          </w:p>
        </w:tc>
      </w:tr>
      <w:tr>
        <w:tc>
          <w:tcPr>
            <w:tcW w:type="dxa" w:w="5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sz w:val="20"/>
                <w:szCs w:val="20"/>
              </w:rPr>
              <w:t xml:space="preserve">4</w:t>
            </w:r>
          </w:p>
        </w:tc>
        <w:tc>
          <w:tcPr>
            <w:tcW w:type="dxa" w:w="3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Voluntary acceptance rate — Pipeline B</w:t>
            </w:r>
          </w:p>
        </w:tc>
        <w:tc>
          <w:tcPr>
            <w:tcW w:type="dxa" w:w="28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≥55% at targeted warm offer</w:t>
            </w:r>
          </w:p>
        </w:tc>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Field ACT team records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lever Pipeline C augmentation</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of C-cohort housed via compelled pathways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CARE Court / AOT records</w:t>
            </w:r>
          </w:p>
        </w:tc>
      </w:tr>
      <w:tr>
        <w:tc>
          <w:tcPr>
            <w:tcW w:type="dxa" w:w="5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sz w:val="20"/>
                <w:szCs w:val="20"/>
              </w:rPr>
              <w:t xml:space="preserve">6</w:t>
            </w:r>
          </w:p>
        </w:tc>
        <w:tc>
          <w:tcPr>
            <w:tcW w:type="dxa" w:w="3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Capital recovery timeline</w:t>
            </w:r>
          </w:p>
        </w:tc>
        <w:tc>
          <w:tcPr>
            <w:tcW w:type="dxa" w:w="28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≤45 months from activation to breakeven</w:t>
            </w:r>
          </w:p>
        </w:tc>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Stewardship Authority audit</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Sustained Phase Zero clearance</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 maintaining ≥2 indicators across 60–90 day window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MHRC clinical records</w:t>
            </w:r>
          </w:p>
        </w:tc>
      </w:tr>
      <w:tr>
        <w:tc>
          <w:tcPr>
            <w:tcW w:type="dxa" w:w="52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sz w:val="20"/>
                <w:szCs w:val="20"/>
              </w:rPr>
              <w:t xml:space="preserve">8</w:t>
            </w:r>
          </w:p>
        </w:tc>
        <w:tc>
          <w:tcPr>
            <w:tcW w:type="dxa" w:w="3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System throughput integrity</w:t>
            </w:r>
          </w:p>
        </w:tc>
        <w:tc>
          <w:tcPr>
            <w:tcW w:type="dxa" w:w="28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Zero backlog exceeding 15 days for Phase Zero entry</w:t>
            </w:r>
          </w:p>
        </w:tc>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MHRC flow regulator audit</w:t>
            </w:r>
          </w:p>
        </w:tc>
      </w:tr>
    </w:tbl>
    <w:p>
      <w:r>
        <w:t xml:space="preserve"/>
      </w:r>
    </w:p>
    <w:p>
      <w:pPr>
        <w:shd w:fill="FDFEFE" w:val="clear"/>
        <w:spacing w:after="160"/>
      </w:pPr>
      <w:r>
        <w:rPr>
          <w:rFonts w:ascii="Arial" w:cs="Arial" w:eastAsia="Arial" w:hAnsi="Arial"/>
          <w:b/>
          <w:bCs/>
          <w:sz w:val="20"/>
          <w:szCs w:val="20"/>
        </w:rPr>
        <w:t xml:space="preserve">Note on Metric 7: </w:t>
      </w:r>
      <w:r>
        <w:rPr>
          <w:rFonts w:ascii="Arial" w:cs="Arial" w:eastAsia="Arial" w:hAnsi="Arial"/>
          <w:i/>
          <w:iCs/>
          <w:sz w:val="20"/>
          <w:szCs w:val="20"/>
        </w:rPr>
        <w:t xml:space="preserve">This is the causal verification metric. A retention gain at Metric 2 without a clearance gain at Metric 7 cannot be attributed to the Metabolic Stabilization sequencing design. All eight metrics must pass before network expansion proceeds.</w:t>
      </w:r>
    </w:p>
    <w:p>
      <w:r>
        <w:t xml:space="preserve"/>
      </w:r>
    </w:p>
    <w:p>
      <w:pPr>
        <w:pStyle w:val="Heading1"/>
      </w:pPr>
      <w:r>
        <w:rPr>
          <w:rFonts w:ascii="Arial" w:cs="Arial" w:eastAsia="Arial" w:hAnsi="Arial"/>
          <w:b/>
          <w:bCs/>
          <w:sz w:val="32"/>
          <w:szCs w:val="32"/>
        </w:rPr>
        <w:t xml:space="preserve">SECTION 4: PIPELINE CLASSIFICATION TABLE — FOR PREFACE OR CHAPTER 14</w:t>
      </w:r>
    </w:p>
    <w:p>
      <w:pPr>
        <w:spacing w:after="160"/>
      </w:pPr>
      <w:r>
        <w:rPr>
          <w:rFonts w:ascii="Arial" w:cs="Arial" w:eastAsia="Arial" w:hAnsi="Arial"/>
          <w:sz w:val="22"/>
          <w:szCs w:val="22"/>
        </w:rPr>
        <w:t xml:space="preserve">This table can be inserted in the Preface (after the Part descriptions) or in Chapter 14 alongside the metrics table. It gives readers an immediate structural map of the five pipelines demonstrated by Arthur, Jenifer, and Marcus.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000"/>
        <w:gridCol w:w="1900"/>
        <w:gridCol w:w="1900"/>
      </w:tblGrid>
      <w:tr>
        <w:trPr>
          <w:tblHeader/>
        </w:trPr>
        <w:tc>
          <w:tcPr>
            <w:tcW w:type="dxa" w:w="1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Pipeline</w:t>
            </w:r>
          </w:p>
        </w:tc>
        <w:tc>
          <w:tcPr>
            <w:tcW w:type="dxa" w:w="1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Population</w:t>
            </w:r>
          </w:p>
        </w:tc>
        <w:tc>
          <w:tcPr>
            <w:tcW w:type="dxa" w:w="1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 of Total</w:t>
            </w:r>
          </w:p>
        </w:tc>
        <w:tc>
          <w:tcPr>
            <w:tcW w:type="dxa" w:w="1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Primary Instrument</w:t>
            </w:r>
          </w:p>
        </w:tc>
        <w:tc>
          <w:tcPr>
            <w:tcW w:type="dxa" w:w="1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MDI Node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 — Voluntary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Near-homeless, newly displaced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CES rapid placement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Ground Floor → ALMU</w:t>
            </w:r>
          </w:p>
        </w:tc>
      </w:tr>
      <w:tr>
        <w:tc>
          <w:tcPr>
            <w:tcW w:type="dxa" w:w="19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19"/>
                <w:szCs w:val="19"/>
              </w:rPr>
              <w:t xml:space="preserve">B — Engageable</w:t>
            </w:r>
          </w:p>
        </w:tc>
        <w:tc>
          <w:tcPr>
            <w:tcW w:type="dxa" w:w="19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19"/>
                <w:szCs w:val="19"/>
              </w:rPr>
              <w:t xml:space="preserve">Long-term encamped, rational refusal</w:t>
            </w:r>
          </w:p>
        </w:tc>
        <w:tc>
          <w:tcPr>
            <w:tcW w:type="dxa" w:w="19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19"/>
                <w:szCs w:val="19"/>
              </w:rPr>
              <w:t xml:space="preserve">~35%</w:t>
            </w:r>
          </w:p>
        </w:tc>
        <w:tc>
          <w:tcPr>
            <w:tcW w:type="dxa" w:w="19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19"/>
                <w:szCs w:val="19"/>
              </w:rPr>
              <w:t xml:space="preserve">Warm offer at crisis window</w:t>
            </w:r>
          </w:p>
        </w:tc>
        <w:tc>
          <w:tcPr>
            <w:tcW w:type="dxa" w:w="19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19"/>
                <w:szCs w:val="19"/>
              </w:rPr>
              <w:t xml:space="preserve">Field Team → ALMU</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 — Calcified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Behaviorally calcified, anosognosia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 + CARE Court + AOT/LPS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Field → Legal → ALMU</w:t>
            </w:r>
          </w:p>
        </w:tc>
      </w:tr>
      <w:tr>
        <w:tc>
          <w:tcPr>
            <w:tcW w:type="dxa" w:w="19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19"/>
                <w:szCs w:val="19"/>
              </w:rPr>
              <w:t xml:space="preserve">C (Riparian)</w:t>
            </w:r>
          </w:p>
        </w:tc>
        <w:tc>
          <w:tcPr>
            <w:tcW w:type="dxa" w:w="19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19"/>
                <w:szCs w:val="19"/>
              </w:rPr>
              <w:t xml:space="preserve">Hidden, terrain-adapted, mobile</w:t>
            </w:r>
          </w:p>
        </w:tc>
        <w:tc>
          <w:tcPr>
            <w:tcW w:type="dxa" w:w="19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19"/>
                <w:szCs w:val="19"/>
              </w:rPr>
              <w:t xml:space="preserve">+20–30% above PIT count</w:t>
            </w:r>
          </w:p>
        </w:tc>
        <w:tc>
          <w:tcPr>
            <w:tcW w:type="dxa" w:w="19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19"/>
                <w:szCs w:val="19"/>
              </w:rPr>
              <w:t xml:space="preserve">FLIR + environmental enforcement</w:t>
            </w:r>
          </w:p>
        </w:tc>
        <w:tc>
          <w:tcPr>
            <w:tcW w:type="dxa" w:w="19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19"/>
                <w:szCs w:val="19"/>
              </w:rPr>
              <w:t xml:space="preserve">LARWQCB → Warm Offer → ALMU</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 — Nomadic</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Voluntary outdoor living, preference-based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Harm reduction, no placement requirement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Ground Floor open access only</w:t>
            </w:r>
          </w:p>
        </w:tc>
      </w:tr>
    </w:tbl>
    <w:p>
      <w:r>
        <w:t xml:space="preserve"/>
      </w:r>
    </w:p>
    <w:p>
      <w:pPr>
        <w:spacing w:after="160"/>
      </w:pPr>
      <w:r>
        <w:rPr>
          <w:rFonts w:ascii="Arial" w:cs="Arial" w:eastAsia="Arial" w:hAnsi="Arial"/>
          <w:sz w:val="22"/>
          <w:szCs w:val="22"/>
        </w:rPr>
        <w:t xml:space="preserve">Note: Arthur demonstrates Pipeline B (engageable, pet barrier resolved by zero-separation policy). Jenifer demonstrates Pipeline C (compelled pathway, anosognosia, CARE Court). Marcus demonstrates Pipeline A (economically displaced, intact cognition, rapid exit).</w:t>
      </w:r>
    </w:p>
    <w:p>
      <w:r>
        <w:t xml:space="preserve"/>
      </w:r>
    </w:p>
    <w:p>
      <w:pPr>
        <w:pStyle w:val="Heading1"/>
      </w:pPr>
      <w:r>
        <w:rPr>
          <w:rFonts w:ascii="Arial" w:cs="Arial" w:eastAsia="Arial" w:hAnsi="Arial"/>
          <w:b/>
          <w:bCs/>
          <w:sz w:val="32"/>
          <w:szCs w:val="32"/>
        </w:rPr>
        <w:t xml:space="preserve">SECTION 5: PRIORITY ORDER FOR EDITS</w:t>
      </w:r>
    </w:p>
    <w:p>
      <w:pPr>
        <w:spacing w:after="160"/>
      </w:pPr>
      <w:r>
        <w:rPr>
          <w:rFonts w:ascii="Arial" w:cs="Arial" w:eastAsia="Arial" w:hAnsi="Arial"/>
          <w:sz w:val="22"/>
          <w:szCs w:val="22"/>
        </w:rPr>
        <w:t xml:space="preserve">If time or energy is limited, execute edits in this priority order: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1 (Highest)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Edit 4 — Legal Lever Framing in Preface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Stops the most damaging objection before it starts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tcPr>
          <w:p>
            <w:r>
              <w:rPr>
                <w:rFonts w:ascii="Arial" w:cs="Arial" w:eastAsia="Arial" w:hAnsi="Arial"/>
                <w:b/>
                <w:bCs/>
                <w:sz w:val="20"/>
                <w:szCs w:val="20"/>
              </w:rPr>
              <w:t xml:space="preserve">2</w:t>
            </w:r>
          </w:p>
        </w:tc>
        <w:tc>
          <w:tcPr>
            <w:tcW w:type="dxa" w:w="3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tcPr>
          <w:p>
            <w:r>
              <w:rPr>
                <w:rFonts w:ascii="Arial" w:cs="Arial" w:eastAsia="Arial" w:hAnsi="Arial"/>
                <w:b w:val="false"/>
                <w:bCs w:val="false"/>
                <w:sz w:val="20"/>
                <w:szCs w:val="20"/>
              </w:rPr>
              <w:t xml:space="preserve">Edit 1 — Composite character declaration in Author's Note</w:t>
            </w:r>
          </w:p>
        </w:tc>
        <w:tc>
          <w:tcPr>
            <w:tcW w:type="dxa" w:w="496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tcPr>
          <w:p>
            <w:r>
              <w:rPr>
                <w:rFonts w:ascii="Arial" w:cs="Arial" w:eastAsia="Arial" w:hAnsi="Arial"/>
                <w:b w:val="false"/>
                <w:bCs w:val="false"/>
                <w:sz w:val="20"/>
                <w:szCs w:val="20"/>
              </w:rPr>
              <w:t xml:space="preserve">Resolves IRB and ethics questions immediately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Edit 7 — About the Author section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Establishes the credential that makes the framework credible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tcPr>
          <w:p>
            <w:r>
              <w:rPr>
                <w:rFonts w:ascii="Arial" w:cs="Arial" w:eastAsia="Arial" w:hAnsi="Arial"/>
                <w:b/>
                <w:bCs/>
                <w:sz w:val="20"/>
                <w:szCs w:val="20"/>
              </w:rPr>
              <w:t xml:space="preserve">4</w:t>
            </w:r>
          </w:p>
        </w:tc>
        <w:tc>
          <w:tcPr>
            <w:tcW w:type="dxa" w:w="3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tcPr>
          <w:p>
            <w:r>
              <w:rPr>
                <w:rFonts w:ascii="Arial" w:cs="Arial" w:eastAsia="Arial" w:hAnsi="Arial"/>
                <w:b w:val="false"/>
                <w:bCs w:val="false"/>
                <w:sz w:val="20"/>
                <w:szCs w:val="20"/>
              </w:rPr>
              <w:t xml:space="preserve">Edit 5 — Metrics Table in Chapter 14</w:t>
            </w:r>
          </w:p>
        </w:tc>
        <w:tc>
          <w:tcPr>
            <w:tcW w:type="dxa" w:w="496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tcPr>
          <w:p>
            <w:r>
              <w:rPr>
                <w:rFonts w:ascii="Arial" w:cs="Arial" w:eastAsia="Arial" w:hAnsi="Arial"/>
                <w:b w:val="false"/>
                <w:bCs w:val="false"/>
                <w:sz w:val="20"/>
                <w:szCs w:val="20"/>
              </w:rPr>
              <w:t xml:space="preserve">Transforms the book's ending from narrative into specification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Edit 2 — Series location paragraph in Preface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Connects this book to the academic papers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tcPr>
          <w:p>
            <w:r>
              <w:rPr>
                <w:rFonts w:ascii="Arial" w:cs="Arial" w:eastAsia="Arial" w:hAnsi="Arial"/>
                <w:b/>
                <w:bCs/>
                <w:sz w:val="20"/>
                <w:szCs w:val="20"/>
              </w:rPr>
              <w:t xml:space="preserve">6</w:t>
            </w:r>
          </w:p>
        </w:tc>
        <w:tc>
          <w:tcPr>
            <w:tcW w:type="dxa" w:w="3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tcPr>
          <w:p>
            <w:r>
              <w:rPr>
                <w:rFonts w:ascii="Arial" w:cs="Arial" w:eastAsia="Arial" w:hAnsi="Arial"/>
                <w:b w:val="false"/>
                <w:bCs w:val="false"/>
                <w:sz w:val="20"/>
                <w:szCs w:val="20"/>
              </w:rPr>
              <w:t xml:space="preserve">Edit 3 — Research question paragraph in Preface</w:t>
            </w:r>
          </w:p>
        </w:tc>
        <w:tc>
          <w:tcPr>
            <w:tcW w:type="dxa" w:w="496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tcPr>
          <w:p>
            <w:r>
              <w:rPr>
                <w:rFonts w:ascii="Arial" w:cs="Arial" w:eastAsia="Arial" w:hAnsi="Arial"/>
                <w:b w:val="false"/>
                <w:bCs w:val="false"/>
                <w:sz w:val="20"/>
                <w:szCs w:val="20"/>
              </w:rPr>
              <w:t xml:space="preserve">Supplies the missing academic spine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Edit 8 — Framework link in front matter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Navigation aid for technical readers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tcPr>
          <w:p>
            <w:r>
              <w:rPr>
                <w:rFonts w:ascii="Arial" w:cs="Arial" w:eastAsia="Arial" w:hAnsi="Arial"/>
                <w:b/>
                <w:bCs/>
                <w:sz w:val="20"/>
                <w:szCs w:val="20"/>
              </w:rPr>
              <w:t xml:space="preserve">8 (Lowest)</w:t>
            </w:r>
          </w:p>
        </w:tc>
        <w:tc>
          <w:tcPr>
            <w:tcW w:type="dxa" w:w="320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tcPr>
          <w:p>
            <w:r>
              <w:rPr>
                <w:rFonts w:ascii="Arial" w:cs="Arial" w:eastAsia="Arial" w:hAnsi="Arial"/>
                <w:b w:val="false"/>
                <w:bCs w:val="false"/>
                <w:sz w:val="20"/>
                <w:szCs w:val="20"/>
              </w:rPr>
              <w:t xml:space="preserve">Edit 6 — Citation header restructure</w:t>
            </w:r>
          </w:p>
        </w:tc>
        <w:tc>
          <w:tcPr>
            <w:tcW w:type="dxa" w:w="4960"/>
            <w:tcBorders>
              <w:top w:val="single" w:color="CCCCCC" w:sz="1"/>
              <w:left w:val="single" w:color="CCCCCC" w:sz="1"/>
              <w:bottom w:val="single" w:color="CCCCCC" w:sz="1"/>
              <w:right w:val="single" w:color="CCCCCC" w:sz="1"/>
            </w:tcBorders>
            <w:shd w:fill="EAF2F8" w:val="clear"/>
            <w:tcMar>
              <w:top w:type="dxa" w:w="60"/>
              <w:left w:type="dxa" w:w="120"/>
              <w:bottom w:type="dxa" w:w="60"/>
              <w:right w:type="dxa" w:w="120"/>
            </w:tcMar>
          </w:tcPr>
          <w:p>
            <w:r>
              <w:rPr>
                <w:rFonts w:ascii="Arial" w:cs="Arial" w:eastAsia="Arial" w:hAnsi="Arial"/>
                <w:b w:val="false"/>
                <w:bCs w:val="false"/>
                <w:sz w:val="20"/>
                <w:szCs w:val="20"/>
              </w:rPr>
              <w:t xml:space="preserve">Improves perceived rigor but does not change content</w:t>
            </w:r>
          </w:p>
        </w:tc>
      </w:tr>
    </w:tbl>
    <w:p>
      <w:r>
        <w:t xml:space="preserve"/>
      </w:r>
    </w:p>
    <w:p>
      <w:r>
        <w:t xml:space="preserve"/>
      </w:r>
    </w:p>
    <w:p>
      <w:pPr>
        <w:spacing w:after="160"/>
      </w:pPr>
      <w:r>
        <w:rPr>
          <w:rFonts w:ascii="Arial" w:cs="Arial" w:eastAsia="Arial" w:hAnsi="Arial"/>
          <w:color w:val="7F8C8D"/>
          <w:sz w:val="22"/>
          <w:szCs w:val="22"/>
        </w:rPr>
        <w:t xml:space="preserve">These instructions were prepared by the Global Youth Learning Collective review session, June 2026, in consultation with Claude (Anthropic). All editorial suggestions are advisory. The author retains full discretion over the final manuscript.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2026-06-15T22:30:23.792Z</dcterms:created>
  <dcterms:modified xsi:type="dcterms:W3CDTF">2026-06-15T22:30:23.793Z</dcterms:modified>
</cp:coreProperties>
</file>

<file path=docProps/custom.xml><?xml version="1.0" encoding="utf-8"?>
<Properties xmlns="http://schemas.openxmlformats.org/officeDocument/2006/custom-properties" xmlns:vt="http://schemas.openxmlformats.org/officeDocument/2006/docPropsVTypes"/>
</file>