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Fixing</w:t>
      </w:r>
      <w:r>
        <w:t xml:space="preserve"> </w:t>
      </w:r>
      <w:r>
        <w:t xml:space="preserve">Skid</w:t>
      </w:r>
      <w:r>
        <w:t xml:space="preserve"> </w:t>
      </w:r>
      <w:r>
        <w:t xml:space="preserve">Row:</w:t>
      </w:r>
      <w:r>
        <w:t xml:space="preserve"> </w:t>
      </w:r>
      <w:r>
        <w:t xml:space="preserve">How</w:t>
      </w:r>
      <w:r>
        <w:t xml:space="preserve"> </w:t>
      </w:r>
      <w:r>
        <w:t xml:space="preserve">Urban</w:t>
      </w:r>
      <w:r>
        <w:t xml:space="preserve"> </w:t>
      </w:r>
      <w:r>
        <w:t xml:space="preserve">Design</w:t>
      </w:r>
      <w:r>
        <w:t xml:space="preserve"> </w:t>
      </w:r>
      <w:r>
        <w:t xml:space="preserve">Can</w:t>
      </w:r>
      <w:r>
        <w:t xml:space="preserve"> </w:t>
      </w:r>
      <w:r>
        <w:t xml:space="preserve">End</w:t>
      </w:r>
      <w:r>
        <w:t xml:space="preserve"> </w:t>
      </w:r>
      <w:r>
        <w:t xml:space="preserve">Chronic</w:t>
      </w:r>
      <w:r>
        <w:t xml:space="preserve"> </w:t>
      </w:r>
      <w:r>
        <w:t xml:space="preserve">Homelessness</w:t>
      </w:r>
    </w:p>
    <w:p>
      <w:pPr>
        <w:pStyle w:val="Subtitle"/>
      </w:pPr>
      <w:r>
        <w:t xml:space="preserve">A</w:t>
      </w:r>
      <w:r>
        <w:t xml:space="preserve"> </w:t>
      </w:r>
      <w:r>
        <w:t xml:space="preserve">Citizen’s</w:t>
      </w:r>
      <w:r>
        <w:t xml:space="preserve"> </w:t>
      </w:r>
      <w:r>
        <w:t xml:space="preserve">Guide</w:t>
      </w:r>
      <w:r>
        <w:t xml:space="preserve"> </w:t>
      </w:r>
      <w:r>
        <w:t xml:space="preserve">to</w:t>
      </w:r>
      <w:r>
        <w:t xml:space="preserve"> </w:t>
      </w:r>
      <w:r>
        <w:t xml:space="preserve">Housing</w:t>
      </w:r>
      <w:r>
        <w:t xml:space="preserve"> </w:t>
      </w:r>
      <w:r>
        <w:t xml:space="preserve">Policy,</w:t>
      </w:r>
      <w:r>
        <w:t xml:space="preserve"> </w:t>
      </w:r>
      <w:r>
        <w:t xml:space="preserve">Building</w:t>
      </w:r>
      <w:r>
        <w:t xml:space="preserve"> </w:t>
      </w:r>
      <w:r>
        <w:t xml:space="preserve">Conversion,</w:t>
      </w:r>
      <w:r>
        <w:t xml:space="preserve"> </w:t>
      </w:r>
      <w:r>
        <w:t xml:space="preserve">and</w:t>
      </w:r>
      <w:r>
        <w:t xml:space="preserve"> </w:t>
      </w:r>
      <w:r>
        <w:t xml:space="preserve">the</w:t>
      </w:r>
      <w:r>
        <w:t xml:space="preserve"> </w:t>
      </w:r>
      <w:r>
        <w:t xml:space="preserve">Science</w:t>
      </w:r>
      <w:r>
        <w:t xml:space="preserve"> </w:t>
      </w:r>
      <w:r>
        <w:t xml:space="preserve">of</w:t>
      </w:r>
      <w:r>
        <w:t xml:space="preserve"> </w:t>
      </w:r>
      <w:r>
        <w:t xml:space="preserve">Human</w:t>
      </w:r>
      <w:r>
        <w:t xml:space="preserve"> </w:t>
      </w:r>
      <w:r>
        <w:t xml:space="preserve">Survival</w:t>
      </w:r>
    </w:p>
    <w:p>
      <w:pPr>
        <w:pStyle w:val="Author"/>
      </w:pPr>
      <w:r>
        <w:t xml:space="preserve">Charles</w:t>
      </w:r>
      <w:r>
        <w:t xml:space="preserve"> </w:t>
      </w:r>
      <w:r>
        <w:t xml:space="preserve">J.</w:t>
      </w:r>
      <w:r>
        <w:t xml:space="preserve"> </w:t>
      </w:r>
      <w:r>
        <w:t xml:space="preserve">DiBella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p>
      <w:r>
        <w:pict>
          <v:rect style="width:0;height:1.5pt" o:hralign="center" o:hrstd="t" o:hr="t"/>
        </w:pict>
      </w:r>
    </w:p>
    <w:p>
      <w:pPr>
        <w:pStyle w:val="FirstParagraph"/>
      </w:pPr>
      <w:r>
        <w:t xml:space="preserve">Fixing Skid Row: How Urban Design Can End Chronic Homelessness</w:t>
      </w:r>
      <w:r>
        <w:t xml:space="preserve"> </w:t>
      </w:r>
      <w:r>
        <w:t xml:space="preserve">A Citizen’s Guide to Housing Policy, Building Conversion, and the Science of Human Survival</w:t>
      </w:r>
    </w:p>
    <w:p>
      <w:pPr>
        <w:pStyle w:val="BodyText"/>
      </w:pPr>
      <w:r>
        <w:t xml:space="preserve">Charles J. DiBella</w:t>
      </w:r>
    </w:p>
    <w:p>
      <w:r>
        <w:pict>
          <v:rect style="width:0;height:1.5pt" o:hralign="center" o:hrstd="t" o:hr="t"/>
        </w:pict>
      </w:r>
    </w:p>
    <w:p>
      <w:pPr>
        <w:pStyle w:val="FirstParagraph"/>
      </w:pPr>
      <w:r>
        <w:t xml:space="preserve">I observed the mechanics of this crisis directly from the street level. Thirty years of tracking unhoused populations across the United States provided the physical foundation for this book. That sustained closeness authorizes a direct study of the failure.</w:t>
      </w:r>
    </w:p>
    <w:p>
      <w:pPr>
        <w:pStyle w:val="BodyText"/>
      </w:pPr>
      <w:r>
        <w:t xml:space="preserve">California spent more than twenty-four billion dollars on a crisis that grew steadily next to that historic spending. City sweep operations moved vulnerable populations to nearby streets in rapid cycles. The intervention system expanded in budget and staff size while the unhoused population simultaneously gathered in larger numbers beneath city bridges and along drainage channels.</w:t>
      </w:r>
    </w:p>
    <w:p>
      <w:pPr>
        <w:pStyle w:val="BodyText"/>
      </w:pPr>
      <w:r>
        <w:t xml:space="preserve">This book is addressed to citizens: the people who vote on bond measures, elect mayors, serve on city councils, and shape the political will that either drives or prevents change. It is not a textbook. The technical depth lives in appendices and source notes. The main text is written for an intelligent adult who follows public affairs, pays taxes, and wants to understand why a problem this old, this visible, and this expensive has remained unsolved — and what a genuine solution would look like.</w:t>
      </w:r>
    </w:p>
    <w:p>
      <w:pPr>
        <w:pStyle w:val="BodyText"/>
      </w:pPr>
      <w:r>
        <w:t xml:space="preserve">The argument rests on a single structural claim: a human being requires certain minimum physical conditions — temperature, nutrition, sleep, and safety — to maintain the neurological function necessary for decision-making, planning, and civic participation. When those conditions are absent, the brain degrades. When the brain degrades, no social program, caseworker, job training course, or apartment key produces the outcomes those programs are designed to produce. The biological floor must be established first. Everything else is built on top of it.</w:t>
      </w:r>
    </w:p>
    <w:p>
      <w:pPr>
        <w:pStyle w:val="BodyText"/>
      </w:pPr>
      <w:r>
        <w:t xml:space="preserve">Charles DiBella does not expect the Material Dignity Infrastructure to be implemented in his lifetime. This book is not a campaign platform. It is a generational investment in ideas — an attempt to put the right framework into the hands of the students, planners, public health professionals, and elected officials who will implement it when the political conditions mature. Every major infrastructure shift in urban history was theorized decades before it was built. This book is written for the generation that will make MDI obvious.</w:t>
      </w:r>
    </w:p>
    <w:p>
      <w:r>
        <w:pict>
          <v:rect style="width:0;height:1.5pt" o:hralign="center" o:hrstd="t" o:hr="t"/>
        </w:pict>
      </w:r>
    </w:p>
    <w:bookmarkStart w:id="20" w:name="foreword"/>
    <w:p>
      <w:pPr>
        <w:pStyle w:val="Heading1"/>
      </w:pPr>
      <w:r>
        <w:t xml:space="preserve">Foreword</w:t>
      </w:r>
    </w:p>
    <w:p>
      <w:pPr>
        <w:pStyle w:val="FirstParagraph"/>
      </w:pPr>
      <w:r>
        <w:t xml:space="preserve">This is a book about engineering, not morality. That distinction matters, and it is worth explaining before anything else.</w:t>
      </w:r>
    </w:p>
    <w:p>
      <w:pPr>
        <w:pStyle w:val="BodyText"/>
      </w:pPr>
      <w:r>
        <w:t xml:space="preserve">When most people think about homelessness, they think about it as a moral problem, reducing it to questions of compassion, charity, and individual responsibility. They debate whether unsheltered people deserve sympathy or censure. They argue about whether government should do more or whether personal accountability should do more. These are genuinely held positions, and the people who hold them are not wrong to care about the underlying questions. But this book is going to argue that the entire frame is mistaken, and that as long as citizens, voters, and policymakers remain trapped in that frame, the problem will not be solved.</w:t>
      </w:r>
    </w:p>
    <w:p>
      <w:pPr>
        <w:pStyle w:val="BodyText"/>
      </w:pPr>
      <w:r>
        <w:t xml:space="preserve">Chronic homelessness among the most severely affected population is not a moral failure. It is a design failure. Cities are built in ways that destroy the biological capacity for recovery. The street is not a neutral backdrop against which people make bad choices. The street is an active mechanism of neurological damage, producing measurable and progressive harm to the human brain at a predictable rate. Policy that demands behavioral change from people whose brains have been structurally damaged by the environment those same policies created is not just ineffective. It is structurally guaranteed to fail, in the same way that demanding a broken leg carry weight is guaranteed to produce a worse injury.</w:t>
      </w:r>
    </w:p>
    <w:p>
      <w:pPr>
        <w:pStyle w:val="BodyText"/>
      </w:pPr>
      <w:r>
        <w:t xml:space="preserve">This book describes a different design. It is called the Material Dignity Infrastructure model, or MDI. It treats the problem of chronic unsheltered homelessness the way a serious engineer treats any infrastructure problem: by identifying the physical requirements of a functioning system, specifying the material conditions those requirements demand, and building accordingly.</w:t>
      </w:r>
    </w:p>
    <w:p>
      <w:pPr>
        <w:pStyle w:val="BodyText"/>
      </w:pPr>
      <w:r>
        <w:t xml:space="preserve">The argument, stated plainly: a human being requires certain minimum physical conditions — specifically temperature, nutrition, sleep, and safety — to maintain the neurological function necessary for decision-making, planning, and civic participation. When those conditions are absent, the brain degrades. When the brain degrades, no social program, caseworker, job training course, or apartment key will produce the outcomes those programs are designed to produce. The biological floor must be established first. Everything else is built on top of it.</w:t>
      </w:r>
    </w:p>
    <w:p>
      <w:pPr>
        <w:pStyle w:val="BodyText"/>
      </w:pPr>
      <w:r>
        <w:t xml:space="preserve">This book is addressed to citizens: the people who vote on bond measures, elect mayors, serve on city councils, and shape the political will that either drives or prevents change. It is not a textbook. The technical depth lives in appendices and source notes. The main text is written for an intelligent adult who follows public affairs, pays taxes, and wants to understand why a problem this old, this visible, and this expensive has remained unsolved — and what a genuine solution would look like.</w:t>
      </w:r>
    </w:p>
    <w:p>
      <w:pPr>
        <w:pStyle w:val="BodyText"/>
      </w:pPr>
      <w:r>
        <w:t xml:space="preserve">A note on the author’s timeline. Charles DiBella does not expect MDI to be implemented in his lifetime. This book is not a campaign platform. It is a generational investment in ideas — an attempt to put the right framework into the hands of the students, planners, public health professionals, and elected officials who will implement it when the political conditions mature. Every major infrastructure shift in urban history was theorized decades before it was built. Sanitation systems, public transit networks, and public electricity were all considered impossible before they became obvious. This book is written for the generation that will make MDI obvious.</w:t>
      </w:r>
    </w:p>
    <w:p>
      <w:pPr>
        <w:pStyle w:val="BodyText"/>
      </w:pPr>
      <w:r>
        <w:t xml:space="preserve">If you finish this book and it changes how you think about cities, it has done its work.</w:t>
      </w:r>
    </w:p>
    <w:p>
      <w:r>
        <w:pict>
          <v:rect style="width:0;height:1.5pt" o:hralign="center" o:hrstd="t" o:hr="t"/>
        </w:pict>
      </w:r>
    </w:p>
    <w:bookmarkEnd w:id="20"/>
    <w:bookmarkStart w:id="21" w:name="unit-one-the-problem"/>
    <w:p>
      <w:pPr>
        <w:pStyle w:val="Heading1"/>
      </w:pPr>
      <w:r>
        <w:t xml:space="preserve">Unit One — The Problem</w:t>
      </w:r>
    </w:p>
    <w:p>
      <w:r>
        <w:pict>
          <v:rect style="width:0;height:1.5pt" o:hralign="center" o:hrstd="t" o:hr="t"/>
        </w:pict>
      </w:r>
    </w:p>
    <w:bookmarkEnd w:id="21"/>
    <w:bookmarkStart w:id="28" w:name="Xe643f7da171e2485bf2721ffef7f44b1946936c"/>
    <w:p>
      <w:pPr>
        <w:pStyle w:val="Heading1"/>
      </w:pPr>
      <w:r>
        <w:t xml:space="preserve">Chapter 1: What Is Skid Row and How Did It Get There?</w:t>
      </w:r>
    </w:p>
    <w:p>
      <w:pPr>
        <w:pStyle w:val="FirstParagraph"/>
      </w:pPr>
      <w:r>
        <w:t xml:space="preserve">On a Tuesday morning in January, the 50-block area of downtown Los Angeles known as Skid Row wakes up the way it always does. Tents line both sides of San Pedro Street for as far as the eye can see, with blue tarps weighted down with salvaged bricks, cardboard walls reinforced with shopping carts, sleeping bags visible through open flaps. The smell is immediate and physical: urine, unwashed skin, decomposing food, the faint chemical sweetness of synthetic drugs burning somewhere nearby. A man in his sixties sits against a concrete wall, his feet wrapped in plastic bags because his shoes are gone. A woman pushes a shopping cart containing everything she owns. Somewhere, a voice is screaming, not in anger but in the flat, rhythmic way that signals a mind disconnected from the world around it.</w:t>
      </w:r>
    </w:p>
    <w:p>
      <w:pPr>
        <w:pStyle w:val="BodyText"/>
      </w:pPr>
      <w:r>
        <w:t xml:space="preserve">This is not a natural phenomenon. It did not grow here like moss on a rock, and it was not produced by some irreversible force of economics or human nature. Skid Row is the direct and traceable product of specific policy decisions made by specific people in specific rooms over the past five decades. Understanding which decisions, and why they produced this outcome, is the first step toward understanding how different decisions could produce a different one.</w:t>
      </w:r>
    </w:p>
    <w:bookmarkStart w:id="22" w:name="the-destruction-of-the-sro"/>
    <w:p>
      <w:pPr>
        <w:pStyle w:val="Heading2"/>
      </w:pPr>
      <w:r>
        <w:t xml:space="preserve">The Destruction of the SRO</w:t>
      </w:r>
    </w:p>
    <w:p>
      <w:pPr>
        <w:pStyle w:val="FirstParagraph"/>
      </w:pPr>
      <w:r>
        <w:t xml:space="preserve">The lowest rung of the private housing market, for most of the twentieth century, was the Single Room Occupancy hotel, the SRO. These were not pleasant places. They were small, often poorly maintained rooms in aging downtown buildings, renting by the week or the month to people who could not afford anything better: day laborers, the elderly on fixed incomes, people with mental illness who were managing well enough to live independently, people cycling through low-wage work and needing cheap housing between jobs. They were not a solution to poverty. But they were a floor, the bottom tier of the market where the most economically marginal people could, with minimal income, maintain a roof.</w:t>
      </w:r>
    </w:p>
    <w:p>
      <w:pPr>
        <w:pStyle w:val="BodyText"/>
      </w:pPr>
      <w:r>
        <w:t xml:space="preserve">Beginning in the 1970s and accelerating through the 1980s and 1990s, American cities destroyed that floor. Urban renewal projects demolished SRO buildings by the thousands. Zoning changes made it illegal to build new SROs in most neighborhoods. Real estate development pressure converted existing SRO buildings into more profitable uses. In Los Angeles alone, more than 15,000 SRO units were eliminated between 1970 and 1990. The people who had been living in them did not disappear. They moved to the street. The private market had abandoned its lowest rung, and nothing had been built to replace it.</w:t>
      </w:r>
    </w:p>
    <w:bookmarkEnd w:id="22"/>
    <w:bookmarkStart w:id="23" w:name="the-collapse-of-psychiatric-care"/>
    <w:p>
      <w:pPr>
        <w:pStyle w:val="Heading2"/>
      </w:pPr>
      <w:r>
        <w:t xml:space="preserve">The Collapse of Psychiatric Care</w:t>
      </w:r>
    </w:p>
    <w:p>
      <w:pPr>
        <w:pStyle w:val="FirstParagraph"/>
      </w:pPr>
      <w:r>
        <w:t xml:space="preserve">Simultaneously, a well-intentioned reform movement was producing catastrophic unintended consequences in the psychiatric care system. Through the 1960s and 1970s, the deinstitutionalization movement closed state psychiatric hospitals across the country. The hospitals deserved to be closed. Many had been places of profound human rights abuse, warehousing patients long-term in dehumanizing conditions, far from their families and communities, with minimal therapeutic intent. The reformers who closed them were correct that the old model was wrong.</w:t>
      </w:r>
    </w:p>
    <w:p>
      <w:pPr>
        <w:pStyle w:val="BodyText"/>
      </w:pPr>
      <w:r>
        <w:t xml:space="preserve">But the promised replacement — community-based mental health centers designed to provide local, accessible, non-institutional psychiatric care — was never adequately funded or built. California alone released tens of thousands of people with serious psychiatric conditions from state hospitals between 1960 and 1980. The community infrastructure that was supposed to receive them largely did not exist. Many of those individuals found their way to the cheapest available housing: SROs. When the SROs were simultaneously being destroyed, the same population found itself with nowhere to go.</w:t>
      </w:r>
    </w:p>
    <w:bookmarkEnd w:id="23"/>
    <w:bookmarkStart w:id="24" w:name="the-containment-policy"/>
    <w:p>
      <w:pPr>
        <w:pStyle w:val="Heading2"/>
      </w:pPr>
      <w:r>
        <w:t xml:space="preserve">The Containment Policy</w:t>
      </w:r>
    </w:p>
    <w:p>
      <w:pPr>
        <w:pStyle w:val="FirstParagraph"/>
      </w:pPr>
      <w:r>
        <w:t xml:space="preserve">In 1976, the City of Los Angeles made a decision that would shape the geography of homelessness in that city for the next half century. Facing pressure from business interests in downtown neighborhoods, city officials enacted what is now known as the Skid Row containment policy: a deliberate strategy of concentrating social services and shelters within a defined geographic area — the 50 blocks east of downtown — to prevent visible homelessness from spreading into commercial districts. Service providers were steered to locate in that area. Police enforcement concentrated on keeping unsheltered people within it.</w:t>
      </w:r>
    </w:p>
    <w:p>
      <w:pPr>
        <w:pStyle w:val="BodyText"/>
      </w:pPr>
      <w:r>
        <w:t xml:space="preserve">The effect was exactly what you would expect from concentrating the most desperate, the most traumatized, and the most ill human beings in a small geography with minimal resources, minimal oversight, and maximum mutual exposure to violence and predation. The concentration became self-reinforcing: people came to Skid Row because services were there, services concentrated because people were there, and the area became simultaneously the most resource-dense and the most dangerous block in the city for people experiencing homelessness. The policy created a captive population. It did not solve anything.</w:t>
      </w:r>
    </w:p>
    <w:bookmarkEnd w:id="24"/>
    <w:bookmarkStart w:id="25" w:name="the-covid-office-vacancy-crisis"/>
    <w:p>
      <w:pPr>
        <w:pStyle w:val="Heading2"/>
      </w:pPr>
      <w:r>
        <w:t xml:space="preserve">The COVID Office Vacancy Crisis</w:t>
      </w:r>
    </w:p>
    <w:p>
      <w:pPr>
        <w:pStyle w:val="FirstParagraph"/>
      </w:pPr>
      <w:r>
        <w:t xml:space="preserve">The 2020 pandemic added a new structural factor that is central to this book’s proposed solution. Remote work and hybrid schedules, accelerated by necessity during lockdowns and then adopted permanently by large segments of the professional workforce, produced a collapse in urban office demand. Downtown Los Angeles, like most major American city centers, saw commercial office vacancy rates climb above 25 percent by 2024. Entire floors of Class B office towers — solid structurally sound buildings with existing plumbing, electrical, and HVAC infrastructure — stood empty. The buildings were there. The infrastructure was there. The market for their original purpose was not.</w:t>
      </w:r>
    </w:p>
    <w:p>
      <w:pPr>
        <w:pStyle w:val="BodyText"/>
      </w:pPr>
      <w:r>
        <w:t xml:space="preserve">This is not a crisis without an opportunity. This book will argue throughout that those empty buildings are the physical foundation of the MDI model: the conversion of distressed commercial real estate into stabilization infrastructure is both economically viable and strategically necessary. But that argument comes later. For now, the point is that the commercial real estate crisis of the 2020s created, for the first time in decades, a genuine physical opportunity for large-scale intervention.</w:t>
      </w:r>
    </w:p>
    <w:bookmarkEnd w:id="25"/>
    <w:bookmarkStart w:id="26" w:name="how-cities-count-and-miscount"/>
    <w:p>
      <w:pPr>
        <w:pStyle w:val="Heading2"/>
      </w:pPr>
      <w:r>
        <w:t xml:space="preserve">How Cities Count — and Miscount</w:t>
      </w:r>
    </w:p>
    <w:p>
      <w:pPr>
        <w:pStyle w:val="FirstParagraph"/>
      </w:pPr>
      <w:r>
        <w:t xml:space="preserve">One more piece of context is necessary before the argument proceeds: data literacy about the scale of the problem. Every year, cities conduct what is known as a Point-in-Time count, the visual survey conducted on a single night in January each year, in which volunteers walk designated areas and count the number of people they observe sleeping outside or in emergency shelters. These counts produce the official numbers that appear in government reports, news articles, and policy debates.</w:t>
      </w:r>
    </w:p>
    <w:p>
      <w:pPr>
        <w:pStyle w:val="BodyText"/>
      </w:pPr>
      <w:r>
        <w:t xml:space="preserve">The PIT count systematically undercounts the unsheltered population. It counts only people who are visible in public spaces on a specific night. It misses people sleeping in cars, in encampments not surveyed, in alleys, under freeway overpasses not on the route, in the doorways of businesses on side streets. It misses people who hide, since many chronically unsheltered people with psychiatric histories and records of police contact have become practiced at hiding. Independent research consistently finds that actual unsheltered populations are two to three times larger than PIT counts indicate.</w:t>
      </w:r>
    </w:p>
    <w:p>
      <w:pPr>
        <w:pStyle w:val="BodyText"/>
      </w:pPr>
      <w:r>
        <w:t xml:space="preserve">When a politician tells you that the number of unsheltered people in their city is declining because the PIT count went down, they may be telling you something real, or they may be telling you that fewer people were visible on the specific night a survey was conducted. These are not the same thing. As a citizen, you should know the difference.</w:t>
      </w:r>
    </w:p>
    <w:bookmarkEnd w:id="26"/>
    <w:bookmarkStart w:id="27" w:name="the-key-argument"/>
    <w:p>
      <w:pPr>
        <w:pStyle w:val="Heading2"/>
      </w:pPr>
      <w:r>
        <w:t xml:space="preserve">The Key Argument</w:t>
      </w:r>
    </w:p>
    <w:p>
      <w:pPr>
        <w:pStyle w:val="FirstParagraph"/>
      </w:pPr>
      <w:r>
        <w:t xml:space="preserve">Skid Row was produced by policy. The destruction of SRO housing was a policy choice. The failure to build community mental health infrastructure was a policy failure. The containment strategy was a deliberate policy decision. These choices were made by people, in response to political pressures, with foreseeable consequences. A different set of choices — ones grounded in what we now know about the neurobiology of trauma, the economics of stabilization infrastructure, and the engineering of human-scale community — can produce different consequences.</w:t>
      </w:r>
    </w:p>
    <w:p>
      <w:pPr>
        <w:pStyle w:val="BodyText"/>
      </w:pPr>
      <w:r>
        <w:t xml:space="preserve">The problem is not inevitable. It is designed. And what is designed can be redesigned.</w:t>
      </w:r>
    </w:p>
    <w:p>
      <w:r>
        <w:pict>
          <v:rect style="width:0;height:1.5pt" o:hralign="center" o:hrstd="t" o:hr="t"/>
        </w:pict>
      </w:r>
    </w:p>
    <w:bookmarkEnd w:id="27"/>
    <w:bookmarkEnd w:id="28"/>
    <w:bookmarkStart w:id="30" w:name="chapter-2-the-street-as-a-trauma-ward"/>
    <w:p>
      <w:pPr>
        <w:pStyle w:val="Heading1"/>
      </w:pPr>
      <w:r>
        <w:t xml:space="preserve">Chapter 2: The Street as a Trauma Ward</w:t>
      </w:r>
    </w:p>
    <w:bookmarkStart w:id="29" w:name="chapter-2-the-street-as-a-trauma-ward-1"/>
    <w:p>
      <w:pPr>
        <w:pStyle w:val="Heading2"/>
      </w:pPr>
      <w:r>
        <w:t xml:space="preserve">Chapter 2: The Street as a Trauma Ward</w:t>
      </w:r>
    </w:p>
    <w:p>
      <w:pPr>
        <w:pStyle w:val="FirstParagraph"/>
      </w:pPr>
      <w:r>
        <w:t xml:space="preserve">Imagine a clinical study in which researchers took healthy adults, deprived them of sleep for 90 consecutive nights, exposed them to temperatures below 40 degrees Fahrenheit on a regular basis, subjected them to repeated threats of violence, and denied them reliable access to food and clean water. Such a study would never receive ethical approval, because the expected outcome, measurable progressive structural damage to the human brain, is not in doubt. Every serious neuroscientist knows what chronic stress, sleep deprivation, and environmental threat do to brain tissue. The research is not ambiguous.</w:t>
      </w:r>
    </w:p>
    <w:p>
      <w:pPr>
        <w:pStyle w:val="BodyText"/>
      </w:pPr>
      <w:r>
        <w:t xml:space="preserve">The street does exactly this to every person sleeping on it. Not as a metaphor. Not as a rhetorical device. As a literal, measurable, physiological fact. The street is an open-air trauma ward that produces neurological injuries at a predictable rate in every person exposed to it long enough. Understanding this is not optional for anyone who wants to understand why current systems fail and what a functioning system would need to do differently.</w:t>
      </w:r>
    </w:p>
    <w:p>
      <w:pPr>
        <w:pStyle w:val="BodyText"/>
      </w:pPr>
      <w:r>
        <w:t xml:space="preserve">The HPA Axis and Cortisol</w:t>
      </w:r>
    </w:p>
    <w:p>
      <w:pPr>
        <w:pStyle w:val="BodyText"/>
      </w:pPr>
      <w:r>
        <w:t xml:space="preserve">The body’s stress response system is known as the hypothalamic-pituitary-adrenal axis, or HPA axis. When the brain perceives any threat, from a predator to a loud noise to the possibility that tonight there will be no shelter, the HPA axis activates. The hypothalamus signals the pituitary gland, which signals the adrenal glands, which release cortisol. Cortisol is an excellent short-term survival hormone. It sharpens attention, increases heart rate, mobilizes energy, and prepares the body to fight or flee.</w:t>
      </w:r>
    </w:p>
    <w:p>
      <w:pPr>
        <w:pStyle w:val="BodyText"/>
      </w:pPr>
      <w:r>
        <w:t xml:space="preserve">The problem is that cortisol is also neurotoxic at sustained high levels. The human body’s stress response system was designed for acute, time-limited threats, a predator that either catches you or does not, a storm that passes. It was not designed for the kind of chronic, unrelenting, 24-hours-a-day threat environment that the street represents. When the HPA axis is activated continuously, day after day, week after week, cortisol levels remain chronically elevated. And at chronically elevated levels, cortisol begins to damage the brain.</w:t>
      </w:r>
    </w:p>
    <w:p>
      <w:pPr>
        <w:pStyle w:val="BodyText"/>
      </w:pPr>
      <w:r>
        <w:t xml:space="preserve">Prefrontal Cortex Degradation</w:t>
      </w:r>
    </w:p>
    <w:p>
      <w:pPr>
        <w:pStyle w:val="BodyText"/>
      </w:pPr>
      <w:r>
        <w:t xml:space="preserve">The brain region most vulnerable to sustained cortisol exposure is the prefrontal cortex, specifically two subregions central to everything we consider essential to human agency. The dorsolateral prefrontal cortex, known as the dlPFC, manages working memory and future-oriented planning. It is the part of your brain that lets you hold multiple pieces of information in mind simultaneously, evaluate options, and plan a sequence of actions. The ventromedial prefrontal cortex, known as the vmPFC, regulates emotional responses and impulse inhibition. It is the part of your brain that allows you to feel a strong emotion without acting on it immediately.</w:t>
      </w:r>
    </w:p>
    <w:p>
      <w:pPr>
        <w:pStyle w:val="BodyText"/>
      </w:pPr>
      <w:r>
        <w:t xml:space="preserve">Under chronic cortisol exposure, both regions show measurable structural changes: retraction of dendritic branches, loss of dendritic spines, reduced neurogenesis. In plain language: the physical architecture of the brain changes. The cells that connect neurons to each other shrink and pull back. The brain’s capacity for working memory, executive planning, impulse regulation, and emotional control all degrade. Not because the person is weak-willed or poorly motivated. Because the physical structure of the brain has been damaged by the environment it has been exposed to.</w:t>
      </w:r>
    </w:p>
    <w:p>
      <w:pPr>
        <w:pStyle w:val="BodyText"/>
      </w:pPr>
      <w:r>
        <w:t xml:space="preserve">A person who has slept on the street for 90 consecutive nights has, in a measurable and documentable sense, less prefrontal cortex function than they had 90 nights earlier. They are literally less capable of the cognitive tasks that social service systems routinely require of them.</w:t>
      </w:r>
    </w:p>
    <w:p>
      <w:pPr>
        <w:pStyle w:val="BodyText"/>
      </w:pPr>
      <w:r>
        <w:t xml:space="preserve">Sleep Deprivation as Structural Damage</w:t>
      </w:r>
    </w:p>
    <w:p>
      <w:pPr>
        <w:pStyle w:val="BodyText"/>
      </w:pPr>
      <w:r>
        <w:t xml:space="preserve">Sleep on the street is not simply inadequate rest. It is a mechanism of ongoing neurological injury. The brain does critical maintenance work during sleep, specifically during the deep slow-wave stages that require extended, uninterrupted periods of rest. During these stages, the glymphatic system, a network of channels around brain cells, activates and flushes out toxic metabolic byproducts that accumulate during waking hours, including proteins associated with neurological disease. Memory consolidation occurs. Cortisol levels reset. Synaptic connections are pruned and strengthened.</w:t>
      </w:r>
    </w:p>
    <w:p>
      <w:pPr>
        <w:pStyle w:val="BodyText"/>
      </w:pPr>
      <w:r>
        <w:t xml:space="preserve">None of this happens adequately when sleep is fragmented by noise, cold, fear of assault, or the need to remain partially vigilant against threat. Research consistently demonstrates that the restorative benefits of sleep require sustained continuity, ideally six to eight hours without interruption. Four interrupted hours do not produce the same outcome as six continuous hours. They produce a worse outcome than zero hours, because the cycle of partial sleep and partial waking without completing the restorative cycle may be more disruptive than no sleep at all.</w:t>
      </w:r>
    </w:p>
    <w:p>
      <w:pPr>
        <w:pStyle w:val="BodyText"/>
      </w:pPr>
      <w:r>
        <w:t xml:space="preserve">Weeks and months of inadequate sleep do not simply leave a person tired. They produce cumulative structural changes to brain tissue that require weeks and months of adequate sleep to begin reversing. The damage is real. The recovery timeline is real. Policy that ignores both will produce predictable failure.</w:t>
      </w:r>
    </w:p>
    <w:p>
      <w:pPr>
        <w:pStyle w:val="BodyText"/>
      </w:pPr>
      <w:r>
        <w:t xml:space="preserve">Cognitive Overload</w:t>
      </w:r>
    </w:p>
    <w:p>
      <w:pPr>
        <w:pStyle w:val="BodyText"/>
      </w:pPr>
      <w:r>
        <w:t xml:space="preserve">There is a further mechanism that deserves attention: the concept of cognitive overload, or cognitive bandwidth depletion. Research in behavioral economics and psychology, particularly work associated with Sendhil Mullainathan and Eldar Shafir, demonstrates that the experience of scarcity, of any kind, consumes a significant portion of cognitive bandwidth. When a person must focus continuously on immediate survival tasks, where will I sleep tonight, is this food safe, is that person a threat, where is the nearest bathroom, the executive functioning capacity of the brain is consumed by those tasks.</w:t>
      </w:r>
    </w:p>
    <w:p>
      <w:pPr>
        <w:pStyle w:val="BodyText"/>
      </w:pPr>
      <w:r>
        <w:t xml:space="preserve">This is not a character flaw. It is a neurological reality. The brain has a finite processing capacity. When that capacity is directed at immediate survival, it is not available for planning, documentation, or appointment-keeping. Telling a person in this state to show up for a caseworker appointment next Tuesday, bring their identification documents, and fill out a form is not a reasonable request. It is a request that is neurologically impossible to fulfill for a significant portion of the chronically unsheltered population.</w:t>
      </w:r>
    </w:p>
    <w:p>
      <w:pPr>
        <w:pStyle w:val="BodyText"/>
      </w:pPr>
      <w:r>
        <w:t xml:space="preserve">The Logic of</w:t>
      </w:r>
      <w:r>
        <w:t xml:space="preserve"> </w:t>
      </w:r>
      <w:r>
        <w:t xml:space="preserve">“</w:t>
      </w:r>
      <w:r>
        <w:t xml:space="preserve">Irrational</w:t>
      </w:r>
      <w:r>
        <w:t xml:space="preserve">”</w:t>
      </w:r>
      <w:r>
        <w:t xml:space="preserve"> </w:t>
      </w:r>
      <w:r>
        <w:t xml:space="preserve">Behavior</w:t>
      </w:r>
    </w:p>
    <w:p>
      <w:pPr>
        <w:pStyle w:val="BodyText"/>
      </w:pPr>
      <w:r>
        <w:t xml:space="preserve">From the outside, many behaviors of chronically unsheltered people appear irrational. Refusing shelter when shelter is available. Declining services. Returning to the street after being housed. But when you understand the neurobiology of chronic street exposure, and when you examine the actual conditions of available shelter, a different picture emerges.</w:t>
      </w:r>
    </w:p>
    <w:p>
      <w:pPr>
        <w:pStyle w:val="BodyText"/>
      </w:pPr>
      <w:r>
        <w:t xml:space="preserve">Many emergency shelters separate couples. Many do not permit pets. Many require that possessions be abandoned or stored in conditions where they are regularly stolen. Many impose curfews and mandatory program participation that conflict with the informal employment and social structures unsheltered people have built. Many are environments of violence, theft, and disease. When a person declines to enter such a shelter, they are not making an irrational choice. They are making a rational assessment of a bad set of options and choosing the one they have more control over, even when that option is the street.</w:t>
      </w:r>
    </w:p>
    <w:p>
      <w:pPr>
        <w:pStyle w:val="BodyText"/>
      </w:pPr>
      <w:r>
        <w:t xml:space="preserve">The MDI model, which will be described in detail in later chapters, takes these rational calculations seriously. It is designed specifically to eliminate the conditions that make shelter refusal a rational response.</w:t>
      </w:r>
    </w:p>
    <w:p>
      <w:pPr>
        <w:pStyle w:val="BodyText"/>
      </w:pPr>
      <w:r>
        <w:t xml:space="preserve">What This Means for Policy</w:t>
      </w:r>
    </w:p>
    <w:p>
      <w:pPr>
        <w:pStyle w:val="BodyText"/>
      </w:pPr>
      <w:r>
        <w:t xml:space="preserve">The implications of this neuroscience are severe for every policy framework currently in operation. If chronic street exposure causes measurable neurological damage, and if that neurological damage impairs the executive functioning required for behavioral compliance, then every policy that leads with behavioral compliance requirements, every shelter that requires sobriety, every program that requires appointment-keeping, every housing application that requires documentation, is demanding that people perform cognitive tasks from a brain that the street has already damaged beyond the capacity to perform them.</w:t>
      </w:r>
    </w:p>
    <w:p>
      <w:pPr>
        <w:pStyle w:val="BodyText"/>
      </w:pPr>
      <w:r>
        <w:t xml:space="preserve">This is not a funding problem. It is not a compassion problem. It is a structural design problem. The inputs the system demands are ones the target population cannot produce, because the environment has damaged the neurological machinery required to produce them. Until that is fixed, no amount of additional spending on the existing system will change the outcome in any meaningful way.</w:t>
      </w:r>
    </w:p>
    <w:p>
      <w:pPr>
        <w:pStyle w:val="BodyText"/>
      </w:pPr>
      <w:r>
        <w:t xml:space="preserve">The street is a trauma ward. Policy must start from that fact.</w:t>
      </w:r>
    </w:p>
    <w:p>
      <w:r>
        <w:pict>
          <v:rect style="width:0;height:1.5pt" o:hralign="center" o:hrstd="t" o:hr="t"/>
        </w:pict>
      </w:r>
    </w:p>
    <w:bookmarkEnd w:id="29"/>
    <w:bookmarkEnd w:id="30"/>
    <w:bookmarkStart w:id="32" w:name="chapter-3-why-current-systems-fail"/>
    <w:p>
      <w:pPr>
        <w:pStyle w:val="Heading1"/>
      </w:pPr>
      <w:r>
        <w:t xml:space="preserve">Chapter 3: Why Current Systems Fail</w:t>
      </w:r>
    </w:p>
    <w:bookmarkStart w:id="31" w:name="chapter-3-why-current-systems-fail-1"/>
    <w:p>
      <w:pPr>
        <w:pStyle w:val="Heading2"/>
      </w:pPr>
      <w:r>
        <w:t xml:space="preserve">Chapter 3: Why Current Systems Fail</w:t>
      </w:r>
    </w:p>
    <w:p>
      <w:pPr>
        <w:pStyle w:val="FirstParagraph"/>
      </w:pPr>
      <w:r>
        <w:t xml:space="preserve">Follow Maria through a Tuesday in Los Angeles. Maria is 47 years old. She has been on the street for three years, following an eviction she could not prevent after her employer reduced her hours below the threshold for health insurance, and a medical bill she could not pay destroyed her credit. She is not experiencing psychosis. She does not have a substance use disorder. She is, by any reasonable standard, one of the easier cases, someone whose needs are primarily economic and whose cognitive function, though degraded by three years of street exposure, is still largely intact.</w:t>
      </w:r>
    </w:p>
    <w:p>
      <w:pPr>
        <w:pStyle w:val="BodyText"/>
      </w:pPr>
      <w:r>
        <w:t xml:space="preserve">Her Tuesday begins at 4:30 AM, when the encampment where she sleeps becomes too dangerous to remain in after a fight breaks out nearby. She moves to a doorway two blocks away. At 6:00 AM, she is told to move by a building security guard. She needs to be at the Coordinated Entry System office by 8:30 AM for an appointment she has been trying to keep for six weeks, the last two attempts having failed when her phone, which she charges at a library, died before she received the confirmation text. She has her identification documents, a victory, because she lost her birth certificate twice and each replacement requires a trip to a different office with proof of identity she does not have. She arrives at 8:45, fifteen minutes late. She is told her appointment has been given to someone else and she must reschedule.</w:t>
      </w:r>
    </w:p>
    <w:p>
      <w:pPr>
        <w:pStyle w:val="BodyText"/>
      </w:pPr>
      <w:r>
        <w:t xml:space="preserve">This is not a story about incompetent caseworkers or an underfunded office. It is a story about structural design. A system that requires the most cognitively stressed, logistically challenged, resource-depleted people to navigate complex bureaucratic processes without the cognitive support, reliable communication infrastructure, or physical stability to do so reliably will produce exactly this outcome, every time.</w:t>
      </w:r>
    </w:p>
    <w:p>
      <w:pPr>
        <w:pStyle w:val="BodyText"/>
      </w:pPr>
      <w:r>
        <w:t xml:space="preserve">The Behavioral Model and Its Fatal Assumption</w:t>
      </w:r>
    </w:p>
    <w:p>
      <w:pPr>
        <w:pStyle w:val="BodyText"/>
      </w:pPr>
      <w:r>
        <w:t xml:space="preserve">The dominant model underlying virtually every current homelessness intervention is what we can call the behavioral model. It assumes that homeless individuals possess intact cognitive agency, the ability to understand instructions, keep appointments, manage documents, and make decisions oriented toward future outcomes, and that what is needed is a system to guide, incentivize, or require them to use that agency in constructive ways.</w:t>
      </w:r>
    </w:p>
    <w:p>
      <w:pPr>
        <w:pStyle w:val="BodyText"/>
      </w:pPr>
      <w:r>
        <w:t xml:space="preserve">This assumption was always imperfect. For the population experiencing chronic homelessness, specifically those who have spent years on the street and whose brains have been degraded by that exposure, the assumption is simply false. The behavioral model is trying to elicit outputs from machinery that has been damaged. It will fail, not occasionally and not for solvable logistical reasons, but systematically and predictably.</w:t>
      </w:r>
    </w:p>
    <w:p>
      <w:pPr>
        <w:pStyle w:val="BodyText"/>
      </w:pPr>
      <w:r>
        <w:t xml:space="preserve">Every requirement in the standard service system reflects this false assumption. Appointment scheduling assumes the ability to track time reliably, which requires consistent sleep, consistent orientation, and a reliable phone or calendar. Documentation requirements assume the ability to safely store and access papers in an environment where possession theft is endemic. Sobriety requirements assume the ability to make and maintain choices that require prefrontal executive function, precisely the cognitive capacity that chronic street exposure degrades. Compliance milestones assume the ability to perform a reliable sequence of actions over time, which requires planning capacity that is among the first things street exposure destroys.</w:t>
      </w:r>
    </w:p>
    <w:p>
      <w:pPr>
        <w:pStyle w:val="BodyText"/>
      </w:pPr>
      <w:r>
        <w:t xml:space="preserve">What Housing First Gets Right, and Where It Falls Short</w:t>
      </w:r>
    </w:p>
    <w:p>
      <w:pPr>
        <w:pStyle w:val="BodyText"/>
      </w:pPr>
      <w:r>
        <w:t xml:space="preserve">The Housing First model, developed by Sam Tsemberis in the 1990s and now the dominant paradigm in American homelessness policy, deserves genuine respect for what it got right. Housing First rejects the idea that people must earn housing through demonstrated sobriety or treatment compliance. It provides immediate access to permanent housing without preconditions. It has strong evidence for housing retention: people who receive Housing First services stay housed at significantly higher rates than people who go through traditional staircase programs.</w:t>
      </w:r>
    </w:p>
    <w:p>
      <w:pPr>
        <w:pStyle w:val="BodyText"/>
      </w:pPr>
      <w:r>
        <w:t xml:space="preserve">For a significant portion of the homeless population, people experiencing economic displacement, people with functional enough cognitive capacity to manage independent apartment living, people with intact social support networks, Housing First works. It is the right intervention for that population.</w:t>
      </w:r>
    </w:p>
    <w:p>
      <w:pPr>
        <w:pStyle w:val="BodyText"/>
      </w:pPr>
      <w:r>
        <w:t xml:space="preserve">The problem is that it does not work for the most severely neurologically damaged population. Placing a person whose prefrontal cortex has been structurally altered by years of street exposure into a scattered-site apartment, alone, in a neighborhood where they know no one, without the environmental supports required for neurological recovery, does not produce the outcomes Housing First achieves with less severely affected populations. The most severely affected people cycle back to the street, not because they don’t want housing, but because independent apartment living requires the cognitive and social capacities that their brains no longer reliably possess.</w:t>
      </w:r>
    </w:p>
    <w:p>
      <w:pPr>
        <w:pStyle w:val="BodyText"/>
      </w:pPr>
      <w:r>
        <w:t xml:space="preserve">Housing First was designed for a population that can use housing. For the population that cannot yet use housing, because the street has damaged the biological machinery required to do so, a prior phase of stabilization is necessary. MDI is that phase.</w:t>
      </w:r>
    </w:p>
    <w:p>
      <w:pPr>
        <w:pStyle w:val="BodyText"/>
      </w:pPr>
      <w:r>
        <w:t xml:space="preserve">Administrative Attrition and Rational Distrust</w:t>
      </w:r>
    </w:p>
    <w:p>
      <w:pPr>
        <w:pStyle w:val="BodyText"/>
      </w:pPr>
      <w:r>
        <w:t xml:space="preserve">There is another mechanism of system failure that deserves naming: institutional attrition driven by rational distrust. People who have experienced the social service system for years have typically experienced it as a source of conditional support that can be withdrawn without warning, of forced displacement, of promises made and not kept, of arrest for survival behaviors, of systems that express care while systematically failing to provide it.</w:t>
      </w:r>
    </w:p>
    <w:p>
      <w:pPr>
        <w:pStyle w:val="BodyText"/>
      </w:pPr>
      <w:r>
        <w:t xml:space="preserve">From a caseworker’s desk, a client who stops showing up looks like someone who gave up, or whose needs are too complex, or who is non-compliant. From the client’s perspective, the decision to stop engaging with a system that has repeatedly failed them is often a rational response to accumulated evidence. The rationality of that distrust is not an obstacle to be overcome by communication strategies. It is information about what the system has actually done, and it can only be addressed by the system actually doing something different.</w:t>
      </w:r>
    </w:p>
    <w:p>
      <w:pPr>
        <w:pStyle w:val="BodyText"/>
      </w:pPr>
      <w:r>
        <w:t xml:space="preserve">The 85 Percent Problem</w:t>
      </w:r>
    </w:p>
    <w:p>
      <w:pPr>
        <w:pStyle w:val="BodyText"/>
      </w:pPr>
      <w:r>
        <w:t xml:space="preserve">Los Angeles County spent approximately $3.7 billion on homelessness programs in fiscal year 2023-2024. The unsheltered population did not meaningfully decline. A California State Auditor analysis found that approximately 85 percent of reactive municipal spending on homelessness, emergency room visits, ambulance runs, police responses, court appearances, encampment sweeps, and the administrative apparatus of emergency shelter, produces no durable reduction in the unsheltered population. The money is spent. The problem persists. The 85 percent figure is not a critique of individuals working within the system. It is a description of what reactive management, as opposed to preventative infrastructure, produces over time.</w:t>
      </w:r>
    </w:p>
    <w:p>
      <w:pPr>
        <w:pStyle w:val="BodyText"/>
      </w:pPr>
      <w:r>
        <w:t xml:space="preserve">This is not a uniquely California phenomenon. Any city that spends the majority of its homelessness budget on managing the immediate symptoms of the crisis, rather than on infrastructure that addresses the underlying biological and housing market failures, will find its money producing the same outcome: continuous expenditure, continuous crisis, no durable reduction.</w:t>
      </w:r>
    </w:p>
    <w:p>
      <w:pPr>
        <w:pStyle w:val="BodyText"/>
      </w:pPr>
      <w:r>
        <w:t xml:space="preserve">The institutional waste is not the result of incompetence or corruption. It is the structural output of a system designed around reactive management rather than preventative infrastructure. Ambulances respond to overdoses because there is no stabilization infrastructure to prevent them. Police respond to encampment complaints because there is no facility to offer as an alternative. Emergency rooms treat hypothermia and infected wounds because there is no place designed to prevent those conditions from developing. Each individual expenditure is a response to a real crisis. Together, they add up to an enormous investment in managing a problem that nothing in the system is designed to solve.</w:t>
      </w:r>
    </w:p>
    <w:p>
      <w:pPr>
        <w:pStyle w:val="BodyText"/>
      </w:pPr>
      <w:r>
        <w:t xml:space="preserve">The Design Conclusion</w:t>
      </w:r>
    </w:p>
    <w:p>
      <w:pPr>
        <w:pStyle w:val="BodyText"/>
      </w:pPr>
      <w:r>
        <w:t xml:space="preserve">The current system fails not because of insufficient compassion, insufficient funding, or insufficient effort from the people working within it. It fails because of a structural design error at its foundation: it demands behavioral outputs from people whose neurobiology has been damaged beyond the capacity to produce those outputs reliably, in the quantity and on the timelines the system requires.</w:t>
      </w:r>
    </w:p>
    <w:p>
      <w:pPr>
        <w:pStyle w:val="BodyText"/>
      </w:pPr>
      <w:r>
        <w:t xml:space="preserve">Fixing the system does not mean doing more of the same thing with more money. It means designing a different system, one that starts from the biological reality of the population it serves, provides the environmental conditions required for neurological recovery as its first and non-negotiable step, and builds every subsequent intervention on that biological foundation.</w:t>
      </w:r>
    </w:p>
    <w:p>
      <w:pPr>
        <w:pStyle w:val="BodyText"/>
      </w:pPr>
      <w:r>
        <w:t xml:space="preserve">That is what the MDI model does.</w:t>
      </w:r>
    </w:p>
    <w:p>
      <w:r>
        <w:pict>
          <v:rect style="width:0;height:1.5pt" o:hralign="center" o:hrstd="t" o:hr="t"/>
        </w:pict>
      </w:r>
    </w:p>
    <w:bookmarkEnd w:id="31"/>
    <w:bookmarkEnd w:id="32"/>
    <w:bookmarkStart w:id="34" w:name="chapter-4-who-is-actually-on-the-street"/>
    <w:p>
      <w:pPr>
        <w:pStyle w:val="Heading1"/>
      </w:pPr>
      <w:r>
        <w:t xml:space="preserve">Chapter 4: Who Is Actually on the Street?</w:t>
      </w:r>
    </w:p>
    <w:bookmarkStart w:id="33" w:name="X934e3edd4797851319ad7c12c05dee5f2de3a57"/>
    <w:p>
      <w:pPr>
        <w:pStyle w:val="Heading2"/>
      </w:pPr>
      <w:r>
        <w:t xml:space="preserve">Chapter 4: Who Is Actually on the Street?</w:t>
      </w:r>
    </w:p>
    <w:p>
      <w:pPr>
        <w:pStyle w:val="FirstParagraph"/>
      </w:pPr>
      <w:r>
        <w:t xml:space="preserve">Before describing the solution, it is necessary to be precise about the problem, specifically about who the people experiencing homelessness actually are. One of the most consequential errors in public discourse about homelessness is treating</w:t>
      </w:r>
      <w:r>
        <w:t xml:space="preserve"> </w:t>
      </w:r>
      <w:r>
        <w:t xml:space="preserve">“</w:t>
      </w:r>
      <w:r>
        <w:t xml:space="preserve">the homeless</w:t>
      </w:r>
      <w:r>
        <w:t xml:space="preserve">”</w:t>
      </w:r>
      <w:r>
        <w:t xml:space="preserve"> </w:t>
      </w:r>
      <w:r>
        <w:t xml:space="preserve">as a single, uniform population with a single set of needs and a single appropriate response. They are not. They are a diverse group of people whose situations, needs, and appropriate interventions differ significantly, and a system designed without that differentiation will fail the people whose needs it does not fit.</w:t>
      </w:r>
    </w:p>
    <w:p>
      <w:pPr>
        <w:pStyle w:val="BodyText"/>
      </w:pPr>
      <w:r>
        <w:t xml:space="preserve">The MDI model identifies five distinct pipeline categories. These categories describe clinical need and service trajectory. They say nothing about worth, fault, or deservingness. Every person in every category has an unconditional claim to housing and to the support required to make housing viable for them. The categories exist to ensure that the right intervention is matched to the right person, not to rank people’s value.</w:t>
      </w:r>
    </w:p>
    <w:p>
      <w:pPr>
        <w:pStyle w:val="BodyText"/>
      </w:pPr>
      <w:r>
        <w:t xml:space="preserve">Pipeline A — Voluntary</w:t>
      </w:r>
    </w:p>
    <w:p>
      <w:pPr>
        <w:pStyle w:val="BodyText"/>
      </w:pPr>
      <w:r>
        <w:t xml:space="preserve">The largest category by number is what the MDI model calls Pipeline A: the Voluntary cohort. These are people experiencing economic displacement, a lost job, a medical bill, a broken family relationship, a housing market that priced them out, who have entered homelessness relatively recently and whose cognitive function, while stressed by the experience, remains largely intact. They can navigate the Coordinated Entry System. They respond to housing vouchers and rental assistance. They benefit from employment services, financial coaching, and connection to the mainstream housing market.</w:t>
      </w:r>
    </w:p>
    <w:p>
      <w:pPr>
        <w:pStyle w:val="BodyText"/>
      </w:pPr>
      <w:r>
        <w:t xml:space="preserve">This is the population for whom Housing First works well. The problem is not that Housing First is the wrong intervention for them. The problem is that Housing First is being asked to serve people in the other pipeline categories for whom it was not designed, and that the resulting failures are misread as evidence that Housing First doesn’t work, rather than evidence that it is being misapplied.</w:t>
      </w:r>
    </w:p>
    <w:p>
      <w:pPr>
        <w:pStyle w:val="BodyText"/>
      </w:pPr>
      <w:r>
        <w:t xml:space="preserve">Pipeline A individuals need economic support, not clinical stabilization. Standard Coordinated Entry System navigation, with reliable access to vouchers, rental assistance, and employment services, is the appropriate response. MDI is not primarily for them.</w:t>
      </w:r>
    </w:p>
    <w:p>
      <w:pPr>
        <w:pStyle w:val="BodyText"/>
      </w:pPr>
      <w:r>
        <w:t xml:space="preserve">Pipeline B — Engageable</w:t>
      </w:r>
    </w:p>
    <w:p>
      <w:pPr>
        <w:pStyle w:val="BodyText"/>
      </w:pPr>
      <w:r>
        <w:t xml:space="preserve">Pipeline B is the Engageable cohort: people who have been on the street longer than Pipeline A individuals, who have intact survival networks and social bonds, and who respond to sustained and genuine outreach. These are people who have not self-navigated to the service system, perhaps because of prior bad experiences with institutions, perhaps because of language or cultural barriers, perhaps because they have not been reached by outreach in a meaningful way, but who, when they are reached by the right person in the right way, are willing to accept housing and support.</w:t>
      </w:r>
    </w:p>
    <w:p>
      <w:pPr>
        <w:pStyle w:val="BodyText"/>
      </w:pPr>
      <w:r>
        <w:t xml:space="preserve">For Pipeline B individuals, the right environment is a communal Dunbar Pod, a small-scale residential community of people who know each other, with peer support available and clinical services accessible but not mandatory. These individuals have enough social and cognitive capacity to thrive in a structured community environment. They do not require the intensive clinical intervention of the Sovereign Isolation Unit described later.</w:t>
      </w:r>
    </w:p>
    <w:p>
      <w:pPr>
        <w:pStyle w:val="BodyText"/>
      </w:pPr>
      <w:r>
        <w:t xml:space="preserve">Pipeline C — Calcified</w:t>
      </w:r>
    </w:p>
    <w:p>
      <w:pPr>
        <w:pStyle w:val="BodyText"/>
      </w:pPr>
      <w:r>
        <w:t xml:space="preserve">Pipeline C is the Calcified cohort, and it is the population at the center of what makes chronic homelessness so resistant to existing interventions. These are people who have been on the street for years or decades, who have profound untreated psychotic disorders, and who, in many cases, cannot perceive that they are ill. The neurological condition involved is called anosognosia, a specific deficit in self-awareness caused by damage to the same prefrontal regions that street exposure damages. Approximately 50 percent of people with schizophrenia spectrum disorders have significant anosognosia: they do not experience themselves as ill, and therefore they do not understand why people are trying to provide them treatment.</w:t>
      </w:r>
    </w:p>
    <w:p>
      <w:pPr>
        <w:pStyle w:val="BodyText"/>
      </w:pPr>
      <w:r>
        <w:t xml:space="preserve">Anosognosia is not denial. It is not stubbornness. It is not a choice. It is a neurological condition in which damage to the brain’s self-monitoring systems prevents the person from accurately perceiving their own cognitive state. A person with anosognosia who declines psychiatric treatment is not making an informed refusal. They are expressing a perception of their situation that their damaged brain is incapable of accurately forming.</w:t>
      </w:r>
    </w:p>
    <w:p>
      <w:pPr>
        <w:pStyle w:val="BodyText"/>
      </w:pPr>
      <w:r>
        <w:t xml:space="preserve">This population requires the most intensive intervention, including, in defined circumstances and under strict legal and clinical oversight, compelled care. Chapter 16 addresses the ethical and legal framework for compelled care in detail. The important point here is that Pipeline C individuals cannot be reached by voluntary outreach alone, and that leaving them on the street because they have declined voluntary services is not an act of respect for their autonomy. It is an act of abandonment toward people whose capacity for autonomous decision-making has been neurologically compromised.</w:t>
      </w:r>
    </w:p>
    <w:p>
      <w:pPr>
        <w:pStyle w:val="BodyText"/>
      </w:pPr>
      <w:r>
        <w:t xml:space="preserve">Pipeline C-Riparian</w:t>
      </w:r>
    </w:p>
    <w:p>
      <w:pPr>
        <w:pStyle w:val="BodyText"/>
      </w:pPr>
      <w:r>
        <w:t xml:space="preserve">A specific subset of the Calcified cohort lives in protected wetlands, rivers, and waterways, along the Los Angeles River and its tributaries, for example. These individuals present a dual crisis: they require human clinical extraction and they are simultaneously generating violations of the federal Clean Water Act through the biological and chemical contamination of protected waterways.</w:t>
      </w:r>
    </w:p>
    <w:p>
      <w:pPr>
        <w:pStyle w:val="BodyText"/>
      </w:pPr>
      <w:r>
        <w:t xml:space="preserve">The C-Riparian designation matters because the response to this population requires synchronized human and environmental action. You cannot remediate the environmental damage until the people are housed, and you cannot effectively reach the people without the resources that accompany environmental remediation. The two crises must be addressed together. Chapter 24 addresses this in detail.</w:t>
      </w:r>
    </w:p>
    <w:p>
      <w:pPr>
        <w:pStyle w:val="BodyText"/>
      </w:pPr>
      <w:r>
        <w:t xml:space="preserve">Pipeline D — Nomadic</w:t>
      </w:r>
    </w:p>
    <w:p>
      <w:pPr>
        <w:pStyle w:val="BodyText"/>
      </w:pPr>
      <w:r>
        <w:t xml:space="preserve">Pipeline D is the Nomadic cohort, and it is the category that most directly challenges the assumption that homelessness is always a crisis requiring intervention. These are people who have made an active, considered, and genuine choice to live outside fixed housing, people for whom the conventional social arrangement of permanent residence in a single location does not match their values, identity, or preferred way of living, and who are not experiencing the metabolic destabilization that defines the other pipeline categories.</w:t>
      </w:r>
    </w:p>
    <w:p>
      <w:pPr>
        <w:pStyle w:val="BodyText"/>
      </w:pPr>
      <w:r>
        <w:t xml:space="preserve">The MDI model’s response to Pipeline D is governed by what is called the Anti-Detention Covenant: this cohort is offered harm reduction services, access to sanitation pods, hygiene, clean needles if relevant, medical attention when requested, unconditionally and without coercion. They are never pressured to accept housing. Their choice is respected. The offer remains permanently open.</w:t>
      </w:r>
    </w:p>
    <w:p>
      <w:pPr>
        <w:pStyle w:val="BodyText"/>
      </w:pPr>
      <w:r>
        <w:t xml:space="preserve">This is not a morally complicated position. Some people genuinely do not want to live in fixed housing, and when their health is not in serious danger, that preference is theirs to hold. Coercing them into housing they have not chosen would not help them. It would simply be a violation of their autonomy.</w:t>
      </w:r>
    </w:p>
    <w:p>
      <w:pPr>
        <w:pStyle w:val="BodyText"/>
      </w:pPr>
      <w:r>
        <w:t xml:space="preserve">The Upward Mobility Principle</w:t>
      </w:r>
    </w:p>
    <w:p>
      <w:pPr>
        <w:pStyle w:val="BodyText"/>
      </w:pPr>
      <w:r>
        <w:t xml:space="preserve">No category in this framework is permanent. The categories describe current need and trajectory, not fixed identity. A C-Riparian individual, once extracted from the wetlands, reclassifies as C-Calcified or B-Engageable depending on whether anosognosia is present. A C-Calcified individual who receives twelve months of intensive stabilization and whose anosognosia resolves can transition to the B-Engageable pathway. A B-Engageable individual who develops economic readiness can transition to the A-Voluntary pathway and into standard independent housing.</w:t>
      </w:r>
    </w:p>
    <w:p>
      <w:pPr>
        <w:pStyle w:val="BodyText"/>
      </w:pPr>
      <w:r>
        <w:t xml:space="preserve">The pipeline categories are a clinical framework for matching intervention intensity to need. They are not a verdict on where someone will always be.</w:t>
      </w:r>
    </w:p>
    <w:p>
      <w:pPr>
        <w:pStyle w:val="BodyText"/>
      </w:pPr>
      <w:r>
        <w:t xml:space="preserve">The Cultural Assessment Prerequisite</w:t>
      </w:r>
    </w:p>
    <w:p>
      <w:pPr>
        <w:pStyle w:val="BodyText"/>
      </w:pPr>
      <w:r>
        <w:t xml:space="preserve">No classification proceeds without a completed cultural and linguistic baseline assessment. This is not optional. Language, cultural background, community of origin, and the specific institutional histories of different cultural communities with social services all affect every dimension of engagement, how trust is built, which environments feel safe, which offers feel coercive, which forms of support are acceptable. A classification made without this information is not just imprecise. It is potentially harmful, because an incorrect classification drives an incorrect intervention.</w:t>
      </w:r>
    </w:p>
    <w:p>
      <w:pPr>
        <w:pStyle w:val="BodyText"/>
      </w:pPr>
      <w:r>
        <w:t xml:space="preserve">The system will not proceed to pipeline assignment until the cultural assessment is complete. This is a hard requirement in the Python codebase that governs the system; the code raises an error and halts if the cultural assessment flag is not set to complete.</w:t>
      </w:r>
    </w:p>
    <w:p>
      <w:r>
        <w:pict>
          <v:rect style="width:0;height:1.5pt" o:hralign="center" o:hrstd="t" o:hr="t"/>
        </w:pict>
      </w:r>
    </w:p>
    <w:bookmarkEnd w:id="33"/>
    <w:bookmarkEnd w:id="34"/>
    <w:bookmarkStart w:id="35" w:name="unit-two-the-science"/>
    <w:p>
      <w:pPr>
        <w:pStyle w:val="Heading1"/>
      </w:pPr>
      <w:r>
        <w:t xml:space="preserve">Unit Two — The Science</w:t>
      </w:r>
    </w:p>
    <w:p>
      <w:r>
        <w:pict>
          <v:rect style="width:0;height:1.5pt" o:hralign="center" o:hrstd="t" o:hr="t"/>
        </w:pict>
      </w:r>
    </w:p>
    <w:bookmarkEnd w:id="35"/>
    <w:bookmarkStart w:id="37" w:name="Xde99c68347b808f4278ad6298f8816e0d445dfe"/>
    <w:p>
      <w:pPr>
        <w:pStyle w:val="Heading1"/>
      </w:pPr>
      <w:r>
        <w:t xml:space="preserve">Chapter 5: The Human Body as a Physical System</w:t>
      </w:r>
    </w:p>
    <w:bookmarkStart w:id="36" w:name="X7b46dc4e3c9813a1f6614d98984d8786e78bb99"/>
    <w:p>
      <w:pPr>
        <w:pStyle w:val="Heading2"/>
      </w:pPr>
      <w:r>
        <w:t xml:space="preserve">Chapter 5: The Human Body as a Physical System</w:t>
      </w:r>
    </w:p>
    <w:p>
      <w:pPr>
        <w:pStyle w:val="FirstParagraph"/>
      </w:pPr>
      <w:r>
        <w:t xml:space="preserve">Consider a thought experiment. Imagine a city council that decided, for budgetary reasons, to eliminate the water infrastructure. No water treatment plants. No pipes. No delivery systems. Citizens would find water however they could, from rivers, from rain, from neighbors who had stored some. Some would get enough. Many would not. The wealthy would adapt. The poor and the sick would suffer most severely. We would not, looking at the resulting crisis, conclude that the people dying of dehydration had a personal responsibility problem. We would say, without hesitation, that the city had failed at one of its basic functions.</w:t>
      </w:r>
    </w:p>
    <w:p>
      <w:pPr>
        <w:pStyle w:val="BodyText"/>
      </w:pPr>
      <w:r>
        <w:t xml:space="preserve">Now substitute sleep, temperature regulation, and nutrition for water. The logic is identical. These are not preferences or amenities. They are biological necessities, the inputs without which the human organism cannot maintain the physical state we call health, and cannot maintain the neurological state we call agency. A city that provides water infrastructure but does not provide sleep infrastructure, temperature infrastructure, and nutrition infrastructure has not fulfilled its basic obligations to its most vulnerable citizens. It has simply chosen which infrastructure failure it considers acceptable.</w:t>
      </w:r>
    </w:p>
    <w:p>
      <w:pPr>
        <w:pStyle w:val="BodyText"/>
      </w:pPr>
      <w:r>
        <w:t xml:space="preserve">The Body as a Thermodynamic System</w:t>
      </w:r>
    </w:p>
    <w:p>
      <w:pPr>
        <w:pStyle w:val="BodyText"/>
      </w:pPr>
      <w:r>
        <w:t xml:space="preserve">The most useful framework for understanding why the biological floor matters is to think about the human body the way a physicist or engineer would: as an open thermodynamic system. This is not a metaphor. It is a description.</w:t>
      </w:r>
    </w:p>
    <w:p>
      <w:pPr>
        <w:pStyle w:val="BodyText"/>
      </w:pPr>
      <w:r>
        <w:t xml:space="preserve">An open thermodynamic system is one that must continuously exchange energy and matter with its environment to maintain its organized internal state. Living things are the clearest examples. A cell, an organ, a body are all highly organized, low-entropy structures existing in a universe that tends toward disorder. Maintaining that organization requires continuous energy input. The body must continuously eat, drink, breathe, and sleep to stay alive. When those inputs are cut off, when the body is prevented from importing sufficient energy and expelling sufficient waste, the organized structure breaks down. In technical terms, entropy increases. In practical terms, the body decays.</w:t>
      </w:r>
    </w:p>
    <w:p>
      <w:pPr>
        <w:pStyle w:val="BodyText"/>
      </w:pPr>
      <w:r>
        <w:t xml:space="preserve">The street cuts off the inputs the body requires. Extreme temperatures force the body to divert metabolic energy to thermoregulation, the work of keeping the core temperature stable, and that energy is then not available for cognitive function, immune response, or tissue repair. Nutritional deprivation reduces the supply of the substrates the brain requires to produce neurotransmitters and maintain neural tissue. Sleep deprivation prevents the metabolic waste clearance and synaptic repair that the brain performs during rest. Each of these deprivations compounds the others, and the combined effect is exactly what the thermodynamic model predicts: progressive structural disorganization.</w:t>
      </w:r>
    </w:p>
    <w:p>
      <w:pPr>
        <w:pStyle w:val="BodyText"/>
      </w:pPr>
      <w:r>
        <w:t xml:space="preserve">The Biological Floor: Specific Numbers</w:t>
      </w:r>
    </w:p>
    <w:p>
      <w:pPr>
        <w:pStyle w:val="BodyText"/>
      </w:pPr>
      <w:r>
        <w:t xml:space="preserve">The MDI model does not treat the biological floor as a philosophical concept. It treats it as a set of engineering specifications derived from clinical physiology. The numbers are not arbitrary. They represent the median requirements for human homeostasis, the physiological conditions under which the body can maintain its organized state and the brain can maintain its functional capacity.</w:t>
      </w:r>
    </w:p>
    <w:p>
      <w:pPr>
        <w:pStyle w:val="BodyText"/>
      </w:pPr>
      <w:r>
        <w:t xml:space="preserve">Temperature: the body minimizes the metabolic work of thermoregulation within an ambient temperature range of approximately 65 to 75 degrees Fahrenheit. Outside this range, and especially below 55 degrees where the risk of hypothermia begins to increase, the body must burn energy to maintain core temperature, diverting resources from cognitive maintenance.</w:t>
      </w:r>
    </w:p>
    <w:p>
      <w:pPr>
        <w:pStyle w:val="BodyText"/>
      </w:pPr>
      <w:r>
        <w:t xml:space="preserve">Nutrition: a median adult body requires approximately 2,200 kilocalories and 2.5 liters of clean water daily to maintain cellular function and prevent cachexia, the progressive wasting of muscle and organ tissue that occurs under sustained nutritional deprivation. The caloric number is a median and will vary by body size, age, and activity level, but it represents the baseline below which physical deterioration is certain.</w:t>
      </w:r>
    </w:p>
    <w:p>
      <w:pPr>
        <w:pStyle w:val="BodyText"/>
      </w:pPr>
      <w:r>
        <w:t xml:space="preserve">Sleep: the brain requires a minimum of six to eight hours of continuous, low-decibel, dark sleep for the restorative processes described in Chapter 2 to occur. Matthew Walker’s research on sleep neuroscience, summarized in his 2017 book on sleep and dreams, documents these requirements with precision. The word</w:t>
      </w:r>
      <w:r>
        <w:t xml:space="preserve"> </w:t>
      </w:r>
      <w:r>
        <w:t xml:space="preserve">“</w:t>
      </w:r>
      <w:r>
        <w:t xml:space="preserve">continuous</w:t>
      </w:r>
      <w:r>
        <w:t xml:space="preserve">”</w:t>
      </w:r>
      <w:r>
        <w:t xml:space="preserve"> </w:t>
      </w:r>
      <w:r>
        <w:t xml:space="preserve">is critical. Fragmented sleep, four hours interrupted by noise and threat, does not produce the same restorative outcome as six hours of uninterrupted rest.</w:t>
      </w:r>
    </w:p>
    <w:p>
      <w:pPr>
        <w:pStyle w:val="BodyText"/>
      </w:pPr>
      <w:r>
        <w:t xml:space="preserve">Below the Floor: What Happens</w:t>
      </w:r>
    </w:p>
    <w:p>
      <w:pPr>
        <w:pStyle w:val="BodyText"/>
      </w:pPr>
      <w:r>
        <w:t xml:space="preserve">When the body falls below the biological floor on any of these dimensions, the consequences are measurable and predictable. Temperature below the floor: metabolic resources are diverted to thermoregulation, and the brain, which is metabolically very expensive and the first to lose resources when supply drops, reduces its higher functions. Nutrition below the floor: the brain cannot produce adequate neurotransmitters, and cognitive function, planning, memory, emotional regulation, degrades. Sleep below the floor: toxic metabolic byproducts accumulate in neural tissue, cortisol fails to reset, and prefrontal function declines.</w:t>
      </w:r>
    </w:p>
    <w:p>
      <w:pPr>
        <w:pStyle w:val="BodyText"/>
      </w:pPr>
      <w:r>
        <w:t xml:space="preserve">The result is a brain that has entered what neuroscientists call a state of chronic hypervigilance. The threat-detection systems, ancient, fast, non-verbal, are running at maximum. The planning and reasoning systems, newer, slower, effortful, are running at minimum or not at all. This is not a personality. It is a neurological state produced by environmental conditions.</w:t>
      </w:r>
    </w:p>
    <w:p>
      <w:pPr>
        <w:pStyle w:val="BodyText"/>
      </w:pPr>
      <w:r>
        <w:t xml:space="preserve">Entropy as a Normative Boundary</w:t>
      </w:r>
    </w:p>
    <w:p>
      <w:pPr>
        <w:pStyle w:val="BodyText"/>
      </w:pPr>
      <w:r>
        <w:t xml:space="preserve">Here is the philosophical implication that turns a biological fact into a political obligation. A person whose brain is in a state of chronic hypervigilance cannot exercise democratic rights. They cannot evaluate political candidates, understand ballot measures, fulfill civic responsibilities, or participate meaningfully in the social contract. Crossing the homeostatic threshold does not merely harm the individual; it destroys their capacity to exist as a civic agent.</w:t>
      </w:r>
    </w:p>
    <w:p>
      <w:pPr>
        <w:pStyle w:val="BodyText"/>
      </w:pPr>
      <w:r>
        <w:t xml:space="preserve">If a city claims to value human life, democratic participation, and the rule of law, it is logically required to provide the infrastructure that makes those things possible. Not as charity. Not as compassion. As the physical prerequisite for the values the city claims to hold.</w:t>
      </w:r>
    </w:p>
    <w:p>
      <w:pPr>
        <w:pStyle w:val="BodyText"/>
      </w:pPr>
      <w:r>
        <w:t xml:space="preserve">The biological floor is not a luxury standard. It is the precondition for everything else that a democratic society considers important.</w:t>
      </w:r>
    </w:p>
    <w:p>
      <w:r>
        <w:pict>
          <v:rect style="width:0;height:1.5pt" o:hralign="center" o:hrstd="t" o:hr="t"/>
        </w:pict>
      </w:r>
    </w:p>
    <w:bookmarkEnd w:id="36"/>
    <w:bookmarkEnd w:id="37"/>
    <w:bookmarkStart w:id="39" w:name="chapter-6-sleep-is-not-a-luxury"/>
    <w:p>
      <w:pPr>
        <w:pStyle w:val="Heading1"/>
      </w:pPr>
      <w:r>
        <w:t xml:space="preserve">Chapter 6: Sleep Is Not a Luxury</w:t>
      </w:r>
    </w:p>
    <w:bookmarkStart w:id="38" w:name="chapter-6-sleep-is-not-a-luxury-1"/>
    <w:p>
      <w:pPr>
        <w:pStyle w:val="Heading2"/>
      </w:pPr>
      <w:r>
        <w:t xml:space="preserve">Chapter 6: Sleep Is Not a Luxury</w:t>
      </w:r>
    </w:p>
    <w:p>
      <w:pPr>
        <w:pStyle w:val="FirstParagraph"/>
      </w:pPr>
      <w:r>
        <w:t xml:space="preserve">Every night, while you sleep, your brain performs a series of maintenance operations without which it cannot function properly the following day. In the deepest stages of sleep, the glymphatic system, a network of channels surrounding brain cells, activates and flushes out toxic metabolic byproducts that accumulate during waking hours. Among the substances cleared in this process are the proteins associated with Alzheimer’s disease and other forms of neurodegeneration. If the glymphatic system does not clear them reliably, they build up.</w:t>
      </w:r>
    </w:p>
    <w:p>
      <w:pPr>
        <w:pStyle w:val="BodyText"/>
      </w:pPr>
      <w:r>
        <w:t xml:space="preserve">Simultaneously, the sleeping brain consolidates memories, transferring information from short-term working memory into long-term storage. Synaptic connections are pruned and strengthened. Cortisol levels, which rise during waking hours in response to stress, decline during deep sleep, allowing the HPA axis to reset. The immune system performs repair work. Growth hormone is released. The entire biology of the body uses the sleeping state to do the maintenance that cannot be done while the organism is awake and active.</w:t>
      </w:r>
    </w:p>
    <w:p>
      <w:pPr>
        <w:pStyle w:val="BodyText"/>
      </w:pPr>
      <w:r>
        <w:t xml:space="preserve">None of this happens when sleep is fragmented, noisy, cold, and contaminated by threat. And for anyone sleeping on the street, that is what sleep is, every night.</w:t>
      </w:r>
    </w:p>
    <w:p>
      <w:pPr>
        <w:pStyle w:val="BodyText"/>
      </w:pPr>
      <w:r>
        <w:t xml:space="preserve">The Acoustic Specification</w:t>
      </w:r>
    </w:p>
    <w:p>
      <w:pPr>
        <w:pStyle w:val="BodyText"/>
      </w:pPr>
      <w:r>
        <w:t xml:space="preserve">The MDI model specifies a maximum ambient noise level of 35 decibels in sleeping environments. This number comes from sleep neuroscience research showing that noise above approximately 35 decibels, which is roughly the sound level of a quiet library, begins to fragment sleep architecture, preventing the deep slow-wave stages where most restoration occurs. Urban ambient noise is typically 65 decibels or higher. The difference between 35 and 65 decibels is not merely a matter of comfort. It is measurable in cortisol levels the following morning, in cognitive performance on executive function tests, and in inflammatory markers in the blood.</w:t>
      </w:r>
    </w:p>
    <w:p>
      <w:pPr>
        <w:pStyle w:val="BodyText"/>
      </w:pPr>
      <w:r>
        <w:t xml:space="preserve">Achieving 35 decibels in a sleeping environment in an urban building requires deliberate engineering. Double-wall construction. Acoustic dampening panels. Careful window placement and sealing. These are not luxury amenities. They are clinical specifications, the acoustic equivalent of the sterile field in a surgical suite. You would not perform surgery without a sterile field, regardless of cost, because without sterility the surgery fails. You cannot produce neurological recovery without adequate sleep, and you cannot produce adequate sleep without adequate acoustic isolation. The specification is non-negotiable.</w:t>
      </w:r>
    </w:p>
    <w:p>
      <w:pPr>
        <w:pStyle w:val="BodyText"/>
      </w:pPr>
      <w:r>
        <w:t xml:space="preserve">The technical standard referenced in the MDI model is STC-65 acoustic isolation, a rating system that measures a material’s ability to reduce sound transmission. Achieving this rating in a converted commercial building requires specific construction techniques but is entirely feasible within standard construction budgets when planned from the outset.</w:t>
      </w:r>
    </w:p>
    <w:p>
      <w:pPr>
        <w:pStyle w:val="BodyText"/>
      </w:pPr>
      <w:r>
        <w:t xml:space="preserve">What Fragmented Sleep Produces</w:t>
      </w:r>
    </w:p>
    <w:p>
      <w:pPr>
        <w:pStyle w:val="BodyText"/>
      </w:pPr>
      <w:r>
        <w:t xml:space="preserve">Research conducted by Matthew Walker and others documents with precision what chronic sleep deprivation does to the human brain over time. After 17 to 19 hours without sleep, cognitive performance degrades to a level equivalent to a blood alcohol concentration of 0.05 percent, legally impaired in most jurisdictions. After 24 hours without sleep, the equivalent is approximately 0.10 percent, legally drunk in every U.S. jurisdiction.</w:t>
      </w:r>
    </w:p>
    <w:p>
      <w:pPr>
        <w:pStyle w:val="BodyText"/>
      </w:pPr>
      <w:r>
        <w:t xml:space="preserve">But the acute effects of a single sleepless night are not the most important consequence for the chronically unsheltered population. The more important finding is what happens over weeks and months of inadequate sleep: cumulative structural damage to neural tissue that does not simply reverse with a single good night’s rest. Extended periods of sleep deprivation produce changes in the physical architecture of the brain, changes in gene expression, changes in synaptic structure, measurable reductions in gray matter density in prefrontal regions, that require sustained adequate sleep over comparable periods to begin recovering.</w:t>
      </w:r>
    </w:p>
    <w:p>
      <w:pPr>
        <w:pStyle w:val="BodyText"/>
      </w:pPr>
      <w:r>
        <w:t xml:space="preserve">This is why the MDI model specifies a 30-day minimum stay in the Phase Zero metabolic stabilization environment. It is not an administrative convenience. It is a biological requirement. The brain needs approximately 30 days of adequate sleep and thermal stability before measurable early recovery of prefrontal function begins. You cannot compress this timeline without producing worse outcomes.</w:t>
      </w:r>
    </w:p>
    <w:p>
      <w:pPr>
        <w:pStyle w:val="BodyText"/>
      </w:pPr>
      <w:r>
        <w:t xml:space="preserve">Circadian Rhythm and Light</w:t>
      </w:r>
    </w:p>
    <w:p>
      <w:pPr>
        <w:pStyle w:val="BodyText"/>
      </w:pPr>
      <w:r>
        <w:t xml:space="preserve">There is a further dimension of sleep that deserves attention: the role of light in regulating the sleep-wake cycle. The brain uses specific wavelengths of light, primarily blue light, as a signal that it is daytime, triggering the suppression of melatonin, the hormone that induces sleep. When artificial light of the wrong spectrum reaches the eyes at the wrong time of day, melatonin production is disrupted. The circadian rhythm, the internal biological clock that regulates the timing of sleep, wakefulness, hormone release, and a dozen other physiological processes, is thrown off.</w:t>
      </w:r>
    </w:p>
    <w:p>
      <w:pPr>
        <w:pStyle w:val="BodyText"/>
      </w:pPr>
      <w:r>
        <w:t xml:space="preserve">For people sleeping outdoors, or in brightly lit emergency shelters, circadian disruption is a constant background condition. The MDI model specifies circadian lighting systems in sleeping environments, lighting that shifts in spectrum throughout the day, moving toward warmer red tones in the evening hours that do not suppress melatonin, and toward cooler blue tones in the morning that help anchor the circadian rhythm to the natural light cycle. This is not an exotic technology. It is available off the shelf, affordable at scale, and makes a measurable difference to sleep quality.</w:t>
      </w:r>
    </w:p>
    <w:p>
      <w:pPr>
        <w:pStyle w:val="BodyText"/>
      </w:pPr>
      <w:r>
        <w:t xml:space="preserve">The Neurological ICU</w:t>
      </w:r>
    </w:p>
    <w:p>
      <w:pPr>
        <w:pStyle w:val="BodyText"/>
      </w:pPr>
      <w:r>
        <w:t xml:space="preserve">The most important conceptual shift in understanding MDI’s sleep infrastructure is this: the sleeping module in an MDI tower is not a bedroom. It is a clinical intervention. Every specification, acoustic isolation, temperature control, circadian lighting, privacy, is a medical prescription, derived from sleep neuroscience, aimed at producing a specific physiological outcome: the restoration of the glymphatic clearance cycle, the resetting of the HPA axis, and the beginning of structural neurological recovery.</w:t>
      </w:r>
    </w:p>
    <w:p>
      <w:pPr>
        <w:pStyle w:val="BodyText"/>
      </w:pPr>
      <w:r>
        <w:t xml:space="preserve">You would not tell a patient in a neurological ICU to sleep in a noisy hallway because the private room is expensive. The expense of the private room is justified by the clinical outcome it produces. The same logic applies here. The acoustic and environmental specifications of MDI sleeping modules are not design preferences or amenity choices. They are the minimum conditions required for the clinical outcome the system is designed to produce.</w:t>
      </w:r>
    </w:p>
    <w:p>
      <w:r>
        <w:pict>
          <v:rect style="width:0;height:1.5pt" o:hralign="center" o:hrstd="t" o:hr="t"/>
        </w:pict>
      </w:r>
    </w:p>
    <w:bookmarkEnd w:id="38"/>
    <w:bookmarkEnd w:id="39"/>
    <w:bookmarkStart w:id="41" w:name="chapter-7-the-capability-approach"/>
    <w:p>
      <w:pPr>
        <w:pStyle w:val="Heading1"/>
      </w:pPr>
      <w:r>
        <w:t xml:space="preserve">Chapter 7: The Capability Approach</w:t>
      </w:r>
    </w:p>
    <w:bookmarkStart w:id="40" w:name="chapter-7-the-capability-approach-1"/>
    <w:p>
      <w:pPr>
        <w:pStyle w:val="Heading2"/>
      </w:pPr>
      <w:r>
        <w:t xml:space="preserve">Chapter 7: The Capability Approach</w:t>
      </w:r>
    </w:p>
    <w:p>
      <w:pPr>
        <w:pStyle w:val="FirstParagraph"/>
      </w:pPr>
      <w:r>
        <w:t xml:space="preserve">In 1998, the economist Amartya Sen received the Nobel Prize in Economic Sciences for work that included a fundamental reframing of what it means to be free. Standard economic models had long treated freedom as a matter of resources: a person is free to the degree that they have money and legal rights. Sen argued that this framing missed something essential. A person who is legally free to attend university but who has never learned to read is not, in any meaningful sense, free to attend university. A person who is legally free to choose where they live but whose brain has been damaged beyond the capacity to navigate a housing application is not, in any meaningful sense, free to choose where they live.</w:t>
      </w:r>
    </w:p>
    <w:p>
      <w:pPr>
        <w:pStyle w:val="BodyText"/>
      </w:pPr>
      <w:r>
        <w:t xml:space="preserve">Real freedom, Sen argued, requires both the internal capacity and the external conditions to exercise it. He called these capabilities, the opportunities to live and act in ways you have reason to value. Policy that provides resources without capabilities is not providing freedom. It is providing the appearance of freedom to people who cannot use it.</w:t>
      </w:r>
    </w:p>
    <w:p>
      <w:pPr>
        <w:pStyle w:val="BodyText"/>
      </w:pPr>
      <w:r>
        <w:t xml:space="preserve">This distinction, between the formal existence of a right or resource and the actual ability to use it, is the philosophical foundation of the MDI model. It is why MDI begins with the body before the building, and with the brain before the lease. A housing key provided to someone whose brain cannot maintain a tenancy is not a housing solution. It is a gesture that will produce failure and then be used as evidence that the person did not want help.</w:t>
      </w:r>
    </w:p>
    <w:p>
      <w:pPr>
        <w:pStyle w:val="BodyText"/>
      </w:pPr>
      <w:r>
        <w:t xml:space="preserve">Nussbaum’s Human Capabilities List</w:t>
      </w:r>
    </w:p>
    <w:p>
      <w:pPr>
        <w:pStyle w:val="BodyText"/>
      </w:pPr>
      <w:r>
        <w:t xml:space="preserve">Martha Nussbaum, working in the same philosophical tradition as Sen, developed his framework into a specific list of central human capabilities that she argued every society is obligated to guarantee at a meaningful threshold. Her list includes ten capabilities, ranging from political participation to play to emotional development. Three of them are foundational, the capabilities that all others depend on and without which none of the others can be meaningfully exercised.</w:t>
      </w:r>
    </w:p>
    <w:p>
      <w:pPr>
        <w:pStyle w:val="BodyText"/>
      </w:pPr>
      <w:r>
        <w:t xml:space="preserve">Life: the ability to live a normal-length human life, to not die prematurely. Bodily Health: the ability to have good health, including reproductive health; adequate nutrition; and adequate shelter. Bodily Integrity: the ability to move freely from place to place, to be secure against violent assault, to have opportunities for sexual satisfaction and for choice in matters of reproduction.</w:t>
      </w:r>
    </w:p>
    <w:p>
      <w:pPr>
        <w:pStyle w:val="BodyText"/>
      </w:pPr>
      <w:r>
        <w:t xml:space="preserve">These three capabilities are precisely what the street destroys. The chronically unsheltered person has been denied bodily health through nutritional deprivation and sleep deprivation. They have been denied bodily integrity through exposure to predation and violence, since research on encampment safety consistently documents extremely high rates of violent victimization among chronically unsheltered people, particularly among women and people with psychiatric disabilities. And their life, in the full sense that Nussbaum intends, a life lived with dignity and meaning and reasonable duration, has been reduced to biological survival against compounding physiological odds.</w:t>
      </w:r>
    </w:p>
    <w:p>
      <w:pPr>
        <w:pStyle w:val="BodyText"/>
      </w:pPr>
      <w:r>
        <w:t xml:space="preserve">A society that claims to value human capabilities while building cities that systematically deny them to the most vulnerable is engaged in a fundamental contradiction. Not a regrettable one. A fundamental one. The city is asserting that it values the dignity and freedom of all its residents while creating and maintaining the physical conditions that make dignity and freedom impossible for the most exposed of them. The MDI model is the engineering specification that takes that assertion seriously enough to act on it.</w:t>
      </w:r>
    </w:p>
    <w:p>
      <w:pPr>
        <w:pStyle w:val="BodyText"/>
      </w:pPr>
      <w:r>
        <w:t xml:space="preserve">The Sequential Resolution</w:t>
      </w:r>
    </w:p>
    <w:p>
      <w:pPr>
        <w:pStyle w:val="BodyText"/>
      </w:pPr>
      <w:r>
        <w:t xml:space="preserve">The MDI model structures the insights of Sen and Nussbaum into a chronological sequence that resolves what might otherwise appear to be a tension in the philosophical framework. If capabilities require both internal capacity and external conditions, what do you do when a person has lost the internal capacity, when the brain has been damaged by the street beyond the point of being able to use external resources even when they are provided?</w:t>
      </w:r>
    </w:p>
    <w:p>
      <w:pPr>
        <w:pStyle w:val="BodyText"/>
      </w:pPr>
      <w:r>
        <w:t xml:space="preserve">The question is not hypothetical. This is precisely the situation of the C-pipeline population. They have lost, through no failure of character or will, the neurological infrastructure that would allow them to use a housing voucher or maintain a tenancy or navigate a service system. Providing those resources without first restoring the neurological infrastructure is not just ineffective. It is a form of institutional gaslighting, offering help in a form the person cannot use and then interpreting their failure to use it as evidence that they do not want help.</w:t>
      </w:r>
    </w:p>
    <w:p>
      <w:pPr>
        <w:pStyle w:val="BodyText"/>
      </w:pPr>
      <w:r>
        <w:t xml:space="preserve">The sequential resolution works in two phases, corresponding to two philosophical traditions.</w:t>
      </w:r>
    </w:p>
    <w:p>
      <w:pPr>
        <w:pStyle w:val="BodyText"/>
      </w:pPr>
      <w:r>
        <w:t xml:space="preserve">Phase Zero — the Nussbaum Phase: Biological stability is provided unconditionally through clinical environment design. The individual does not need to exercise agency to receive the biological floor. It is provided because human dignity requires it, not because the person has demonstrated the capacity to use it. The clinician designs the environment and ensures the inputs, warmth, nutrition, protected sleep, are continuously available regardless of the person’s current cognitive state. This is not paternalism in the pejorative sense. It is the same logic by which a surgeon stabilizes an unconscious patient before asking them to consent to further treatment. You restore the capacity for choice before asking them to choose. The Nussbaum framework, providing the foundational capabilities of life, bodily health, and bodily integrity as a threshold obligation, governs this phase.</w:t>
      </w:r>
    </w:p>
    <w:p>
      <w:pPr>
        <w:pStyle w:val="BodyText"/>
      </w:pPr>
      <w:r>
        <w:t xml:space="preserve">The Dunbar Pod — the Sen Phase: Once biological baselines are restored through the Phase Zero clinical environment, the individual transitions to a self-governed communal environment, participates in pod councils, and regains genuine agency over their daily life. Now the external conditions, community, support, resources, can be used, because the internal capacity has been rebuilt. The Sen framework, the authentic expansion of capabilities, the restoration of freedom to live a life one has reason to value, governs this phase. Housing First principles apply in the Sen Phase: real autonomy, real choice, real democratic participation within the pod community and, eventually, beyond it.</w:t>
      </w:r>
    </w:p>
    <w:p>
      <w:pPr>
        <w:pStyle w:val="BodyText"/>
      </w:pPr>
      <w:r>
        <w:t xml:space="preserve">The Internal Conversion Factor</w:t>
      </w:r>
    </w:p>
    <w:p>
      <w:pPr>
        <w:pStyle w:val="BodyText"/>
      </w:pPr>
      <w:r>
        <w:t xml:space="preserve">Sen used the concept of a conversion factor to describe the individual’s ability to turn a resource into a capability. The same resource produces different capabilities in different people depending on their conversion factors, their physical condition, their cognitive function, their social situation, their skills and knowledge. A food market in the neighborhood does not produce the same nutritional capability for a person who can walk to it and navigate its aisles and pay for its contents as it does for a person who cannot do any of those things.</w:t>
      </w:r>
    </w:p>
    <w:p>
      <w:pPr>
        <w:pStyle w:val="BodyText"/>
      </w:pPr>
      <w:r>
        <w:t xml:space="preserve">MDI restores the conversion factor before providing the resource. The 30-day minimum in the Phase Zero environment is the period in which the biological machinery for converting housing into actual shelter, the capacity for routine, for self-care, for social management, for the sequential execution of daily living tasks, is rebuilt to the point where it can function reliably enough for the transition to the Dunbar Pod to be clinically appropriate.</w:t>
      </w:r>
    </w:p>
    <w:p>
      <w:pPr>
        <w:pStyle w:val="BodyText"/>
      </w:pPr>
      <w:r>
        <w:t xml:space="preserve">What follows, in the Dunbar Pod and beyond, is the provision of resources to a person who has regained the conversion capacity to use them. The pod community provides peer support, which the person can now use because their social processing has recovered enough to engage with peers. The clinical services provide mental health support, which the person can now benefit from because their prefrontal function has recovered enough to engage with a therapeutic conversation. The Gardien pathway provides vocational development, which the person can now pursue because their working memory and planning capacity have recovered enough to hold a role and perform its tasks.</w:t>
      </w:r>
    </w:p>
    <w:p>
      <w:pPr>
        <w:pStyle w:val="BodyText"/>
      </w:pPr>
      <w:r>
        <w:t xml:space="preserve">The sequence is not incidental. It is the engineering requirement produced by the biology. You cannot run these processes in reverse order and produce good outcomes. You must restore the biological floor first.</w:t>
      </w:r>
    </w:p>
    <w:p>
      <w:pPr>
        <w:pStyle w:val="BodyText"/>
      </w:pPr>
      <w:r>
        <w:t xml:space="preserve">The Political Implication</w:t>
      </w:r>
    </w:p>
    <w:p>
      <w:pPr>
        <w:pStyle w:val="BodyText"/>
      </w:pPr>
      <w:r>
        <w:t xml:space="preserve">The capability approach has a direct political implication that is worth stating explicitly, because it reframes what a vote for homelessness infrastructure means.</w:t>
      </w:r>
    </w:p>
    <w:p>
      <w:pPr>
        <w:pStyle w:val="BodyText"/>
      </w:pPr>
      <w:r>
        <w:t xml:space="preserve">When a voter supports a bond measure for MDI-style stabilization infrastructure, they are not voting for charity. They are not voting for a gesture of compassion. They are voting to fulfill the city’s obligation to provide the foundational capabilities, bodily health, bodily integrity, life, without which democratic participation, civic contribution, and the full exercise of human potential are impossible. They are voting, in other words, for the infrastructure of democracy itself: the physical conditions without which the political system’s claim to represent all its members is a fiction.</w:t>
      </w:r>
    </w:p>
    <w:p>
      <w:pPr>
        <w:pStyle w:val="BodyText"/>
      </w:pPr>
      <w:r>
        <w:t xml:space="preserve">That is a different kind of argument than the one typically made for homelessness spending. It is a stronger argument. And it is the one that the capability approach, applied honestly to the conditions of chronic unsheltered homelessness, demands.</w:t>
      </w:r>
    </w:p>
    <w:p>
      <w:r>
        <w:pict>
          <v:rect style="width:0;height:1.5pt" o:hralign="center" o:hrstd="t" o:hr="t"/>
        </w:pict>
      </w:r>
    </w:p>
    <w:bookmarkEnd w:id="40"/>
    <w:bookmarkEnd w:id="41"/>
    <w:bookmarkStart w:id="42" w:name="unit-three-the-physical-solution"/>
    <w:p>
      <w:pPr>
        <w:pStyle w:val="Heading1"/>
      </w:pPr>
      <w:r>
        <w:t xml:space="preserve">Unit Three — The Physical Solution</w:t>
      </w:r>
    </w:p>
    <w:p>
      <w:r>
        <w:pict>
          <v:rect style="width:0;height:1.5pt" o:hralign="center" o:hrstd="t" o:hr="t"/>
        </w:pict>
      </w:r>
    </w:p>
    <w:bookmarkEnd w:id="42"/>
    <w:bookmarkStart w:id="44" w:name="Xd6af92c7e0aff5c8007e1c43c8a22a39e4f8567"/>
    <w:p>
      <w:pPr>
        <w:pStyle w:val="Heading1"/>
      </w:pPr>
      <w:r>
        <w:t xml:space="preserve">Chapter 8: Distressed Commercial Real Estate as Infrastructure</w:t>
      </w:r>
    </w:p>
    <w:bookmarkStart w:id="43" w:name="Xaf2e8e0c67ae4a8dca09ea239bf85d5728cc417"/>
    <w:p>
      <w:pPr>
        <w:pStyle w:val="Heading2"/>
      </w:pPr>
      <w:r>
        <w:t xml:space="preserve">Chapter 8: Distressed Commercial Real Estate as Infrastructure</w:t>
      </w:r>
    </w:p>
    <w:p>
      <w:pPr>
        <w:pStyle w:val="FirstParagraph"/>
      </w:pPr>
      <w:r>
        <w:t xml:space="preserve">In 2024, downtown Los Angeles had a commercial office vacancy rate above 25 percent. Entire floors of Class B office towers, solid buildings 15 to 30 years old with functional elevators, working plumbing, and centralized HVAC systems, stood empty. Their owners were in financial distress. Their lenders were carrying non-performing assets. The market for their original purpose had contracted permanently, driven by the structural shift to hybrid and remote work that the pandemic accelerated and the post-pandemic labor market consolidated.</w:t>
      </w:r>
    </w:p>
    <w:p>
      <w:pPr>
        <w:pStyle w:val="BodyText"/>
      </w:pPr>
      <w:r>
        <w:t xml:space="preserve">This is a genuine crisis for urban commercial real estate. It is simultaneously an opportunity of a kind that has not existed in urban America since the era of urban renewal, an opportunity to acquire the physical infrastructure for large-scale stabilization at a fraction of the cost of building it new, in the urban locations where the population who needs it actually lives, using buildings whose fundamental physical infrastructure is already built and paid for.</w:t>
      </w:r>
    </w:p>
    <w:p>
      <w:pPr>
        <w:pStyle w:val="BodyText"/>
      </w:pPr>
      <w:r>
        <w:t xml:space="preserve">What Commercial Real Estate Classifications Mean</w:t>
      </w:r>
    </w:p>
    <w:p>
      <w:pPr>
        <w:pStyle w:val="BodyText"/>
      </w:pPr>
      <w:r>
        <w:t xml:space="preserve">Commercial real estate is classified into three tiers, and understanding the distinction matters for the MDI conversion strategy.</w:t>
      </w:r>
    </w:p>
    <w:p>
      <w:pPr>
        <w:pStyle w:val="BodyText"/>
      </w:pPr>
      <w:r>
        <w:t xml:space="preserve">Class A buildings are the newest and best-appointed, trophy towers with premium finishes, the most advanced mechanical systems, LEED certification, and the highest rents. They are expensive to acquire even in a distressed market because their quality makes them convertible to other high-value uses, and because their ownership is typically held by institutional investors with the financial reserves to wait out market cycles.</w:t>
      </w:r>
    </w:p>
    <w:p>
      <w:pPr>
        <w:pStyle w:val="BodyText"/>
      </w:pPr>
      <w:r>
        <w:t xml:space="preserve">Class B buildings are one generation older, solid, functional, and well-located, built from the 1970s through the 1990s, with conventional plumbing systems, standard electrical distribution, and centralized HVAC designed to condition large floors. They lack the premium finishes and latest systems of Class A, and in the post-pandemic office market, they have been disproportionately affected by vacancy. Tenants upgrading their space have moved to Class A. Tenants downsizing have vacated entirely. Class B is where the vacancy crisis is most acute, and where distressed pricing is most significant.</w:t>
      </w:r>
    </w:p>
    <w:p>
      <w:pPr>
        <w:pStyle w:val="BodyText"/>
      </w:pPr>
      <w:r>
        <w:t xml:space="preserve">Class C buildings are the oldest and most distressed, with the most deferred maintenance, the least reliable mechanical systems, and the lowest rents even before the vacancy crisis. They may require more remediation than their low acquisition price justifies.</w:t>
      </w:r>
    </w:p>
    <w:p>
      <w:pPr>
        <w:pStyle w:val="BodyText"/>
      </w:pPr>
      <w:r>
        <w:t xml:space="preserve">The MDI conversion target is Class B. The Urban Land Institute’s 2023 analysis found that distressed Class B office conversions were achievable at approximately one-sixth the cost of equivalent ground-up construction. That is not a minor cost reduction. It is the difference between a project that is fundable with an assemblyable capital stack and a project that requires a level of public subsidy that no political environment will provide.</w:t>
      </w:r>
    </w:p>
    <w:p>
      <w:pPr>
        <w:pStyle w:val="BodyText"/>
      </w:pPr>
      <w:r>
        <w:t xml:space="preserve">The Existing Infrastructure Advantage</w:t>
      </w:r>
    </w:p>
    <w:p>
      <w:pPr>
        <w:pStyle w:val="BodyText"/>
      </w:pPr>
      <w:r>
        <w:t xml:space="preserve">The cost advantage of Class B conversion comes from a simple fact: the most expensive components of a residential facility are already there. The structural frame, the concrete or steel skeleton that supports the building, is already built. The vertical infrastructure, the elevator shafts, the plumbing risers that run floor to floor, the electrical distribution system, the HVAC ductwork, is already in place. The exterior envelope, the walls, windows, and roof that protect the interior from weather, is already installed. The land is already purchased and paid for.</w:t>
      </w:r>
    </w:p>
    <w:p>
      <w:pPr>
        <w:pStyle w:val="BodyText"/>
      </w:pPr>
      <w:r>
        <w:t xml:space="preserve">What a conversion adds is the interior configuration: the partition walls that create private sleeping and living spaces, the plumbing fixtures at each room, the acoustic dampening treatments, the circadian lighting systems. These are significant costs, but they are interior costs, the kind that can be managed with standard construction techniques and standard labor markets.</w:t>
      </w:r>
    </w:p>
    <w:p>
      <w:pPr>
        <w:pStyle w:val="BodyText"/>
      </w:pPr>
      <w:r>
        <w:t xml:space="preserve">Compare this to ground-up construction: purchasing land at urban core prices, engineering a structural system, installing all vertical infrastructure from scratch, constructing an exterior envelope, and then finishing the interior. Every step of the pre-interior process has already been completed in a Class B conversion target. The ratio of one-to-six in construction costs is, if anything, conservative for premium urban locations.</w:t>
      </w:r>
    </w:p>
    <w:p>
      <w:pPr>
        <w:pStyle w:val="BodyText"/>
      </w:pPr>
      <w:r>
        <w:t xml:space="preserve">Hotel Conversions as a Special Case</w:t>
      </w:r>
    </w:p>
    <w:p>
      <w:pPr>
        <w:pStyle w:val="BodyText"/>
      </w:pPr>
      <w:r>
        <w:t xml:space="preserve">Office buildings have large, flexible floor plates but require plumbing to be added to create private rooms. Hotels have plumbing already at every room, since each room was designed around a private bathroom. This makes hotel conversions even cheaper and faster than office conversions for the residential component of MDI.</w:t>
      </w:r>
    </w:p>
    <w:p>
      <w:pPr>
        <w:pStyle w:val="BodyText"/>
      </w:pPr>
      <w:r>
        <w:t xml:space="preserve">The trade-off is floor plate size. Hotel floor plates are typically smaller and more subdivided than office floor plates, which reduces the flexibility to design the balance of communal and private space that the Dunbar Pod requires. A hotel conversion may produce more private sleeping radii per floor but less communal space. MDI tower designers converting hotels need to identify floors that can be repurposed as communal spaces, converting some rooms into open common areas, to achieve the Dunbar Pod’s balance of private and communal.</w:t>
      </w:r>
    </w:p>
    <w:p>
      <w:pPr>
        <w:pStyle w:val="BodyText"/>
      </w:pPr>
      <w:r>
        <w:t xml:space="preserve">In cities with significant distressed hotel inventory, which includes most major American cities, since the hospitality sector was severely impacted by the pandemic and subsequent shifts in travel patterns, hotel conversions are a strong complement to office conversions in the MDI infrastructure pipeline.</w:t>
      </w:r>
    </w:p>
    <w:p>
      <w:pPr>
        <w:pStyle w:val="BodyText"/>
      </w:pPr>
      <w:r>
        <w:t xml:space="preserve">Utility Classification as a Regulatory Pathway</w:t>
      </w:r>
    </w:p>
    <w:p>
      <w:pPr>
        <w:pStyle w:val="BodyText"/>
      </w:pPr>
      <w:r>
        <w:t xml:space="preserve">Zoning is the primary legal obstacle to MDI conversions, and it is a real obstacle. Most urban commercial zones do not permit residential uses by right. Most mixed-use zones impose requirements, parking minimums, affordability set-asides with complex compliance requirements, height and bulk restrictions, discretionary design review, that add years and millions of dollars to affordable housing development timelines even when the political will to approve the project exists.</w:t>
      </w:r>
    </w:p>
    <w:p>
      <w:pPr>
        <w:pStyle w:val="BodyText"/>
      </w:pPr>
      <w:r>
        <w:t xml:space="preserve">MDI proposes a different regulatory pathway: public utility classification. This is not a new legal concept. Public health infrastructure, hospitals, psychiatric facilities, water treatment plants, power substations, has historically been classified as public utility rather than as private development, and this classification grants it access to different and simpler regulatory pathways. The rationale is straightforward: essential public health infrastructure cannot be permanently blocked by the localized preferences of nearby property owners. The water treatment plant must be built even if the neighbors object. The same principle applies to MDI.</w:t>
      </w:r>
    </w:p>
    <w:p>
      <w:pPr>
        <w:pStyle w:val="BodyText"/>
      </w:pPr>
      <w:r>
        <w:t xml:space="preserve">MDI towers are clinical facilities, not apartment buildings. They provide medical stabilization, psychiatric care, clinical monitoring, and harm reduction services. They are more analogous to a psychiatric hospital with a residential component than to a market-rate apartment building. The utility classification accurately describes what they are, and it provides the regulatory pathway that allows them to be sited efficiently and built on a timeline that the scale of the problem demands.</w:t>
      </w:r>
    </w:p>
    <w:p>
      <w:pPr>
        <w:pStyle w:val="BodyText"/>
      </w:pPr>
      <w:r>
        <w:t xml:space="preserve">The Market Correction Window</w:t>
      </w:r>
    </w:p>
    <w:p>
      <w:pPr>
        <w:pStyle w:val="BodyText"/>
      </w:pPr>
      <w:r>
        <w:t xml:space="preserve">The commercial real estate market correction of the 2020s will not last indefinitely. As cities adapt to the new geography of work, as some Class B buildings are torn down, converted to other uses, or repurposed in other ways, and as commercial demand for urban space slowly recovers from its post-pandemic trough, the window of maximum distress pricing will close. The opportunity to acquire central urban buildings at one-sixth of ground-up construction cost is not a permanent feature of the market. It is a temporary condition produced by a structural disruption that the market is slowly digesting.</w:t>
      </w:r>
    </w:p>
    <w:p>
      <w:pPr>
        <w:pStyle w:val="BodyText"/>
      </w:pPr>
      <w:r>
        <w:t xml:space="preserve">Cities that move quickly to identify distressed Class B buildings, acquire them or partner with their owners for conversion, and assemble the financing to begin construction will capture this window. Cities that wait, for the perfect political moment, for the perfect community consensus, for a problem to become severe enough that no one can ignore it, will find that the distressed pricing has recovered and the construction cost advantage has narrowed or disappeared. The fiscal stewardship argument for MDI is time-sensitive in a way that the ethical and neuroscientific arguments are not.</w:t>
      </w:r>
    </w:p>
    <w:p>
      <w:r>
        <w:pict>
          <v:rect style="width:0;height:1.5pt" o:hralign="center" o:hrstd="t" o:hr="t"/>
        </w:pict>
      </w:r>
    </w:p>
    <w:bookmarkEnd w:id="43"/>
    <w:bookmarkEnd w:id="44"/>
    <w:bookmarkStart w:id="46" w:name="X8c5deda044df5e3abbde6122af13f9018b2249c"/>
    <w:p>
      <w:pPr>
        <w:pStyle w:val="Heading1"/>
      </w:pPr>
      <w:r>
        <w:t xml:space="preserve">Chapter 9: The Vertical Stabilization Tower</w:t>
      </w:r>
    </w:p>
    <w:bookmarkStart w:id="45" w:name="X01686addae2c077447133e9e49c7da7d8a1e3f4"/>
    <w:p>
      <w:pPr>
        <w:pStyle w:val="Heading2"/>
      </w:pPr>
      <w:r>
        <w:t xml:space="preserve">Chapter 9: The Vertical Stabilization Tower</w:t>
      </w:r>
    </w:p>
    <w:p>
      <w:pPr>
        <w:pStyle w:val="FirstParagraph"/>
      </w:pPr>
      <w:r>
        <w:t xml:space="preserve">Walk through the front door. There is no gate. No ID check. No intake form. No security guard demanding your name before you can enter. The ground floor is a commons, open, warm, dry, and lit at a level that is comfortable rather than institutional. There is food on a counter along one wall, available without asking. There is a row of showers with clean towels stacked beside them. There are chairs and tables, and people are sitting at them, and no one is telling them to move.</w:t>
      </w:r>
    </w:p>
    <w:p>
      <w:pPr>
        <w:pStyle w:val="BodyText"/>
      </w:pPr>
      <w:r>
        <w:t xml:space="preserve">This is the first floor of a Vertical Stabilization Tower. Its design encodes a philosophy in architecture: that the people who need this building most are the ones who have most often been turned away from buildings, and that the design of the entry must make that history irrelevant from the first moment of contact. You do not earn your way into this building. You walk in. Everything that follows is built on that foundation.</w:t>
      </w:r>
    </w:p>
    <w:p>
      <w:pPr>
        <w:pStyle w:val="BodyText"/>
      </w:pPr>
      <w:r>
        <w:t xml:space="preserve">Ground Floor — The No-Gate Commons</w:t>
      </w:r>
    </w:p>
    <w:p>
      <w:pPr>
        <w:pStyle w:val="BodyText"/>
      </w:pPr>
      <w:r>
        <w:t xml:space="preserve">The ground floor operates under a single operational principle: unconditional access. Any person can enter, receive food, use the showers, and sit for as long as they choose without being told to move or to explain themselves. No identification is required. No sobriety condition is imposed. No appointment is needed. The only interaction with staff that the ground floor initiates is the Three Ps processing, the assessment of Pets, Possessions, and Partners, which begins upon the person’s first indication that they may want to move further into the system.</w:t>
      </w:r>
    </w:p>
    <w:p>
      <w:pPr>
        <w:pStyle w:val="BodyText"/>
      </w:pPr>
      <w:r>
        <w:t xml:space="preserve">For pets: the animal is assessed for behavior and the facility is assessed for capacity. If the animal can be accommodated in the person’s assigned unit, it is. If not, it is placed in veterinary boarding managed by the facility at no cost to the person, with guaranteed access visits. The person is never asked to abandon their animal.</w:t>
      </w:r>
    </w:p>
    <w:p>
      <w:pPr>
        <w:pStyle w:val="BodyText"/>
      </w:pPr>
      <w:r>
        <w:t xml:space="preserve">For possessions: everything a person carries is carefully inventoried in their presence and transported to a secure, locked storage facility accessible to them at any time during their stay. They will not lose what they own by entering the building. In an environment where possession loss is one of the primary reasons people avoid conventional shelters, this guarantee is not incidental. It is a retention factor.</w:t>
      </w:r>
    </w:p>
    <w:p>
      <w:pPr>
        <w:pStyle w:val="BodyText"/>
      </w:pPr>
      <w:r>
        <w:t xml:space="preserve">For partners: wherever possible, partners are co-located in the same facility, and wherever possible in the same pod. The social bond of partnership is a survival asset. The system does not require people to sacrifice it in order to receive help.</w:t>
      </w:r>
    </w:p>
    <w:p>
      <w:pPr>
        <w:pStyle w:val="BodyText"/>
      </w:pPr>
      <w:r>
        <w:t xml:space="preserve">The harm reduction services serving the D-Nomadic pipeline are also located on the ground floor: clean needles, naloxone, fentanyl test strips, wound care, basic medical attention. These are available without any condition, any registration, or any interaction beyond the immediate request. The ground floor is the Anti-Detention Covenant made physical, the architectural expression of the unconditional offer.</w:t>
      </w:r>
    </w:p>
    <w:p>
      <w:pPr>
        <w:pStyle w:val="BodyText"/>
      </w:pPr>
      <w:r>
        <w:t xml:space="preserve">Phase Zero Floor — The Metabolic Stabilization Unit</w:t>
      </w:r>
    </w:p>
    <w:p>
      <w:pPr>
        <w:pStyle w:val="BodyText"/>
      </w:pPr>
      <w:r>
        <w:t xml:space="preserve">Above the commons, the Phase Zero floor is the clinical heart of the building. This is where the needs assessment occurs, where the structural fitness index matching happens, where the sleeping modules are located, and where the medical and psychiatric evaluation spaces are found.</w:t>
      </w:r>
    </w:p>
    <w:p>
      <w:pPr>
        <w:pStyle w:val="BodyText"/>
      </w:pPr>
      <w:r>
        <w:t xml:space="preserve">The sleeping modules on the Phase Zero floor are built to the full acoustic specification: STC-65 sound isolation, achieved through double-wall construction and acoustic dampening panels at all transmission points. Circadian lighting systems shift in spectrum through the day, supporting melatonin regulation and healthy sleep-wake cycles. Individual temperature control in each module allows residents to maintain the 65 to 75 degree window without depending on a shared system that someone else controls. Each module has a door that locks from the inside, giving the resident genuine physical control over who enters their space, the architectural expression of the clinical insight that restored agency is therapeutic.</w:t>
      </w:r>
    </w:p>
    <w:p>
      <w:pPr>
        <w:pStyle w:val="BodyText"/>
      </w:pPr>
      <w:r>
        <w:t xml:space="preserve">The medical and psychiatric evaluation spaces on the Phase Zero floor allow all initial clinical assessment to occur without the person leaving the building. Lab work, psychiatric evaluation, physical examination, medication management, all are accessible within the facility. This matters because the population served by Phase Zero includes people for whom navigating to a separate clinic for assessment is either logistically impossible given their cognitive state or experienced as a threatening or humiliating demand. The clinical infrastructure comes to the person.</w:t>
      </w:r>
    </w:p>
    <w:p>
      <w:pPr>
        <w:pStyle w:val="BodyText"/>
      </w:pPr>
      <w:r>
        <w:t xml:space="preserve">The Vertical Structure of Recovery</w:t>
      </w:r>
    </w:p>
    <w:p>
      <w:pPr>
        <w:pStyle w:val="BodyText"/>
      </w:pPr>
      <w:r>
        <w:t xml:space="preserve">The tower’s vertical organization reflects the clinical progression of its residents. The ground floor is the entry point, where the first human contact and the first unconditional biological provision occur. The Phase Zero floor is the most clinically intensive environment, where the neurological recovery process begins with protected sleep, reliable nutrition, and thermal stability. The residential floors above are progressively more autonomous, where the Dunbar Pod communities develop the peer relationships and democratic self-governance that characterize genuine recovery. The clinical integration floors, accessible from every residential floor without leaving the building, ensure that the progression from intensive to autonomous is supported by continuous clinical availability.</w:t>
      </w:r>
    </w:p>
    <w:p>
      <w:pPr>
        <w:pStyle w:val="BodyText"/>
      </w:pPr>
      <w:r>
        <w:t xml:space="preserve">This vertical organization is not incidental. It mirrors the clinical trajectory. A person enters at the ground floor of their recovery and moves upward as their capacity increases. The building’s structure makes that trajectory visible and real. When a person moves from the Phase Zero floor to a Dunbar Pod floor, they have physically moved upward in the building. The metaphor and the reality are the same.</w:t>
      </w:r>
    </w:p>
    <w:p>
      <w:pPr>
        <w:pStyle w:val="BodyText"/>
      </w:pPr>
      <w:r>
        <w:t xml:space="preserve">Residential Floors — The Dunbar Pods</w:t>
      </w:r>
    </w:p>
    <w:p>
      <w:pPr>
        <w:pStyle w:val="BodyText"/>
      </w:pPr>
      <w:r>
        <w:t xml:space="preserve">Above Phase Zero, the residential floors house the Dunbar Pods: self-governing communities of up to 150 residents each, with a central thermal core, common kitchen access, common social spaces, hygiene facilities, clinical service access points, and private sleeping and living radii surrounding the communal center.</w:t>
      </w:r>
    </w:p>
    <w:p>
      <w:pPr>
        <w:pStyle w:val="BodyText"/>
      </w:pPr>
      <w:r>
        <w:t xml:space="preserve">The physical configuration of each pod reflects its clinical purpose. Common spaces are positioned to maximize natural light and to create zones of social comfort that encourage informal interaction. Private sleeping radii are acoustically isolated from common spaces. The pod has a distinct identity, its own entrance from the building corridor, its own aesthetic character within the limits of the council’s authority to determine, that produces the sense of place and community ownership that social neuroscience identifies as a prerequisite for genuine community function.</w:t>
      </w:r>
    </w:p>
    <w:p>
      <w:pPr>
        <w:pStyle w:val="BodyText"/>
      </w:pPr>
      <w:r>
        <w:t xml:space="preserve">Pod governance is physically embedded in the design: a council room, small enough for genuine dialogue and participatory decision-making rather than formal presentation and passive attendance, where the pod council meets on its regular schedule to exercise the democratic authority over community life that the Sen Phase requires.</w:t>
      </w:r>
    </w:p>
    <w:p>
      <w:pPr>
        <w:pStyle w:val="BodyText"/>
      </w:pPr>
      <w:r>
        <w:t xml:space="preserve">Clinical Integration Floors</w:t>
      </w:r>
    </w:p>
    <w:p>
      <w:pPr>
        <w:pStyle w:val="BodyText"/>
      </w:pPr>
      <w:r>
        <w:t xml:space="preserve">One or more floors of the building, distributed vertically so that no Dunbar Pod floor is more than two floors from a clinical access point, are dedicated to the clinical services that residents can access without leaving the building: medical examination rooms, psychiatric consultation offices, pharmacy, nutritional support and dietary counseling, occupational therapy, and case management space for the Gardien vocational pipeline. The clinical integration floors make the tower a genuine medical facility rather than a residential building with a clinical annex attached or located elsewhere.</w:t>
      </w:r>
    </w:p>
    <w:p>
      <w:pPr>
        <w:pStyle w:val="BodyText"/>
      </w:pPr>
      <w:r>
        <w:t xml:space="preserve">This integration is a clinical requirement, not a convenience. The population on the residential floors includes people with serious chronic medical conditions, untreated diabetes, cardiovascular disease, hepatitis C, HIV, tuberculosis, dental disease at advanced stages, that have accumulated during years of street exposure without access to preventative or ongoing care. Requiring that population to navigate to a separate clinic for ongoing medical management would impose exactly the kind of logistical and cognitive burden that the MDI model is designed to eliminate. The clinic is in the building. The mountain comes to Mohammed.</w:t>
      </w:r>
    </w:p>
    <w:p>
      <w:pPr>
        <w:pStyle w:val="BodyText"/>
      </w:pPr>
      <w:r>
        <w:t xml:space="preserve">Technical Specifications in Plain Language</w:t>
      </w:r>
    </w:p>
    <w:p>
      <w:pPr>
        <w:pStyle w:val="BodyText"/>
      </w:pPr>
      <w:r>
        <w:t xml:space="preserve">The acoustic design specifications, 35 decibel maximum in sleeping areas, STC-65 sound isolation, translate into specific construction techniques: double-wall construction in which two separate wall assemblies are built with an air gap between them; resilient channel mounting for drywall that decouples the wall surface from the structural frame; acoustic dampening panels at penetrations where mechanical systems, plumbing, and corridor access would otherwise transmit sound. These are standard construction techniques in healthcare and hospitality construction. They are not exotic. They are more expensive than standard residential construction techniques, and they are required.</w:t>
      </w:r>
    </w:p>
    <w:p>
      <w:pPr>
        <w:pStyle w:val="BodyText"/>
      </w:pPr>
      <w:r>
        <w:t xml:space="preserve">The ventilation specifications, HEPA filtration, 10 outdoor air changes per hour, ASHRAE Standard 62.1, translate into mechanical system design that provides continuous fresh air filtration at a rate significantly above typical residential standards. The elevated standard is clinically justified by the population’s elevated rates of respiratory illness and immune compromise.</w:t>
      </w:r>
    </w:p>
    <w:p>
      <w:pPr>
        <w:pStyle w:val="BodyText"/>
      </w:pPr>
      <w:r>
        <w:t xml:space="preserve">The biometric access systems on residential floors are fingerprint or retinal scan systems, standard in secure commercial facilities. They are not deployed on the ground floor or any public-access area. They secure the residential floors against unauthorized entry, implementing the Defensible Space principle that controlled access to residential space reduces the predation that makes open-access environments dangerous.</w:t>
      </w:r>
    </w:p>
    <w:p>
      <w:pPr>
        <w:pStyle w:val="BodyText"/>
      </w:pPr>
      <w:r>
        <w:t xml:space="preserve">The automated maintenance systems, robotic floor scrubbers, automated HVAC purge cycles, are commercially available industrial technology, routinely deployed in warehouses, hospitals, and large commercial buildings. Their deployment in an MDI tower is an application of existing technology, not a development challenge.</w:t>
      </w:r>
    </w:p>
    <w:p>
      <w:r>
        <w:pict>
          <v:rect style="width:0;height:1.5pt" o:hralign="center" o:hrstd="t" o:hr="t"/>
        </w:pict>
      </w:r>
    </w:p>
    <w:bookmarkEnd w:id="45"/>
    <w:bookmarkEnd w:id="46"/>
    <w:bookmarkStart w:id="48" w:name="chapter-10-the-sanitation-pod"/>
    <w:p>
      <w:pPr>
        <w:pStyle w:val="Heading1"/>
      </w:pPr>
      <w:r>
        <w:t xml:space="preserve">Chapter 10: The Sanitation Pod</w:t>
      </w:r>
    </w:p>
    <w:bookmarkStart w:id="47" w:name="chapter-10-the-sanitation-pod-1"/>
    <w:p>
      <w:pPr>
        <w:pStyle w:val="Heading2"/>
      </w:pPr>
      <w:r>
        <w:t xml:space="preserve">Chapter 10: The Sanitation Pod</w:t>
      </w:r>
    </w:p>
    <w:p>
      <w:pPr>
        <w:pStyle w:val="FirstParagraph"/>
      </w:pPr>
      <w:r>
        <w:t xml:space="preserve">Before someone can enter a tower, they must be found. And before they can be found and engaged, their immediate biological needs must be met, on the street, where they are, before any relationship has been built and before any warm offer has been made. The Sanitation Pod is the first physical point of contact between the MDI system and the unsheltered population. It is the infrastructure that makes everything else possible.</w:t>
      </w:r>
    </w:p>
    <w:p>
      <w:pPr>
        <w:pStyle w:val="BodyText"/>
      </w:pPr>
      <w:r>
        <w:t xml:space="preserve">What a Sanitation Pod Is</w:t>
      </w:r>
    </w:p>
    <w:p>
      <w:pPr>
        <w:pStyle w:val="BodyText"/>
      </w:pPr>
      <w:r>
        <w:t xml:space="preserve">A Sanitation Pod is a modular, ground-level unit providing hygiene, harm reduction, nutrition, and a safe ongoing point of contact for ACT field teams. It is designed for rapid deployment to areas with high unsheltered populations without requiring connection to municipal utilities, without a permitted trench, without a utility connection agreement, without the months or years that municipal infrastructure permitting can take. It operates independently of the city’s infrastructure grid, which allows it to be sited where the population is, not where the utility hookups happen to be.</w:t>
      </w:r>
    </w:p>
    <w:p>
      <w:pPr>
        <w:pStyle w:val="BodyText"/>
      </w:pPr>
      <w:r>
        <w:t xml:space="preserve">The pod is not a toilet block with a harm reduction cart attached to it. It is a clinical contact point that provides sanitation, nutrition, and harm reduction as the initial expressions of unconditional help, with the explicit clinical purpose of building the repeated positive contact that trust requires. A person who uses the pod’s shower three times a week for six months has had dozens of interactions with a facility that has been consistently helpful without being consistently demanding. Those interactions are the foundation of whatever follows.</w:t>
      </w:r>
    </w:p>
    <w:p>
      <w:pPr>
        <w:pStyle w:val="BodyText"/>
      </w:pPr>
      <w:r>
        <w:t xml:space="preserve">Engineering Specifications</w:t>
      </w:r>
    </w:p>
    <w:p>
      <w:pPr>
        <w:pStyle w:val="BodyText"/>
      </w:pPr>
      <w:r>
        <w:t xml:space="preserve">The pod’s structural frame is hot-dip galvanized steel, resistant to the corrosion that outdoor environments produce over time. The rooftop solar array, paired with a lithium iron phosphate battery bank chosen for its chemical stability and safety over lithium cobalt oxide alternatives, provides grid-independent power generation and storage capable of sustaining three days of full operation without sunlight or grid connection. In most deployment environments, the solar array provides well over 90 percent of operating power needs, with the grid connection used primarily for battery maintenance charging during extended periods of low sunlight.</w:t>
      </w:r>
    </w:p>
    <w:p>
      <w:pPr>
        <w:pStyle w:val="BodyText"/>
      </w:pPr>
      <w:r>
        <w:t xml:space="preserve">Graywater recycling treats and reuses wash water from sinks and showers for toilet flushing, reducing fresh water consumption by approximately 40 percent. In deployment locations where water storage is limited, this recycling dramatically extends operating range between water resupply. Self-cleaning toilet and shower systems run an automated post-use cycle after each occupant, maintaining sanitary conditions without requiring manual cleaning after each use. This is essential in high-traffic deployment locations where the volume of users exceeds what a cleaning attendant could manually manage.</w:t>
      </w:r>
    </w:p>
    <w:p>
      <w:pPr>
        <w:pStyle w:val="BodyText"/>
      </w:pPr>
      <w:r>
        <w:t xml:space="preserve">Pre-cast utility channels are designed to interface with municipal water and sewer mains when available, using standard connection fittings that permit rapid connection without custom engineering. When municipal mains are not available, the channels serve as conduits for the internal storage tanks that provide autonomous operation. The transition between grid-connected and autonomous operation is automatic and does not require manual intervention.</w:t>
      </w:r>
    </w:p>
    <w:p>
      <w:pPr>
        <w:pStyle w:val="BodyText"/>
      </w:pPr>
      <w:r>
        <w:t xml:space="preserve">ASCE 7-22 structural standards apply: the pod is rated for 120 mph wind load tolerance and seismic stability appropriate to the seismic zone of deployment. The foundation system does not require excavation; the pod rests on a pad that can be placed on any level surface and can be relocated by a crane and flatbed truck if the deployment location changes. This relocatability is a design feature, not a concession to impermanence. It is a design feature that allows the pod network to be reconfigured as encampment populations shift, as the towers are built, and as the D-Nomadic cohort’s geography changes over time.</w:t>
      </w:r>
    </w:p>
    <w:p>
      <w:pPr>
        <w:pStyle w:val="BodyText"/>
      </w:pPr>
      <w:r>
        <w:t xml:space="preserve">The Pod as Harm Reduction Infrastructure</w:t>
      </w:r>
    </w:p>
    <w:p>
      <w:pPr>
        <w:pStyle w:val="BodyText"/>
      </w:pPr>
      <w:r>
        <w:t xml:space="preserve">For the D-Nomadic cohort, the sanitation pod is permanent harm reduction infrastructure, a sustained commitment to providing unconditional help to people who have chosen not to enter the tower. Clean needles, naloxone for overdose reversal, fentanyl test strips for drug supply safety testing, wound care supplies, basic over-the-counter medical supplies, and access to a nurse practitioner during scheduled visits are available without any registration requirement, any behavioral condition, or any expectation of further engagement.</w:t>
      </w:r>
    </w:p>
    <w:p>
      <w:pPr>
        <w:pStyle w:val="BodyText"/>
      </w:pPr>
      <w:r>
        <w:t xml:space="preserve">The absence of conditions is not a policy choice that reduces effectiveness. It is a prerequisite for effectiveness. Research on harm reduction programs consistently finds that conditionality, even mild conditionality, even the condition of registering a name, reduces uptake among the populations most at risk. The people most at risk of overdose, of wound infection, of transmission of communicable disease, are the people most likely to avoid conditional services. The unconditional pod reaches them.</w:t>
      </w:r>
    </w:p>
    <w:p>
      <w:pPr>
        <w:pStyle w:val="BodyText"/>
      </w:pPr>
      <w:r>
        <w:t xml:space="preserve">The Pod Network as Outreach Infrastructure</w:t>
      </w:r>
    </w:p>
    <w:p>
      <w:pPr>
        <w:pStyle w:val="BodyText"/>
      </w:pPr>
      <w:r>
        <w:t xml:space="preserve">For the B-Engageable and C-Calcified pipelines, the pod network is the physical infrastructure of the long ACT engagement timeline. Trust-building begins at the pod. An ACT team member present at a pod location on Tuesday and Thursday mornings, consistently for months, becomes a familiar face, not a government official conducting an assessment, not an institutional authority figure with power over housing, but a person who is there when the pod is being used, who learns names, who follows up on small things that were mentioned weeks earlier, who is simply reliably present.</w:t>
      </w:r>
    </w:p>
    <w:p>
      <w:pPr>
        <w:pStyle w:val="BodyText"/>
      </w:pPr>
      <w:r>
        <w:t xml:space="preserve">That reliability is the therapeutic tool. A brain that has been traumatized by institutional failure, by conditional support that was withdrawn, by promises that were not kept, by encounters with authority that produced harm, is a brain that has learned that institutions cannot be trusted. Rebuilding that trust requires evidence that is accumulated slowly over repeated interactions. The pod provides the setting for those interactions to accumulate at the pace the person’s history requires.</w:t>
      </w:r>
    </w:p>
    <w:p>
      <w:pPr>
        <w:pStyle w:val="BodyText"/>
      </w:pPr>
      <w:r>
        <w:t xml:space="preserve">The pod is placed where the population is. This is not simply a logistical consideration. It is a clinical principle: the engagement that leads to tower admission must begin in the territory of the person being engaged, not in the territory of the institution making the offer. A person who has been sleeping under the 6th Street Bridge for three years has a relationship with that location, a set of social relationships, routines, and orientations to space, that makes that location meaningful and real in ways that a service office downtown is not. The pod comes to them. That is the first evidence that this system is different.</w:t>
      </w:r>
    </w:p>
    <w:p>
      <w:r>
        <w:pict>
          <v:rect style="width:0;height:1.5pt" o:hralign="center" o:hrstd="t" o:hr="t"/>
        </w:pict>
      </w:r>
    </w:p>
    <w:bookmarkEnd w:id="47"/>
    <w:bookmarkEnd w:id="48"/>
    <w:bookmarkStart w:id="50" w:name="X6e96b47074450e65e7c313935de0bffed2361e6"/>
    <w:p>
      <w:pPr>
        <w:pStyle w:val="Heading1"/>
      </w:pPr>
      <w:r>
        <w:t xml:space="preserve">Chapter 11: Dunbar’s Number and the Science of Community</w:t>
      </w:r>
    </w:p>
    <w:bookmarkStart w:id="49" w:name="Xa7541d3eaaf0d597f1fc6b8c9fa0a205fa4ac4a"/>
    <w:p>
      <w:pPr>
        <w:pStyle w:val="Heading2"/>
      </w:pPr>
      <w:r>
        <w:t xml:space="preserve">Chapter 11: Dunbar’s Number and the Science of Community</w:t>
      </w:r>
    </w:p>
    <w:p>
      <w:pPr>
        <w:pStyle w:val="FirstParagraph"/>
      </w:pPr>
      <w:r>
        <w:t xml:space="preserve">In the 1990s, British anthropologist Robin Dunbar published a series of papers that would become one of the most widely cited findings in social neuroscience. Dunbar was studying the relationship between the neocortex volume of different primate species and the average social group size that those species maintained in the wild. His hypothesis was that larger neocortices had evolved not primarily to solve ecological or tool-use problems, but to manage the cognitive demands of complex social living, tracking who is allied with whom, who has reciprocal obligations to whom, who can be trusted and under what circumstances, and how to navigate the constantly shifting landscape of social relationships within a group.</w:t>
      </w:r>
    </w:p>
    <w:p>
      <w:pPr>
        <w:pStyle w:val="BodyText"/>
      </w:pPr>
      <w:r>
        <w:t xml:space="preserve">His finding: the human neocortex can maintain stable, functional social relationships with approximately 150 people. This number, now widely known as Dunbar’s Number, has been replicated and refined by studies of military units, where companies of approximately 150 are the universal organizational unit across cultures and time periods; of hunter-gatherer bands, which consistently cluster around 100 to 200 individuals; of medieval English villages, whose average size was approximately 150 households; and of modern organizational structures, where companies consistently find that divisions of approximately 150 maintain significantly better cohesion and communication than larger units.</w:t>
      </w:r>
    </w:p>
    <w:p>
      <w:pPr>
        <w:pStyle w:val="BodyText"/>
      </w:pPr>
      <w:r>
        <w:t xml:space="preserve">It appears to be a real feature of human social cognition, not a cultural convention, not an arbitrary administrative choice, but a biological constraint on how many active social relationships a single human brain can track with the depth required for trust, accountability, and community.</w:t>
      </w:r>
    </w:p>
    <w:p>
      <w:pPr>
        <w:pStyle w:val="BodyText"/>
      </w:pPr>
      <w:r>
        <w:t xml:space="preserve">The Cognitive Basis of Community</w:t>
      </w:r>
    </w:p>
    <w:p>
      <w:pPr>
        <w:pStyle w:val="BodyText"/>
      </w:pPr>
      <w:r>
        <w:t xml:space="preserve">What does it mean to maintain a stable social relationship? It means knowing the other person well enough to have genuine expectations of them, expectations about their behavior in specific situations, their values, their history, their social alliances. It means having enough shared history that conflict can be contextualized and resolved. It means being known by the other person in the same way, so that there is mutual accountability.</w:t>
      </w:r>
    </w:p>
    <w:p>
      <w:pPr>
        <w:pStyle w:val="BodyText"/>
      </w:pPr>
      <w:r>
        <w:t xml:space="preserve">This kind of knowledge requires active memory. The brain must maintain a model of each social relationship, not just a name and a face, but a rich representation of history, behavior patterns, alliances, and obligations. Maintaining 150 such models is approximately what the human prefrontal cortex can hold in active social memory. Beyond that number, the representations become thinner. Names are attached to faces but not to histories. Behavioral expectations become generalized rather than specific. Accountability becomes diffuse.</w:t>
      </w:r>
    </w:p>
    <w:p>
      <w:pPr>
        <w:pStyle w:val="BodyText"/>
      </w:pPr>
      <w:r>
        <w:t xml:space="preserve">The consequences of exceeding this limit are predictable from the neuroscience alone, and they are confirmed by research on large organizations and large communities. Anonymity increases because individuals cannot know all their neighbors well enough to have genuine expectations of them. Social accountability decreases because accountability requires the specific knowledge of the other person that anonymity prevents. Conflict rates rise because conflict resolution depends on shared history and mutual understanding that large-group anonymity erodes. Prosocial behavior, helping, sharing, voluntary cooperation, declines because its enforcement mechanism, reputation within a community of people who know you, weakens as the community grows too large for anyone to track everyone’s reputation.</w:t>
      </w:r>
    </w:p>
    <w:p>
      <w:pPr>
        <w:pStyle w:val="BodyText"/>
      </w:pPr>
      <w:r>
        <w:t xml:space="preserve">The Megashelter Contraindication</w:t>
      </w:r>
    </w:p>
    <w:p>
      <w:pPr>
        <w:pStyle w:val="BodyText"/>
      </w:pPr>
      <w:r>
        <w:t xml:space="preserve">The MDI model uses the term megashelter contraindication for the clinical principle that follows directly from Dunbar’s research: large congregate facilities, facilities that house significantly more than 150 people in a single community, are clinically contraindicated for the population experiencing chronic homelessness, because they exceed the neurological limit that makes community possible.</w:t>
      </w:r>
    </w:p>
    <w:p>
      <w:pPr>
        <w:pStyle w:val="BodyText"/>
      </w:pPr>
      <w:r>
        <w:t xml:space="preserve">Every large emergency shelter in America exceeds Dunbar’s Number. Many exceed it by a factor of three or four. The gymnasium-scale facility with 300 or 400 beds is not simply a large community. It is a social environment that the human neocortex cannot process as a community. The brains of the people living in it cannot maintain the social tracking that trust, accountability, and safety require. What results is the social environment documented consistently in large shelter research: high rates of violence, high rates of theft, high rates of staff-resident conflict, low rates of treatment engagement, and low rates of positive outcome. This is not an implementation failure. It is the predictable neurological outcome of building above the biological limit.</w:t>
      </w:r>
    </w:p>
    <w:p>
      <w:pPr>
        <w:pStyle w:val="BodyText"/>
      </w:pPr>
      <w:r>
        <w:t xml:space="preserve">The megashelter does not simply fail to produce recovery. It actively maintains the conditions that prevent recovery, because the social environment it produces, high anonymity, low accountability, high threat density, is neurologically similar to the street environment that produced the damage in the first place. A new roof does not change a social environment that remains above the Dunbar threshold.</w:t>
      </w:r>
    </w:p>
    <w:p>
      <w:pPr>
        <w:pStyle w:val="BodyText"/>
      </w:pPr>
      <w:r>
        <w:t xml:space="preserve">The Dunbar Pod Structure</w:t>
      </w:r>
    </w:p>
    <w:p>
      <w:pPr>
        <w:pStyle w:val="BodyText"/>
      </w:pPr>
      <w:r>
        <w:t xml:space="preserve">The Dunbar Pod is the architectural response to this clinical finding. It is the largest community unit the MDI system allows, capped at 150 residents, and within it, residents have enough social density to know their neighbors, enough shared governance to build mutual accountability, and enough community continuity for the cohesion anchors to do their clinical work.</w:t>
      </w:r>
    </w:p>
    <w:p>
      <w:pPr>
        <w:pStyle w:val="BodyText"/>
      </w:pPr>
      <w:r>
        <w:t xml:space="preserve">The minimum pod size, 12 residents, is set at the lower limit where community social dynamics, as opposed to intimate group dynamics, begin to apply. A group of 5 or 6 people functions as a family unit; its social dynamics are qualitatively different from a community of 50 or 100. The Dunbar Pod is designed to be a community, not a family, because the peer support, peer accountability, and community governance that drive recovery require community-scale social dynamics.</w:t>
      </w:r>
    </w:p>
    <w:p>
      <w:pPr>
        <w:pStyle w:val="BodyText"/>
      </w:pPr>
      <w:r>
        <w:t xml:space="preserve">Within the 12 to 150 range, the actual size of any individual pod is determined by the structural assignment metric: the algorithmic index that matches residents to environments based on volatility indicators, cohesion markers, cultural compatibility, and clinical need. A pod serving primarily B-Engageable residents with strong social bonds and moderate cohesion propensity might be comfortable and therapeutically optimal at 80 to 100 residents. A pod that includes residents with higher volatility indicators, more fragile social capacity, or more recent Phase Zero clearance might be better sized at 30 to 40 residents, where the social density is high enough for genuine community but not so high that the pod exceeds the management capacity of the available cohesion anchors.</w:t>
      </w:r>
    </w:p>
    <w:p>
      <w:pPr>
        <w:pStyle w:val="BodyText"/>
      </w:pPr>
      <w:r>
        <w:t xml:space="preserve">Cohesion Anchors</w:t>
      </w:r>
    </w:p>
    <w:p>
      <w:pPr>
        <w:pStyle w:val="BodyText"/>
      </w:pPr>
      <w:r>
        <w:t xml:space="preserve">Within every Dunbar Pod, the MDI model requires a minimum of three cohesion anchors: long-term residents who demonstrate high cohesion propensity, the capacity to model emotional regulation, maintain positive relationships with a broad range of pod members, and hold informal community norms without requiring staff enforcement. Cohesion anchors are not staff members. They are residents. Their role is informal and voluntary. But their presence is a clinical requirement, because without them the community lacks the stable, trusted modeling that social neuroscience consistently identifies as the primary predictor of community cohesion and stability.</w:t>
      </w:r>
    </w:p>
    <w:p>
      <w:pPr>
        <w:pStyle w:val="BodyText"/>
      </w:pPr>
      <w:r>
        <w:t xml:space="preserve">What makes a cohesion anchor? Primarily, a history in the pod long enough that the person is known and trusted by a significant fraction of its members; a demonstrated pattern of prosocial behavior and conflict de-escalation; and a degree of emotional stability that allows them to maintain positive relationships across the stresses that any community experiences. The anchor ratio must be continuously monitored and maintained. When a long-term resident leaves, whether through successful transition to independent housing or through any other departure, the system flags the anchor ratio and triggers a review of pod composition before the ratio falls below the clinical minimum. A pod that is losing cohesion anchors faster than they are developing is a pod at clinical risk, regardless of how the other metrics are trending.</w:t>
      </w:r>
    </w:p>
    <w:p>
      <w:pPr>
        <w:pStyle w:val="BodyText"/>
      </w:pPr>
      <w:r>
        <w:t xml:space="preserve">Pod Governance and the Dialectical Diffusion Protocol</w:t>
      </w:r>
    </w:p>
    <w:p>
      <w:pPr>
        <w:pStyle w:val="BodyText"/>
      </w:pPr>
      <w:r>
        <w:t xml:space="preserve">The Dunbar Pod is self-governed by residents, with staff support but not staff authority over community decisions. Each pod has a pod council, a rotating group of residents who collectively set the norms, resolve disputes, and make decisions about community life. The pod council receives support and guidance from clinical staff, but the authority for day-to-day community governance rests with the residents themselves. This is the Sen Phase in practice: the exercise of genuine democratic agency within a human-scale community, building exactly the executive function capacities, planning, negotiation, perspective-taking, deferred gratification, that chronic street exposure has degraded.</w:t>
      </w:r>
    </w:p>
    <w:p>
      <w:pPr>
        <w:pStyle w:val="BodyText"/>
      </w:pPr>
      <w:r>
        <w:t xml:space="preserve">The Dialectical Diffusion Protocol governs what happens when conflict arises within a pod. The sequencing is deliberate and clinically justified. First, horizontal mediation: residents, supported by pod council members, attempt to resolve the conflict within the community using established norms and the relationships that community living has built. This is the preferred resolution and succeeds in the majority of cases. If horizontal mediation fails, space de-escalation, a different space within the pod or building, is offered as a de-escalation measure. If space de-escalation fails, resource de-linkage reduces non-essential points of friction. Only after all of these have been exhausted and failed is a vertical shift, a 72-hour temporary relocation within the building, considered. Permanent exclusion from the building is not a tool in this protocol.</w:t>
      </w:r>
    </w:p>
    <w:p>
      <w:pPr>
        <w:pStyle w:val="BodyText"/>
      </w:pPr>
      <w:r>
        <w:t xml:space="preserve">The Gardien vocational pathway, from Stabilized Resident through Cafe Steward, Pod Steward Trainee, and Certified Peer Support Specialist, operates within and through the Dunbar Pod structure. At each tier, participation is voluntary and housing tenure is unconditional. The pathway builds on community relationships and pod-level trust, uses the pod as the laboratory for practicing the peer support skills that the credential eventually formalizes, and produces its graduates as the community’s most qualified potential cohesion anchors.</w:t>
      </w:r>
    </w:p>
    <w:p>
      <w:r>
        <w:pict>
          <v:rect style="width:0;height:1.5pt" o:hralign="center" o:hrstd="t" o:hr="t"/>
        </w:pict>
      </w:r>
    </w:p>
    <w:bookmarkEnd w:id="49"/>
    <w:bookmarkEnd w:id="50"/>
    <w:bookmarkStart w:id="52" w:name="X12d1e311b7df98d56fb5391b9d555ca10876637"/>
    <w:p>
      <w:pPr>
        <w:pStyle w:val="Heading1"/>
      </w:pPr>
      <w:r>
        <w:t xml:space="preserve">Chapter 12: Automated Maintenance and Human Dignity</w:t>
      </w:r>
    </w:p>
    <w:bookmarkStart w:id="51" w:name="X9f2b6409f56f3bf4aa18004cc650df82570a971"/>
    <w:p>
      <w:pPr>
        <w:pStyle w:val="Heading2"/>
      </w:pPr>
      <w:r>
        <w:t xml:space="preserve">Chapter 12: Automated Maintenance and Human Dignity</w:t>
      </w:r>
    </w:p>
    <w:p>
      <w:pPr>
        <w:pStyle w:val="FirstParagraph"/>
      </w:pPr>
      <w:r>
        <w:t xml:space="preserve">In most emergency shelters, residents are assigned chores. The assignment is practical: a large facility cannot maintain basic sanitation without a workforce, and residents are the available workforce. The expectation seems reasonable on its surface. Residents should participate in maintaining the space they share.</w:t>
      </w:r>
    </w:p>
    <w:p>
      <w:pPr>
        <w:pStyle w:val="BodyText"/>
      </w:pPr>
      <w:r>
        <w:t xml:space="preserve">But examine what the expectation actually requires. Reliable chore completion requires: the working memory to hold the chore assignment in mind across the competing cognitive demands of a chaotic social environment; the executive planning capacity to sequence the steps of a cleaning task; the emotional regulation to engage with the task calmly when interrupted, criticized, or fatigued; and the time orientation to show up for the chore at the scheduled time on the scheduled day, even when sleep has been fragmented and circadian rhythms have been disrupted.</w:t>
      </w:r>
    </w:p>
    <w:p>
      <w:pPr>
        <w:pStyle w:val="BodyText"/>
      </w:pPr>
      <w:r>
        <w:t xml:space="preserve">These are functions of the dorsolateral and ventromedial prefrontal cortex. They are exactly the functions that chronic cortisol exposure damages, that sleep deprivation impairs, and that the metabolic deficits of street exposure degrade. The shelter is imposing a compliance requirement on the cognitive system that the street has specifically damaged.</w:t>
      </w:r>
    </w:p>
    <w:p>
      <w:pPr>
        <w:pStyle w:val="BodyText"/>
      </w:pPr>
      <w:r>
        <w:t xml:space="preserve">The predictable result is exactly what is documented across emergency shelter research: a significant fraction of residents fail to complete chore assignments reliably, not because they are lazy or indifferent, but because their brains cannot yet reliably perform the cognitive tasks required. These residents then face disciplinary consequences, warnings, restrictions, eventual exclusion, which add institutional stress to the neurological burden they are already carrying, compounding the cortisol load that is already impairing the cognitive function the chore requirement depends on.</w:t>
      </w:r>
    </w:p>
    <w:p>
      <w:pPr>
        <w:pStyle w:val="BodyText"/>
      </w:pPr>
      <w:r>
        <w:t xml:space="preserve">The punitive chore compliance system is a negative feedback loop. It fails specifically in those residents who most need to be there, imposes penalties that worsen the neurological state of those residents, and ultimately produces the exclusions that return the most damaged people to the street.</w:t>
      </w:r>
    </w:p>
    <w:p>
      <w:pPr>
        <w:pStyle w:val="BodyText"/>
      </w:pPr>
      <w:r>
        <w:t xml:space="preserve">The Automated Maintenance Alternative</w:t>
      </w:r>
    </w:p>
    <w:p>
      <w:pPr>
        <w:pStyle w:val="BodyText"/>
      </w:pPr>
      <w:r>
        <w:t xml:space="preserve">The MDI model eliminates this system by taking the cognitive burden of sanitation maintenance off residents entirely. Robotic floor-cleaning systems, the same Autonomous Mobile Robot scrubbers deployed in commercial warehouses, distribution centers, large hospitals, and airport terminals, operate on programmed schedules, maintaining floor cleanliness continuously without requiring human direction or compliance. Automated HVAC purge cycles run on defined intervals determined by air quality monitoring, maintaining interior air quality through mechanical means rather than through the management of human behavior.</w:t>
      </w:r>
    </w:p>
    <w:p>
      <w:pPr>
        <w:pStyle w:val="BodyText"/>
      </w:pPr>
      <w:r>
        <w:t xml:space="preserve">The bio-load metric and air quality index serve as objective triggers for automated deployment. When the air quality index drops below a specified threshold, indicating elevated particulate matter, elevated CO2 from overcrowding, or other air quality degradation, the HVAC purge cycle activates automatically. When the bio-load metric, a sensor-based measure of organic contamination on floor surfaces, exceeds its threshold, the robotic scrubbers deploy. These are engineering triggers. They do not depend on a staff member deciding that the floor is dirty enough to clean, or a resident remembering that today is their assigned cleaning day.</w:t>
      </w:r>
    </w:p>
    <w:p>
      <w:pPr>
        <w:pStyle w:val="BodyText"/>
      </w:pPr>
      <w:r>
        <w:t xml:space="preserve">The fail-safe design principle applies without exception: if the telemetry system is corrupted or provides ambiguous or out-of-range data, the system defaults to purge rather than standby. In a clinical facility, the conservative default is always toward cleanliness. A clinical environment that skips maintenance cycles because the sensors are malfunctioning is a clinical environment that is deprioritizing patient health for operational convenience. The MDI design does not permit that trade-off.</w:t>
      </w:r>
    </w:p>
    <w:p>
      <w:pPr>
        <w:pStyle w:val="BodyText"/>
      </w:pPr>
      <w:r>
        <w:t xml:space="preserve">Staffing Reallocation and Therapeutic Gain</w:t>
      </w:r>
    </w:p>
    <w:p>
      <w:pPr>
        <w:pStyle w:val="BodyText"/>
      </w:pPr>
      <w:r>
        <w:t xml:space="preserve">The operational consequence of automating facility maintenance is a fundamental reallocation of staff time. In a conventionally managed shelter, a significant portion of staff energy, and a disproportionately large portion of the interpersonal friction between staff and residents, is generated by sanitation enforcement: monitoring compliance, issuing warnings, managing conflicts that arise from compliance disputes, processing the documentation associated with disciplinary procedures. Staff members who entered the work because they wanted to support vulnerable people find themselves spending hours each week in adversarial enforcement interactions with the people they are trying to help.</w:t>
      </w:r>
    </w:p>
    <w:p>
      <w:pPr>
        <w:pStyle w:val="BodyText"/>
      </w:pPr>
      <w:r>
        <w:t xml:space="preserve">In an MDI tower where sanitation is automated, that time is not freed for administrative work. It is freed for therapeutic engagement, for the patient, sustained, relationship-building conversations that produce the trust that the warm offer requires, the clinical monitoring that metabolic clearance depends on, and the peer support facilitation that the Dunbar Pod’s governance structure needs.</w:t>
      </w:r>
    </w:p>
    <w:p>
      <w:pPr>
        <w:pStyle w:val="BodyText"/>
      </w:pPr>
      <w:r>
        <w:t xml:space="preserve">The Gardien stewards, Cafe Stewards and Pod Steward Trainees, who take on voluntary facility roles within the pod operate in a qualitatively different relationship to the facility’s cleanliness than a chore-assigned resident would. They have chosen a role. They are contributing, not complying. The relationship to the shared environment that choice creates is a therapeutic outcome in itself, the experience of being a contributing member of a community that cares about its shared space.</w:t>
      </w:r>
    </w:p>
    <w:p>
      <w:pPr>
        <w:pStyle w:val="BodyText"/>
      </w:pPr>
      <w:r>
        <w:t xml:space="preserve">The Dignity Principle as Clinical Specification</w:t>
      </w:r>
    </w:p>
    <w:p>
      <w:pPr>
        <w:pStyle w:val="BodyText"/>
      </w:pPr>
      <w:r>
        <w:t xml:space="preserve">The argument for automated maintenance can be made entirely on grounds of operational efficiency and clinical outcome, and that argument is compelling. But there is a deeper argument that is worth making explicitly, because it reflects a fundamental design commitment that distinguishes MDI from every other model currently in operation.</w:t>
      </w:r>
    </w:p>
    <w:p>
      <w:pPr>
        <w:pStyle w:val="BodyText"/>
      </w:pPr>
      <w:r>
        <w:t xml:space="preserve">A clean environment is not a reward. It is not earned by meeting a standard of compliance. It is not contingent on behavior. A clean environment is a clinical specification, an environmental condition that is required for neurological recovery, in exactly the same way that acoustic isolation and thermal stability are required for neurological recovery. You cannot recover in a dirty environment any more than you can recover in a noisy one. The relationship between environmental quality and physiological recovery is not one of reward and compliance. It is one of input and output. The clean environment is an input. The neurological recovery is the output. Remove the input and the output does not occur.</w:t>
      </w:r>
    </w:p>
    <w:p>
      <w:pPr>
        <w:pStyle w:val="BodyText"/>
      </w:pPr>
      <w:r>
        <w:t xml:space="preserve">This reframes what it means to clean an MDI tower. The robotic scrubbers are not a housekeeper service provided for the comfort of residents. They are a clinical intervention, the maintenance of an environmental specification required to produce the neurological outcomes the facility is designed to produce. Framing them as an amenity misunderstands their function. Framing them as a dignity provision is closer to the truth but still incomplete. They are, in the most precise language available, a component of the clinical protocol.</w:t>
      </w:r>
    </w:p>
    <w:p>
      <w:r>
        <w:pict>
          <v:rect style="width:0;height:1.5pt" o:hralign="center" o:hrstd="t" o:hr="t"/>
        </w:pict>
      </w:r>
    </w:p>
    <w:bookmarkEnd w:id="51"/>
    <w:bookmarkEnd w:id="52"/>
    <w:bookmarkStart w:id="53" w:name="unit-four-the-human-pipeline"/>
    <w:p>
      <w:pPr>
        <w:pStyle w:val="Heading1"/>
      </w:pPr>
      <w:r>
        <w:t xml:space="preserve">Unit Four — The Human Pipeline</w:t>
      </w:r>
    </w:p>
    <w:p>
      <w:r>
        <w:pict>
          <v:rect style="width:0;height:1.5pt" o:hralign="center" o:hrstd="t" o:hr="t"/>
        </w:pict>
      </w:r>
    </w:p>
    <w:bookmarkEnd w:id="53"/>
    <w:bookmarkStart w:id="55" w:name="Xa65f0d1a9a97c5fe7b522da164b0af921f2729f"/>
    <w:p>
      <w:pPr>
        <w:pStyle w:val="Heading1"/>
      </w:pPr>
      <w:r>
        <w:t xml:space="preserve">Chapter 13: Field Engagement and the Warm Offer</w:t>
      </w:r>
    </w:p>
    <w:bookmarkStart w:id="54" w:name="X1b98da3dec55f542f5855ba045c36114dfb3922"/>
    <w:p>
      <w:pPr>
        <w:pStyle w:val="Heading2"/>
      </w:pPr>
      <w:r>
        <w:t xml:space="preserve">Chapter 13: Field Engagement and the Warm Offer</w:t>
      </w:r>
    </w:p>
    <w:p>
      <w:pPr>
        <w:pStyle w:val="FirstParagraph"/>
      </w:pPr>
      <w:r>
        <w:t xml:space="preserve">It takes, on average, 12 to 18 months of sustained, non-coercive presence before a chronically unsheltered person with serious psychiatric history will accept an offer of housing. This is not stubbornness. It is not a character defect. It is not evidence that the person does not want shelter or does not understand their situation. It is the rational response of a person whose prior experiences with institutions have been consistently harmful, whose conditional support has previously been withdrawn without warning, who has been arrested for survival behaviors that the institution criminalized, who has been placed in facilities that were violent and dehumanizing and that betrayed every promise made at the door, and who has accumulated across years of such experiences a body of evidence that institutions cannot be trusted and that offers of help from institutions should be treated with extreme caution.</w:t>
      </w:r>
    </w:p>
    <w:p>
      <w:pPr>
        <w:pStyle w:val="BodyText"/>
      </w:pPr>
      <w:r>
        <w:t xml:space="preserve">The 12 to 18 month engagement timeline is not a system failure. It is the clinically realistic timeline for what it takes to rebuild enough trust to make a genuine offer genuinely credible. Outreach programs that expect acceptance within weeks of initial contact and interpret extended refusal as non-compliance or irrationality are misreading the clinical situation. They are encountering rational responses to a rational assessment, and calling the assessment irrational because it is inconvenient.</w:t>
      </w:r>
    </w:p>
    <w:p>
      <w:pPr>
        <w:pStyle w:val="BodyText"/>
      </w:pPr>
      <w:r>
        <w:t xml:space="preserve">What ACT Teams Are</w:t>
      </w:r>
    </w:p>
    <w:p>
      <w:pPr>
        <w:pStyle w:val="BodyText"/>
      </w:pPr>
      <w:r>
        <w:t xml:space="preserve">Assertive Community Treatment is a model of psychiatric care developed in the 1970s by Leonard Stein and Mary Ann Test in Madison, Wisconsin, specifically for people with serious mental illness who had not been served effectively by clinic-based services. The key innovation of ACT was taking the clinical team into the community rather than requiring the patient to come to the clinic. The same logic applies to MDI field engagement with urgency: the population that needs to be reached by outreach is specifically the population that does not and cannot navigate to a clinic, an office, or a service location. The clinical team goes to them.</w:t>
      </w:r>
    </w:p>
    <w:p>
      <w:pPr>
        <w:pStyle w:val="BodyText"/>
      </w:pPr>
      <w:r>
        <w:t xml:space="preserve">ACT teams operating in the MDI field engagement context are multidisciplinary: a psychiatrist who can make clinical assessments and, when necessary, initiate legal proceedings; a nurse who can provide physical health assessment and wound care; a social worker who manages the logistical and systems-navigation dimensions of the engagement; and peer support specialists, people with lived experience of homelessness or serious psychiatric illness, who are often the most effective initial point of contact precisely because they are not perceived as authority figures.</w:t>
      </w:r>
    </w:p>
    <w:p>
      <w:pPr>
        <w:pStyle w:val="BodyText"/>
      </w:pPr>
      <w:r>
        <w:t xml:space="preserve">The caseload ratio is deliberately low: no more than 10 to 12 individuals per team member. This is not a staffing luxury. It is a clinical requirement. The relationship depth required to successfully navigate the 12 to 18 month engagement timeline, to map a person’s survival network accurately, to understand the specific history of institutional failures that produced their rational distrust, and to make an offer that is credible enough to accept, cannot be achieved with a caseload of 40 or 80. It requires sustained, individualized attention over an extended period.</w:t>
      </w:r>
    </w:p>
    <w:p>
      <w:pPr>
        <w:pStyle w:val="BodyText"/>
      </w:pPr>
      <w:r>
        <w:t xml:space="preserve">Survival Network Mapping as Clinical Prerequisite</w:t>
      </w:r>
    </w:p>
    <w:p>
      <w:pPr>
        <w:pStyle w:val="BodyText"/>
      </w:pPr>
      <w:r>
        <w:t xml:space="preserve">One of the most consequential and most commonly made errors in conventional outreach is the treatment of unsheltered people as isolated individuals to be extracted from their environments and inserted into institutional settings, when they are in fact embedded members of survival networks, webs of relationship with other unsheltered people that provide mutual protection, resource sharing, early warning of danger, and the social connection that is itself a biological necessity.</w:t>
      </w:r>
    </w:p>
    <w:p>
      <w:pPr>
        <w:pStyle w:val="BodyText"/>
      </w:pPr>
      <w:r>
        <w:t xml:space="preserve">Disrupting a survival network by extracting one member while leaving the others in place does not help the extracted person. It removes the only stable social foundation they have without providing an adequate replacement, and it predictably produces the loneliness, disorientation, and eventual re-exit that observers then interpret as evidence that the person was not ready for housing or did not want help. The person was ready for housing. They were not ready to be isolated.</w:t>
      </w:r>
    </w:p>
    <w:p>
      <w:pPr>
        <w:pStyle w:val="BodyText"/>
      </w:pPr>
      <w:r>
        <w:t xml:space="preserve">Survival network mapping, the systematic documentation of who a person is connected to, what roles those connections play in their daily survival, and which connections might be preserved or co-located within the MDI tower, is a clinical prerequisite for any warm offer in the MDI model. The ACT team must understand the network before making the offer, because the offer must include a plan for the network wherever possible. A warm offer that says</w:t>
      </w:r>
      <w:r>
        <w:t xml:space="preserve"> </w:t>
      </w:r>
      <w:r>
        <w:t xml:space="preserve">“</w:t>
      </w:r>
      <w:r>
        <w:t xml:space="preserve">you can come to the tower and your survival partner of three years can also come</w:t>
      </w:r>
      <w:r>
        <w:t xml:space="preserve">”</w:t>
      </w:r>
      <w:r>
        <w:t xml:space="preserve"> </w:t>
      </w:r>
      <w:r>
        <w:t xml:space="preserve">is qualitatively different from a warm offer that says</w:t>
      </w:r>
      <w:r>
        <w:t xml:space="preserve"> </w:t>
      </w:r>
      <w:r>
        <w:t xml:space="preserve">“</w:t>
      </w:r>
      <w:r>
        <w:t xml:space="preserve">you can come to the tower but we cannot accommodate your partner.</w:t>
      </w:r>
      <w:r>
        <w:t xml:space="preserve">”</w:t>
      </w:r>
      <w:r>
        <w:t xml:space="preserve"> </w:t>
      </w:r>
      <w:r>
        <w:t xml:space="preserve">The former is credible. The latter asks a person to make a sacrifice that no one without a secure alternative would voluntarily make.</w:t>
      </w:r>
    </w:p>
    <w:p>
      <w:pPr>
        <w:pStyle w:val="BodyText"/>
      </w:pPr>
      <w:r>
        <w:t xml:space="preserve">Cultural and Linguistic Competency as Hard Prerequisite</w:t>
      </w:r>
    </w:p>
    <w:p>
      <w:pPr>
        <w:pStyle w:val="BodyText"/>
      </w:pPr>
      <w:r>
        <w:t xml:space="preserve">The ALMU-OS system enforces a hard prerequisite on ACT engagement: the cultural competency status of the assigned ACT worker must match the cultural and linguistic baseline of the person being engaged before the formal engagement timeline is initiated. If no culturally matched worker is available, the engagement timeline does not start.</w:t>
      </w:r>
    </w:p>
    <w:p>
      <w:pPr>
        <w:pStyle w:val="BodyText"/>
      </w:pPr>
      <w:r>
        <w:t xml:space="preserve">This is enforced in code, not as a recommendation. The rationale is clinical: trust-building across a significant cultural or linguistic mismatch is not impossible, but it is dramatically slower, less reliable, and more prone to miscommunication than trust-building within a cultural match. In an engagement process where every month of delay represents continued neurological damage on the street, the cost of proceeding without a cultural match, measured in additional months of exposure, is too high to accept.</w:t>
      </w:r>
    </w:p>
    <w:p>
      <w:pPr>
        <w:pStyle w:val="BodyText"/>
      </w:pPr>
      <w:r>
        <w:t xml:space="preserve">Cultural match does not mean ethnic or national match necessarily. It means a worker who has enough understanding of the person’s cultural background, language, and community’s relationship with social services to engage with genuine awareness and genuine respect. A Puerto Rican social worker who grew up in the Bronx may be a stronger cultural match for a Cuban-American encampment resident than a Cuban-American worker who grew up in the suburbs and has no direct experience with the community’s relationship to urban services. The system’s cultural assessment protocol captures the relevant dimensions and makes the matching determination based on them, not on demographic proxies.</w:t>
      </w:r>
    </w:p>
    <w:p>
      <w:pPr>
        <w:pStyle w:val="BodyText"/>
      </w:pPr>
      <w:r>
        <w:t xml:space="preserve">The Warm Offer as Clinical Transaction</w:t>
      </w:r>
    </w:p>
    <w:p>
      <w:pPr>
        <w:pStyle w:val="BodyText"/>
      </w:pPr>
      <w:r>
        <w:t xml:space="preserve">When all elements of the preparation are in place, the engagement timeline has been built, the survival network has been mapped, the unit has been pre-matched, the cultural match is confirmed, and the person has reached the point of engagement readiness, the warm offer is made. It is made in person, on the person’s territory, at a time of their choosing. It is not made in an office. It is not mailed or phoned. It is delivered by the ACT worker who has been present for the months of trust-building that preceded it.</w:t>
      </w:r>
    </w:p>
    <w:p>
      <w:pPr>
        <w:pStyle w:val="BodyText"/>
      </w:pPr>
      <w:r>
        <w:t xml:space="preserve">The offer is specific. Not</w:t>
      </w:r>
      <w:r>
        <w:t xml:space="preserve"> </w:t>
      </w:r>
      <w:r>
        <w:t xml:space="preserve">“</w:t>
      </w:r>
      <w:r>
        <w:t xml:space="preserve">there is housing available if you want it</w:t>
      </w:r>
      <w:r>
        <w:t xml:space="preserve">”</w:t>
      </w:r>
      <w:r>
        <w:t xml:space="preserve"> </w:t>
      </w:r>
      <w:r>
        <w:t xml:space="preserve">but</w:t>
      </w:r>
      <w:r>
        <w:t xml:space="preserve"> </w:t>
      </w:r>
      <w:r>
        <w:t xml:space="preserve">“</w:t>
      </w:r>
      <w:r>
        <w:t xml:space="preserve">there is a unit in the building on 6th Street, your partner Maria can be co-located, your dog can come in-unit, everything you own will be stored safely, and we can go today if you want.</w:t>
      </w:r>
      <w:r>
        <w:t xml:space="preserve">”</w:t>
      </w:r>
      <w:r>
        <w:t xml:space="preserve"> </w:t>
      </w:r>
      <w:r>
        <w:t xml:space="preserve">Specificity is credibility. Vagueness is the institutional reflex that prior experience has taught people to distrust.</w:t>
      </w:r>
    </w:p>
    <w:p>
      <w:pPr>
        <w:pStyle w:val="BodyText"/>
      </w:pPr>
      <w:r>
        <w:t xml:space="preserve">If the offer is accepted, transit is immediate. There is no processing delay. There is no waiting room. The ACT worker accompanies the person to the tower, the Three Ps are processed at the ground floor commons, and the person is in the building. The warm offer is complete.</w:t>
      </w:r>
    </w:p>
    <w:p>
      <w:r>
        <w:pict>
          <v:rect style="width:0;height:1.5pt" o:hralign="center" o:hrstd="t" o:hr="t"/>
        </w:pict>
      </w:r>
    </w:p>
    <w:bookmarkEnd w:id="54"/>
    <w:bookmarkEnd w:id="55"/>
    <w:bookmarkStart w:id="57" w:name="X949a4d601d77e12e78d98eeaeee9f4603c18fbd"/>
    <w:p>
      <w:pPr>
        <w:pStyle w:val="Heading1"/>
      </w:pPr>
      <w:r>
        <w:t xml:space="preserve">Chapter 14: Phase Zero — The Unconditional Entry</w:t>
      </w:r>
    </w:p>
    <w:bookmarkStart w:id="56" w:name="X3fab9b322c2af4b898f7ac597348663d10a7c5a"/>
    <w:p>
      <w:pPr>
        <w:pStyle w:val="Heading2"/>
      </w:pPr>
      <w:r>
        <w:t xml:space="preserve">Chapter 14: Phase Zero — The Unconditional Entry</w:t>
      </w:r>
    </w:p>
    <w:p>
      <w:pPr>
        <w:pStyle w:val="FirstParagraph"/>
      </w:pPr>
      <w:r>
        <w:t xml:space="preserve">The first principle of the MDI system is also its most radical departure from every existing model: no one is turned away.</w:t>
      </w:r>
    </w:p>
    <w:p>
      <w:pPr>
        <w:pStyle w:val="BodyText"/>
      </w:pPr>
      <w:r>
        <w:t xml:space="preserve">Not for intoxication. Not for active psychiatric symptoms. Not for an outstanding warrant. Not for behavioral history. Not for documentation status. The biological floor, hygiene, nutrition, warmth, rest, is provided unconditionally, because the biological floor is what makes everything else possible. A door that closes on the people who need it most is not a service system. It is a selection mechanism that ensures the most damaged people remain the most damaged.</w:t>
      </w:r>
    </w:p>
    <w:p>
      <w:pPr>
        <w:pStyle w:val="BodyText"/>
      </w:pPr>
      <w:r>
        <w:t xml:space="preserve">The Needs Assessment</w:t>
      </w:r>
    </w:p>
    <w:p>
      <w:pPr>
        <w:pStyle w:val="BodyText"/>
      </w:pPr>
      <w:r>
        <w:t xml:space="preserve">Phase Zero begins not with a gate, but with a needs assessment. The assessment measures what a person needs, how long since their last shower, their nutritional status, their sleep deprivation level, their current substance use status. It does not measure whether they qualify. There is no qualifying threshold. The assessment determines what the immediate intervention should be, not whether the person is entitled to one.</w:t>
      </w:r>
    </w:p>
    <w:p>
      <w:pPr>
        <w:pStyle w:val="BodyText"/>
      </w:pPr>
      <w:r>
        <w:t xml:space="preserve">The unconditional baseline is provided to everyone before any further assessment occurs: hygiene access and nutritional support. These are not contingent on any finding of the assessment. They are provided because the body requires them, and the system’s first obligation is to the body.</w:t>
      </w:r>
    </w:p>
    <w:p>
      <w:pPr>
        <w:pStyle w:val="BodyText"/>
      </w:pPr>
      <w:r>
        <w:t xml:space="preserve">Triage Logic</w:t>
      </w:r>
    </w:p>
    <w:p>
      <w:pPr>
        <w:pStyle w:val="BodyText"/>
      </w:pPr>
      <w:r>
        <w:t xml:space="preserve">After the immediate unconditional baseline is provided, the triage logic determines the appropriate next step. The logic has a defined priority order:</w:t>
      </w:r>
    </w:p>
    <w:p>
      <w:pPr>
        <w:pStyle w:val="BodyText"/>
      </w:pPr>
      <w:r>
        <w:t xml:space="preserve">If the person is experiencing an acute medical crisis or overdose, they go directly to the emergency room, immediately, regardless of any other factor, including an active warrant. Medical emergency supersedes everything.</w:t>
      </w:r>
    </w:p>
    <w:p>
      <w:pPr>
        <w:pStyle w:val="BodyText"/>
      </w:pPr>
      <w:r>
        <w:t xml:space="preserve">If the person has an active warrant or is in imminent involvement in criminal activity, legal processing occurs, but only after biological stabilization is confirmed. The system does not hand someone to law enforcement while they are in active physiological crisis.</w:t>
      </w:r>
    </w:p>
    <w:p>
      <w:pPr>
        <w:pStyle w:val="BodyText"/>
      </w:pPr>
      <w:r>
        <w:t xml:space="preserve">If the person is Pipeline D-Nomadic, they are directed to the Ground Floor Harm Reduction commons, where harm reduction services are available without any pressure to enter the clinical system.</w:t>
      </w:r>
    </w:p>
    <w:p>
      <w:pPr>
        <w:pStyle w:val="BodyText"/>
      </w:pPr>
      <w:r>
        <w:t xml:space="preserve">All others are directed to the Metabolic Stabilization Unit.</w:t>
      </w:r>
    </w:p>
    <w:p>
      <w:pPr>
        <w:pStyle w:val="BodyText"/>
      </w:pPr>
      <w:r>
        <w:t xml:space="preserve">The Three Ps</w:t>
      </w:r>
    </w:p>
    <w:p>
      <w:pPr>
        <w:pStyle w:val="BodyText"/>
      </w:pPr>
      <w:r>
        <w:t xml:space="preserve">One of the most important operational features of Phase Zero is the Three Ps protocol: the systematic processing of the things that most commonly prevent people from accepting shelter, Pets, Possessions, and Partners.</w:t>
      </w:r>
    </w:p>
    <w:p>
      <w:pPr>
        <w:pStyle w:val="BodyText"/>
      </w:pPr>
      <w:r>
        <w:t xml:space="preserve">For each: Pets are either approved for in-unit cohabitation if the facility has capacity and the animal’s behavior permits, or placed in a veterinary boarding arrangement managed by the facility, at no cost to the resident. Possessions are transported to a secure storage facility accessible to the resident. Partners are co-located in the same facility, wherever possible in the same pod.</w:t>
      </w:r>
    </w:p>
    <w:p>
      <w:pPr>
        <w:pStyle w:val="BodyText"/>
      </w:pPr>
      <w:r>
        <w:t xml:space="preserve">These three accommodations are not amenities. They are retention factors. Research on shelter refusal consistently identifies pets, possessions, and partners as the three most common reasons people who need shelter decline available shelter. The Three Ps protocol eliminates those barriers at the door. A person who enters Phase Zero does not have to choose between their dog and their safety, between their belongings and a bed, or between their partner and a roof. The system accommodates all three.</w:t>
      </w:r>
    </w:p>
    <w:p>
      <w:pPr>
        <w:pStyle w:val="BodyText"/>
      </w:pPr>
      <w:r>
        <w:t xml:space="preserve">The 5150 Hold</w:t>
      </w:r>
    </w:p>
    <w:p>
      <w:pPr>
        <w:pStyle w:val="BodyText"/>
      </w:pPr>
      <w:r>
        <w:t xml:space="preserve">When a person presents at Phase Zero in a state of acute psychiatric crisis, expressing intent to harm themselves or others, or exhibiting psychosis severe enough to prevent communication, the 5150 hold process may be invoked. Named after the section of the California Welfare and Institutions Code that governs it, a 5150 hold allows a qualified mental health professional to authorize up to 72 hours of involuntary psychiatric evaluation and treatment in a hospital or designated facility.</w:t>
      </w:r>
    </w:p>
    <w:p>
      <w:pPr>
        <w:pStyle w:val="BodyText"/>
      </w:pPr>
      <w:r>
        <w:t xml:space="preserve">The 5150 process is not initiated by the system alone, and it is not initiated casually. A qualified mental health professional must make an independent clinical assessment of imminent danger. The hold lasts a maximum of 72 hours at its first stage, after which either the person is released or a higher level of legal authority is sought. The hold is a clinical tool for managing situations of genuine imminent danger.</w:t>
      </w:r>
    </w:p>
    <w:p>
      <w:pPr>
        <w:pStyle w:val="BodyText"/>
      </w:pPr>
      <w:r>
        <w:t xml:space="preserve">The cultural assessment requirement applies as a hard prerequisite to any classification that occurs after the immediate unconditional baseline is provided. The system will not assign a pipeline category, initiate compelled care proceedings, or make any clinical determination beyond the immediate needs assessment until the cultural and linguistic baseline is complete. This is not an administrative formality. It is a clinical requirement. An incorrect classification, made without understanding who a person is and where they come from, produces an incorrect intervention. An incorrect intervention in a vulnerable population causes harm.</w:t>
      </w:r>
    </w:p>
    <w:p>
      <w:r>
        <w:pict>
          <v:rect style="width:0;height:1.5pt" o:hralign="center" o:hrstd="t" o:hr="t"/>
        </w:pict>
      </w:r>
    </w:p>
    <w:bookmarkEnd w:id="56"/>
    <w:bookmarkEnd w:id="57"/>
    <w:bookmarkStart w:id="59" w:name="chapter-15-metabolic-stabilization"/>
    <w:p>
      <w:pPr>
        <w:pStyle w:val="Heading1"/>
      </w:pPr>
      <w:r>
        <w:t xml:space="preserve">Chapter 15: Metabolic Stabilization</w:t>
      </w:r>
    </w:p>
    <w:bookmarkStart w:id="58" w:name="chapter-15-metabolic-stabilization-1"/>
    <w:p>
      <w:pPr>
        <w:pStyle w:val="Heading2"/>
      </w:pPr>
      <w:r>
        <w:t xml:space="preserve">Chapter 15: Metabolic Stabilization</w:t>
      </w:r>
    </w:p>
    <w:p>
      <w:pPr>
        <w:pStyle w:val="FirstParagraph"/>
      </w:pPr>
      <w:r>
        <w:t xml:space="preserve">Thirty days is the minimum. Not because thirty days is convenient for budgeting cycles or discharge planning timelines. Because thirty days is approximately the minimum duration of sustained adequate sleep, thermal stability, and nutritional sufficiency required for measurable early recovery of prefrontal cortex function to begin.</w:t>
      </w:r>
    </w:p>
    <w:p>
      <w:pPr>
        <w:pStyle w:val="BodyText"/>
      </w:pPr>
      <w:r>
        <w:t xml:space="preserve">This timeline is derived from neuroscience. The neurological changes produced by chronic street exposure, the dendritic retraction, the reduction in neurogenesis, the dysregulation of the HPA axis, do not reverse quickly. They reverse slowly, given the right conditions, over a timeline measured in weeks and months. Trying to compress the timeline produces predictable failure: people are discharged into housing before their brains have recovered enough to maintain that housing, and they cycle back to the street.</w:t>
      </w:r>
    </w:p>
    <w:p>
      <w:pPr>
        <w:pStyle w:val="BodyText"/>
      </w:pPr>
      <w:r>
        <w:t xml:space="preserve">The 30-day minimum is a neurobiological fact, not an administrative preference.</w:t>
      </w:r>
    </w:p>
    <w:p>
      <w:pPr>
        <w:pStyle w:val="BodyText"/>
      </w:pPr>
      <w:r>
        <w:t xml:space="preserve">The Five Clearance Indicators</w:t>
      </w:r>
    </w:p>
    <w:p>
      <w:pPr>
        <w:pStyle w:val="BodyText"/>
      </w:pPr>
      <w:r>
        <w:t xml:space="preserve">Biological clearance from the Phase Zero Metabolic Stabilization Unit is determined by five measurable indicators:</w:t>
      </w:r>
    </w:p>
    <w:p>
      <w:pPr>
        <w:pStyle w:val="BodyText"/>
      </w:pPr>
      <w:r>
        <w:t xml:space="preserve">First, sustained hygiene maintenance, the person is consistently maintaining basic personal hygiene without prompting or external support. This is a proxy for executive function and for sleep and nutritional recovery.</w:t>
      </w:r>
    </w:p>
    <w:p>
      <w:pPr>
        <w:pStyle w:val="BodyText"/>
      </w:pPr>
      <w:r>
        <w:t xml:space="preserve">Second, sleep continuity, the person is consistently achieving six or more hours of uninterrupted sleep. This is both a prerequisite for recovery and an indicator of it: a brain that has begun recovering from chronic hypervigilance will naturally achieve deeper and more continuous sleep.</w:t>
      </w:r>
    </w:p>
    <w:p>
      <w:pPr>
        <w:pStyle w:val="BodyText"/>
      </w:pPr>
      <w:r>
        <w:t xml:space="preserve">Third, consistent orientation to time and place, the person reliably knows where they are, what day it is, and what is happening in their environment. This is a basic indicator of cognitive stability.</w:t>
      </w:r>
    </w:p>
    <w:p>
      <w:pPr>
        <w:pStyle w:val="BodyText"/>
      </w:pPr>
      <w:r>
        <w:t xml:space="preserve">Fourth, group participation, the person is engaging with other people in the facility in some minimal way: sharing a meal, participating in a conversation, acknowledging and responding to others. This is not sociability in any broad sense; it is the minimum indicator that the brain’s social processing is functioning.</w:t>
      </w:r>
    </w:p>
    <w:p>
      <w:pPr>
        <w:pStyle w:val="BodyText"/>
      </w:pPr>
      <w:r>
        <w:t xml:space="preserve">Fifth, independent activities of daily living, the person is performing basic self-maintenance tasks independently: feeding themselves, managing their own space, managing their own schedule to a minimal degree.</w:t>
      </w:r>
    </w:p>
    <w:p>
      <w:pPr>
        <w:pStyle w:val="BodyText"/>
      </w:pPr>
      <w:r>
        <w:t xml:space="preserve">The 40 Percent Threshold</w:t>
      </w:r>
    </w:p>
    <w:p>
      <w:pPr>
        <w:pStyle w:val="BodyText"/>
      </w:pPr>
      <w:r>
        <w:t xml:space="preserve">The clearance threshold is not all five indicators. It is 40 percent of active indicators, meaning that if all five are being measured, the person needs to meet at least two of them consistently to trigger a clearance review.</w:t>
      </w:r>
    </w:p>
    <w:p>
      <w:pPr>
        <w:pStyle w:val="BodyText"/>
      </w:pPr>
      <w:r>
        <w:t xml:space="preserve">This threshold is explicitly provisional. It is a starting parameter, derived from clinical judgment in the absence of longitudinal data from MDI installations. It is not a clinically validated standard. The intent is that it serves as the initial clearance parameter to be calibrated over time by data from actual MDI deployments, as the system accumulates outcome data, the threshold can be refined to reflect what actually predicts successful pod transition.</w:t>
      </w:r>
    </w:p>
    <w:p>
      <w:pPr>
        <w:pStyle w:val="BodyText"/>
      </w:pPr>
      <w:r>
        <w:t xml:space="preserve">The 40 percent threshold reflects a clinical judgment that the system should err on the side of moving people toward recovery conditions rather than holding them in the more intensive Phase Zero environment past the point of biological necessity. It is a conservative estimate, not a final determination.</w:t>
      </w:r>
    </w:p>
    <w:p>
      <w:pPr>
        <w:pStyle w:val="BodyText"/>
      </w:pPr>
      <w:r>
        <w:t xml:space="preserve">The Telemetry Requirement</w:t>
      </w:r>
    </w:p>
    <w:p>
      <w:pPr>
        <w:pStyle w:val="BodyText"/>
      </w:pPr>
      <w:r>
        <w:t xml:space="preserve">The clearance assessment cannot use stale data. The MDI system requires that all data used in clearance decisions be no older than 24 hours. If the most recent data on any clearance indicator is older than 24 hours, the system raises an error and requires a human clinical override before any clearance decision proceeds.</w:t>
      </w:r>
    </w:p>
    <w:p>
      <w:pPr>
        <w:pStyle w:val="BodyText"/>
      </w:pPr>
      <w:r>
        <w:t xml:space="preserve">This requirement exists because the clinical state of someone in early recovery can change significantly over 24 hours. A clearance decision made on data from three days ago may not accurately reflect the person’s current state. In a system where automated tools support clinical decision-making, the data freshness requirement is a critical safeguard against automation error.</w:t>
      </w:r>
    </w:p>
    <w:p>
      <w:pPr>
        <w:pStyle w:val="BodyText"/>
      </w:pPr>
      <w:r>
        <w:t xml:space="preserve">What Clearance Is and Is Not</w:t>
      </w:r>
    </w:p>
    <w:p>
      <w:pPr>
        <w:pStyle w:val="BodyText"/>
      </w:pPr>
      <w:r>
        <w:t xml:space="preserve">Biological clearance from Phase Zero does not mean the person is well. It means that their biological state has stabilized sufficiently that the transition from the intensive Phase Zero environment to the more autonomous Dunbar Pod environment is clinically appropriate. Support continues after clearance. The clinical relationship continues. The intensity of the environment changes.</w:t>
      </w:r>
    </w:p>
    <w:p>
      <w:pPr>
        <w:pStyle w:val="BodyText"/>
      </w:pPr>
      <w:r>
        <w:t xml:space="preserve">Clearance does not require sobriety. It does not require a psychiatric diagnosis to be resolved. It does not require behavioral compliance in any conventional sense. It does not require vocational readiness or housing readiness. It requires the biological indicators described above, nothing more.</w:t>
      </w:r>
    </w:p>
    <w:p>
      <w:pPr>
        <w:pStyle w:val="BodyText"/>
      </w:pPr>
      <w:r>
        <w:t xml:space="preserve">This distinction is not incidental. It reflects the core design principle of the MDI system: that the standard for progression through the system is biological, not behavioral. Behavioral standards produce the institutional attrition described in Chapter 3. Biological standards produce clinical outcomes.</w:t>
      </w:r>
    </w:p>
    <w:p>
      <w:r>
        <w:pict>
          <v:rect style="width:0;height:1.5pt" o:hralign="center" o:hrstd="t" o:hr="t"/>
        </w:pict>
      </w:r>
    </w:p>
    <w:bookmarkEnd w:id="58"/>
    <w:bookmarkEnd w:id="59"/>
    <w:bookmarkStart w:id="61" w:name="X0c85031370e0a14de54dbf0fb0defd991eed5fa"/>
    <w:p>
      <w:pPr>
        <w:pStyle w:val="Heading1"/>
      </w:pPr>
      <w:r>
        <w:t xml:space="preserve">Chapter 16: Legal Instruments for Compelled Care</w:t>
      </w:r>
    </w:p>
    <w:bookmarkStart w:id="60" w:name="X3359dc2fb101c377f2b73c1080cf7168393241f"/>
    <w:p>
      <w:pPr>
        <w:pStyle w:val="Heading2"/>
      </w:pPr>
      <w:r>
        <w:t xml:space="preserve">Chapter 16: Legal Instruments for Compelled Care</w:t>
      </w:r>
    </w:p>
    <w:p>
      <w:pPr>
        <w:pStyle w:val="FirstParagraph"/>
      </w:pPr>
      <w:r>
        <w:t xml:space="preserve">This chapter addresses the hardest question in this book. It deserves a direct answer, stated plainly, before the details are provided.</w:t>
      </w:r>
    </w:p>
    <w:p>
      <w:pPr>
        <w:pStyle w:val="BodyText"/>
      </w:pPr>
      <w:r>
        <w:t xml:space="preserve">When is it legitimate for the state to require treatment that a person says they do not want?</w:t>
      </w:r>
    </w:p>
    <w:p>
      <w:pPr>
        <w:pStyle w:val="BodyText"/>
      </w:pPr>
      <w:r>
        <w:t xml:space="preserve">The answer the MDI model provides is this: when the person’s capacity to form and express a genuine preference about their own treatment has been specifically and demonstrably compromised by a neurological condition that the treatment is designed to address, and when all voluntary alternatives have been exhausted, and when judicial oversight has reviewed and approved the intervention, and when the least restrictive available alternative is being used.</w:t>
      </w:r>
    </w:p>
    <w:p>
      <w:pPr>
        <w:pStyle w:val="BodyText"/>
      </w:pPr>
      <w:r>
        <w:t xml:space="preserve">That is a narrow standard. It is meant to be narrow. Compelled care is not a default response to difficult cases. It is the end point of a long process, applied to a specific and defined sub-population, under multiple layers of clinical and legal oversight.</w:t>
      </w:r>
    </w:p>
    <w:p>
      <w:pPr>
        <w:pStyle w:val="BodyText"/>
      </w:pPr>
      <w:r>
        <w:t xml:space="preserve">Anosognosia: The Clinical Foundation</w:t>
      </w:r>
    </w:p>
    <w:p>
      <w:pPr>
        <w:pStyle w:val="BodyText"/>
      </w:pPr>
      <w:r>
        <w:t xml:space="preserve">The ethical and legal justification for compelled care in the MDI model rests on a specific neurological phenomenon: anosognosia. As introduced in Chapter 4, anosognosia is a neurological condition, not a psychological defense mechanism, in which damage to the brain’s self-monitoring systems prevents accurate perception of one’s own condition. A person with anosognosia who has schizophrenia does not experience themselves as having schizophrenia. They are not refusing treatment because they have weighed the evidence and decided treatment is wrong for them. They are refusing treatment because the brain damage produced by their illness has specifically impaired their capacity to perceive that they have an illness.</w:t>
      </w:r>
    </w:p>
    <w:p>
      <w:pPr>
        <w:pStyle w:val="BodyText"/>
      </w:pPr>
      <w:r>
        <w:t xml:space="preserve">Approximately 50 percent of people with schizophrenia spectrum disorders have significant anosognosia. This is not a rare or exotic condition. It is a common feature of severe psychotic illness that is systematically ignored by consent frameworks that treat any expressed refusal as a valid exercise of autonomous choice.</w:t>
      </w:r>
    </w:p>
    <w:p>
      <w:pPr>
        <w:pStyle w:val="BodyText"/>
      </w:pPr>
      <w:r>
        <w:t xml:space="preserve">The distinction that matters ethically: a person with intact cognitive function who refuses treatment has made an informed choice that must be respected, even if that choice seems unwise to observers. A person with anosognosia who refuses treatment has expressed a preference formed by a brain that is specifically incapable of perceiving the condition that generated the preference. These are not the same situation, and treating them identically is not a neutral ethical position. It is a choice, one that results, in the current system, in the prolonged suffering and death of people whose brains cannot protect them.</w:t>
      </w:r>
    </w:p>
    <w:p>
      <w:pPr>
        <w:pStyle w:val="BodyText"/>
      </w:pPr>
      <w:r>
        <w:t xml:space="preserve">California’s Three Legal Instruments</w:t>
      </w:r>
    </w:p>
    <w:p>
      <w:pPr>
        <w:pStyle w:val="BodyText"/>
      </w:pPr>
      <w:r>
        <w:t xml:space="preserve">The MDI model identifies three legal pathways in California, the state where the MDI concept has been most fully developed, and their national equivalents.</w:t>
      </w:r>
    </w:p>
    <w:p>
      <w:pPr>
        <w:pStyle w:val="BodyText"/>
      </w:pPr>
      <w:r>
        <w:t xml:space="preserve">CARE Court, established by California’s Community Assistance, Recovery, and Empowerment Act of 2023, is a civil court pathway that compels the creation of a treatment plan without incarceration. CARE Court can be initiated by ACT field teams after twelve months of documented treatment resistance. The court reviews the evidence, hears from the individual, and if the standard is met, issues a court-ordered treatment plan that the individual is required to follow. This is not a criminal proceeding. It does not involve incarceration. It is a civil mechanism for compelling engagement with treatment in the least restrictive available setting.</w:t>
      </w:r>
    </w:p>
    <w:p>
      <w:pPr>
        <w:pStyle w:val="BodyText"/>
      </w:pPr>
      <w:r>
        <w:t xml:space="preserve">Assisted Outpatient Treatment, known in California as Laura’s Law, provides a legal mechanism for compelling outpatient psychiatric treatment for individuals with prior hospitalizations who have demonstrated a pattern of treatment non-compliance and resulting harm. Like CARE Court, it is a civil mechanism that does not involve incarceration.</w:t>
      </w:r>
    </w:p>
    <w:p>
      <w:pPr>
        <w:pStyle w:val="BodyText"/>
      </w:pPr>
      <w:r>
        <w:t xml:space="preserve">LPS Conservatorship, modified and expanded by California’s Senate Bill 43, is the most intensive legal instrument: it establishes a legal conservator who is authorized to make medical decisions for an individual who is gravely disabled, unable to provide food, clothing, or shelter for themselves as a result of a mental disorder. LPS Conservatorship can only be initiated by a Phase Zero psychiatrist following a 72-hour hold and requires independent judicial review.</w:t>
      </w:r>
    </w:p>
    <w:p>
      <w:pPr>
        <w:pStyle w:val="BodyText"/>
      </w:pPr>
      <w:r>
        <w:t xml:space="preserve">The Triggering Authority Structure</w:t>
      </w:r>
    </w:p>
    <w:p>
      <w:pPr>
        <w:pStyle w:val="BodyText"/>
      </w:pPr>
      <w:r>
        <w:t xml:space="preserve">Who can initiate each legal instrument matters as much as what the instrument does, because the legitimacy of compelled care depends on it being initiated by people with the right qualifications and the right evidence.</w:t>
      </w:r>
    </w:p>
    <w:p>
      <w:pPr>
        <w:pStyle w:val="BodyText"/>
      </w:pPr>
      <w:r>
        <w:t xml:space="preserve">CARE Court and Laura’s Law AOT can be initiated by ACT field teams, but only after twelve months of documented engagement and treatment resistance, and only by qualified mental health clinicians within those teams. Not by administrative staff. Not by police. Not by the system as a whole. By a qualified clinician with documented evidence.</w:t>
      </w:r>
    </w:p>
    <w:p>
      <w:pPr>
        <w:pStyle w:val="BodyText"/>
      </w:pPr>
      <w:r>
        <w:t xml:space="preserve">LPS Conservatorship can only be initiated by a Phase Zero psychiatrist, a licensed psychiatrist with direct clinical knowledge of the individual, after a 72-hour hold, and only after independent judicial review. The psychiatrist does not make the final determination. The judge does, based on independent review of the clinical evidence.</w:t>
      </w:r>
    </w:p>
    <w:p>
      <w:pPr>
        <w:pStyle w:val="BodyText"/>
      </w:pPr>
      <w:r>
        <w:t xml:space="preserve">Safeguards and Their Purpose</w:t>
      </w:r>
    </w:p>
    <w:p>
      <w:pPr>
        <w:pStyle w:val="BodyText"/>
      </w:pPr>
      <w:r>
        <w:t xml:space="preserve">The safeguards that constrain compelled care in the MDI model are not bureaucratic obstacles. They are the architecture that distinguishes therapeutic intervention from carceral control.</w:t>
      </w:r>
    </w:p>
    <w:p>
      <w:pPr>
        <w:pStyle w:val="BodyText"/>
      </w:pPr>
      <w:r>
        <w:t xml:space="preserve">The duration of compulsion is strictly limited to what is required to restore biological and cognitive baselines. Once those baselines are restored and the individual can perceive their situation clearly enough to make informed decisions, the legal compulsion ends.</w:t>
      </w:r>
    </w:p>
    <w:p>
      <w:pPr>
        <w:pStyle w:val="BodyText"/>
      </w:pPr>
      <w:r>
        <w:t xml:space="preserve">Independent judicial review occurs on a defined schedule throughout the compulsion period. The individual’s status is not determined once and then left unchanged. It is regularly reviewed by an independent authority.</w:t>
      </w:r>
    </w:p>
    <w:p>
      <w:pPr>
        <w:pStyle w:val="BodyText"/>
      </w:pPr>
      <w:r>
        <w:t xml:space="preserve">The state bears the burden of proof. The system must demonstrate, to a court, that the individual meets the legal standard for compelled care. The burden is not on the individual to prove they do not need it.</w:t>
      </w:r>
    </w:p>
    <w:p>
      <w:pPr>
        <w:pStyle w:val="BodyText"/>
      </w:pPr>
      <w:r>
        <w:t xml:space="preserve">The least restrictive alternative doctrine requires that compelled care occur in the least restrictive setting that can meet the clinical need. If outpatient compelled treatment under Laura’s Law is sufficient, inpatient compulsion under LPS Conservatorship is not authorized.</w:t>
      </w:r>
    </w:p>
    <w:p>
      <w:pPr>
        <w:pStyle w:val="BodyText"/>
      </w:pPr>
      <w:r>
        <w:t xml:space="preserve">The entire pathway is decoupled from the criminal justice system. Compelled care in the MDI model is a medical intervention, not a law enforcement action. It does not involve arrest. It does not involve jail. It does not generate a criminal record. This decoupling is essential to the ethical legitimacy of the intervention.</w:t>
      </w:r>
    </w:p>
    <w:p>
      <w:pPr>
        <w:pStyle w:val="BodyText"/>
      </w:pPr>
      <w:r>
        <w:t xml:space="preserve">Compulsion Without Destination Is Abandonment</w:t>
      </w:r>
    </w:p>
    <w:p>
      <w:pPr>
        <w:pStyle w:val="BodyText"/>
      </w:pPr>
      <w:r>
        <w:t xml:space="preserve">The legal instruments described in this chapter exist in California. Some version of them exists in most American states. What has historically been missing is not the legal authority to compel treatment. It is the therapeutic destination. If you compel someone into treatment but there is no appropriate, humane, recovery-oriented environment to receive them, you have produced a different version of the same harm.</w:t>
      </w:r>
    </w:p>
    <w:p>
      <w:pPr>
        <w:pStyle w:val="BodyText"/>
      </w:pPr>
      <w:r>
        <w:t xml:space="preserve">MDI provides the therapeutic destination. The Sovereign Isolation Unit is the clinical environment that makes the legal instruments meaningful, because it provides a place where recovery is genuinely possible. Without that destination, compelled care is cruelty with legal authorization. With it, compelled care can be what it is supposed to be: the preservation of a life that cannot preserve itself.</w:t>
      </w:r>
    </w:p>
    <w:p>
      <w:r>
        <w:pict>
          <v:rect style="width:0;height:1.5pt" o:hralign="center" o:hrstd="t" o:hr="t"/>
        </w:pict>
      </w:r>
    </w:p>
    <w:bookmarkEnd w:id="60"/>
    <w:bookmarkEnd w:id="61"/>
    <w:bookmarkStart w:id="63" w:name="chapter-17-re-entry-and-cycling"/>
    <w:p>
      <w:pPr>
        <w:pStyle w:val="Heading1"/>
      </w:pPr>
      <w:r>
        <w:t xml:space="preserve">Chapter 17: Re-entry and Cycling</w:t>
      </w:r>
    </w:p>
    <w:bookmarkStart w:id="62" w:name="chapter-17-re-entry-and-cycling-1"/>
    <w:p>
      <w:pPr>
        <w:pStyle w:val="Heading2"/>
      </w:pPr>
      <w:r>
        <w:t xml:space="preserve">Chapter 17: Re-entry and Cycling</w:t>
      </w:r>
    </w:p>
    <w:p>
      <w:pPr>
        <w:pStyle w:val="FirstParagraph"/>
      </w:pPr>
      <w:r>
        <w:t xml:space="preserve">Consider how medicine treats cancer. A patient in remission who experiences a recurrence does not lose their oncologist. They do not get removed from the medical system for failing to maintain remission. They do not have to start over from the beginning of treatment and re-prove their eligibility for care. They receive additional treatment calibrated to their current state, and the information about their recurrence is used to refine the treatment plan going forward.</w:t>
      </w:r>
    </w:p>
    <w:p>
      <w:pPr>
        <w:pStyle w:val="BodyText"/>
      </w:pPr>
      <w:r>
        <w:t xml:space="preserve">This is how every serious medical field treats the cyclic nature of serious illness. Cardiology. Addiction medicine. Psychiatric care. Recovery from serious conditions involves cycles. Relapse is not failure. It is a clinical event that contains information about what additional support is needed.</w:t>
      </w:r>
    </w:p>
    <w:p>
      <w:pPr>
        <w:pStyle w:val="BodyText"/>
      </w:pPr>
      <w:r>
        <w:t xml:space="preserve">Homelessness policy is one of the few fields in which a return to street conditions is treated as a system failure, as evidence that the person was not ready for housing, or that the intervention did not work, or that resources were wasted. This framing is not only incorrect. It is clinically counterproductive, because it produces systems that punish cycling rather than learning from it.</w:t>
      </w:r>
    </w:p>
    <w:p>
      <w:pPr>
        <w:pStyle w:val="BodyText"/>
      </w:pPr>
      <w:r>
        <w:t xml:space="preserve">The Re-Entry Principle</w:t>
      </w:r>
    </w:p>
    <w:p>
      <w:pPr>
        <w:pStyle w:val="BodyText"/>
      </w:pPr>
      <w:r>
        <w:t xml:space="preserve">The MDI model operationalizes a different principle: leaving the tower is a recognized clinical cycle, not a failure and not a violation. The system does not discharge a resident. The system maintains a relationship with them, provides harm reduction services if they return to the street, and treats re-entry into the facility as the expected and appropriate next step in a cyclic process.</w:t>
      </w:r>
    </w:p>
    <w:p>
      <w:pPr>
        <w:pStyle w:val="BodyText"/>
      </w:pPr>
      <w:r>
        <w:t xml:space="preserve">The 7-day return window recognizes that someone who leaves the tower and returns within 7 days is not in a significantly different clinical state from the one they were in when they left. Their Phase Zero data is still active. Their pod relationships are still current. Their cultural assessment is still valid. These individuals re-enter the Metabolic Stabilization Unit directly, bypassing Phase Zero triage. They return to the system they were already part of.</w:t>
      </w:r>
    </w:p>
    <w:p>
      <w:pPr>
        <w:pStyle w:val="BodyText"/>
      </w:pPr>
      <w:r>
        <w:t xml:space="preserve">Someone who returns after more than 7 days restarts standard triage. This is a clinical necessity, not a punishment. Their biological state may have changed significantly during an extended absence. Fresh assessment is required to determine the appropriate next step.</w:t>
      </w:r>
    </w:p>
    <w:p>
      <w:pPr>
        <w:pStyle w:val="BodyText"/>
      </w:pPr>
      <w:r>
        <w:t xml:space="preserve">What Cycling Data Tells Us</w:t>
      </w:r>
    </w:p>
    <w:p>
      <w:pPr>
        <w:pStyle w:val="BodyText"/>
      </w:pPr>
      <w:r>
        <w:t xml:space="preserve">A person who cycles twice in six months needs a different support configuration than a person who cycles once in three years. The pattern of cycling is information. It tells clinicians about the triggers for re-exit, about the social or environmental conditions that produced the return to the street, about the gap between what the pod environment provided and what this specific individual needed.</w:t>
      </w:r>
    </w:p>
    <w:p>
      <w:pPr>
        <w:pStyle w:val="BodyText"/>
      </w:pPr>
      <w:r>
        <w:t xml:space="preserve">The MDI system is designed to learn from cycling. Each cycle generates data that refines the match between the individual and their environment, their pod composition, their cohesion anchor relationships, their clinical support intensity. A system that treats cycling as failure discards this information. A system that treats cycling as a clinical event captures and uses it.</w:t>
      </w:r>
    </w:p>
    <w:p>
      <w:pPr>
        <w:pStyle w:val="BodyText"/>
      </w:pPr>
      <w:r>
        <w:t xml:space="preserve">Long-Term Residents as Community Assets</w:t>
      </w:r>
    </w:p>
    <w:p>
      <w:pPr>
        <w:pStyle w:val="BodyText"/>
      </w:pPr>
      <w:r>
        <w:t xml:space="preserve">The MDI model explicitly values long-term residents not just as individuals in recovery but as community assets. A person who has been in a Dunbar Pod for three years is not an outlier or a failure case. They are a cohesion anchor, someone whose long history in the community, whose relationships with other residents, and whose embodied knowledge of how the pod works is of clinical value to the newest and most fragile arrivals.</w:t>
      </w:r>
    </w:p>
    <w:p>
      <w:pPr>
        <w:pStyle w:val="BodyText"/>
      </w:pPr>
      <w:r>
        <w:t xml:space="preserve">Long-term residents are not required to leave in order to make room for new arrivals. The tower is not a transitional facility with a maximum stay. For some people, the Dunbar Pod community will be the right long-term living arrangement, and that is a successful outcome. For others, the pod is a transitional environment on the way to more independent housing. Both outcomes are successes, and neither should be privileged over the other by the system’s design.</w:t>
      </w:r>
    </w:p>
    <w:p>
      <w:r>
        <w:pict>
          <v:rect style="width:0;height:1.5pt" o:hralign="center" o:hrstd="t" o:hr="t"/>
        </w:pict>
      </w:r>
    </w:p>
    <w:bookmarkEnd w:id="62"/>
    <w:bookmarkEnd w:id="63"/>
    <w:bookmarkStart w:id="65" w:name="chapter-18-upward-mobility"/>
    <w:p>
      <w:pPr>
        <w:pStyle w:val="Heading1"/>
      </w:pPr>
      <w:r>
        <w:t xml:space="preserve">Chapter 18: Upward Mobility</w:t>
      </w:r>
    </w:p>
    <w:bookmarkStart w:id="64" w:name="chapter-18-upward-mobility-1"/>
    <w:p>
      <w:pPr>
        <w:pStyle w:val="Heading2"/>
      </w:pPr>
      <w:r>
        <w:t xml:space="preserve">Chapter 18: Upward Mobility</w:t>
      </w:r>
    </w:p>
    <w:p>
      <w:pPr>
        <w:pStyle w:val="FirstParagraph"/>
      </w:pPr>
      <w:r>
        <w:t xml:space="preserve">The goal of the MDI system is not to keep people in the tower. The goal is to restore the capacity for genuine choice about where and how to live. For some people, that means remaining in the Dunbar Pod community for the long term. For others, it means transition to scattered-site independent housing. For others, it means connection to employment and a conventional housing market. All of these are successes, because all of them represent genuine agency over one’s own life.</w:t>
      </w:r>
    </w:p>
    <w:p>
      <w:pPr>
        <w:pStyle w:val="BodyText"/>
      </w:pPr>
      <w:r>
        <w:t xml:space="preserve">The distinction matters because systems can be designed, intentionally or not, to produce specific outcomes regardless of what individuals actually want. A system designed around transitioning people to independent housing as quickly as possible will discharge people before they are ready, because the metric of success is discharge, not wellbeing. A system designed around maintaining people in supported housing indefinitely will create dependency, because the metric of success is retention, not growth. MDI is designed around genuine agency, which means the outcome is whatever the individual, with restored cognitive capacity, actually chooses.</w:t>
      </w:r>
    </w:p>
    <w:p>
      <w:pPr>
        <w:pStyle w:val="BodyText"/>
      </w:pPr>
      <w:r>
        <w:t xml:space="preserve">The Upward Mobility Pathway</w:t>
      </w:r>
    </w:p>
    <w:p>
      <w:pPr>
        <w:pStyle w:val="BodyText"/>
      </w:pPr>
      <w:r>
        <w:t xml:space="preserve">The pipeline categories are not permanent stations. They are descriptions of current clinical state with defined transition criteria. The transitions move in one direction: toward greater autonomy and less clinical intensity.</w:t>
      </w:r>
    </w:p>
    <w:p>
      <w:pPr>
        <w:pStyle w:val="BodyText"/>
      </w:pPr>
      <w:r>
        <w:t xml:space="preserve">C-Riparian transitions to C-Calcified or B-Engageable after successful wetlands extraction, depending on anosognosia status.</w:t>
      </w:r>
    </w:p>
    <w:p>
      <w:pPr>
        <w:pStyle w:val="BodyText"/>
      </w:pPr>
      <w:r>
        <w:t xml:space="preserve">C-Calcified transitions to B-Engageable after approximately 12 months of stabilization and resolution of anosognosia. This is the longest and most clinically intensive transition, and it is not guaranteed on any specific timeline. The 12-month figure is a general parameter, not a hard discharge date.</w:t>
      </w:r>
    </w:p>
    <w:p>
      <w:pPr>
        <w:pStyle w:val="BodyText"/>
      </w:pPr>
      <w:r>
        <w:t xml:space="preserve">B-Engageable transitions to A-Voluntary when economic readiness is established, when the individual has developed the internal conversion capacity to utilize standard housing resources.</w:t>
      </w:r>
    </w:p>
    <w:p>
      <w:pPr>
        <w:pStyle w:val="BodyText"/>
      </w:pPr>
      <w:r>
        <w:t xml:space="preserve">A-Voluntary transitions to the broader coordinated entry system and standard housing market services.</w:t>
      </w:r>
    </w:p>
    <w:p>
      <w:pPr>
        <w:pStyle w:val="BodyText"/>
      </w:pPr>
      <w:r>
        <w:t xml:space="preserve">Economic Readiness</w:t>
      </w:r>
    </w:p>
    <w:p>
      <w:pPr>
        <w:pStyle w:val="BodyText"/>
      </w:pPr>
      <w:r>
        <w:t xml:space="preserve">Economic readiness is a specific concept in the MDI model that is worth defining precisely. It does not mean full employment. It does not mean financial independence. It does not mean the absence of ongoing challenges. It means the internal conversion capacity, the cognitive function, social connection, and practical skills, to navigate the mainstream housing market and the employment system with the level of support that those systems normally provide.</w:t>
      </w:r>
    </w:p>
    <w:p>
      <w:pPr>
        <w:pStyle w:val="BodyText"/>
      </w:pPr>
      <w:r>
        <w:t xml:space="preserve">A person who has spent a year in a Dunbar Pod, who has relationships with neighbors and staff, who has a regular daily rhythm, who has basic documentation in order, and who has participated in the Gardien pipeline to any degree has substantially more economic readiness than they arrived with. The question at the point of transition is not whether they are fully functional by mainstream standards. It is whether they have enough functioning capacity to be supported by mainstream systems, rather than requiring the more intensive support of the MDI environment.</w:t>
      </w:r>
    </w:p>
    <w:p>
      <w:pPr>
        <w:pStyle w:val="BodyText"/>
      </w:pPr>
      <w:r>
        <w:t xml:space="preserve">The Gardien Pipeline as an Upward Mobility Engine</w:t>
      </w:r>
    </w:p>
    <w:p>
      <w:pPr>
        <w:pStyle w:val="BodyText"/>
      </w:pPr>
      <w:r>
        <w:t xml:space="preserve">The Gardien vocational pathway, described in Chapter 13, is the primary mechanism within the MDI system for building economic readiness. Peer Support Specialist certification, achieved after twelve months of housing stability and 180 conflict-free days with demonstrated leadership aptitude, is a credentialed professional qualification recognized by the California Department of Health Care Services and equivalent bodies in other states. A Certified Peer Support Specialist can work in community mental health agencies, hospital discharge planning programs, housing case management, and a range of other settings.</w:t>
      </w:r>
    </w:p>
    <w:p>
      <w:pPr>
        <w:pStyle w:val="BodyText"/>
      </w:pPr>
      <w:r>
        <w:t xml:space="preserve">This is not a made-up credential. It pays real wages. It is a real pathway from MDI resident to employed member of the community mental health workforce, a workforce that, across the country, is severely understaffed and actively seeking people with lived experience of homelessness and psychiatric illness, because those individuals are uniquely credible as peer support providers for the populations those agencies serve.</w:t>
      </w:r>
    </w:p>
    <w:p>
      <w:pPr>
        <w:pStyle w:val="BodyText"/>
      </w:pPr>
      <w:r>
        <w:t xml:space="preserve">Population-Level Success</w:t>
      </w:r>
    </w:p>
    <w:p>
      <w:pPr>
        <w:pStyle w:val="BodyText"/>
      </w:pPr>
      <w:r>
        <w:t xml:space="preserve">At the population level, success in the MDI system does not look like an empty tower. It looks like a flowing pipeline: people entering through Phase Zero, stabilizing, transitioning to Dunbar Pods, developing economic readiness, and moving on to independent housing, with the tower continuously receiving new arrivals from the street who begin the same process.</w:t>
      </w:r>
    </w:p>
    <w:p>
      <w:pPr>
        <w:pStyle w:val="BodyText"/>
      </w:pPr>
      <w:r>
        <w:t xml:space="preserve">A tower that never empties is not a failure. It is evidence that the infrastructure is being used for its purpose: providing ongoing stabilization for the population that needs it, producing transitions for those ready to move on, and maintaining community for those for whom the Dunbar Pod is the right long-term environment. The measure of success is not bed count. It is the rate at which people are making genuine progress toward the form of life they choose.</w:t>
      </w:r>
    </w:p>
    <w:p>
      <w:r>
        <w:pict>
          <v:rect style="width:0;height:1.5pt" o:hralign="center" o:hrstd="t" o:hr="t"/>
        </w:pict>
      </w:r>
    </w:p>
    <w:bookmarkEnd w:id="64"/>
    <w:bookmarkEnd w:id="65"/>
    <w:bookmarkStart w:id="66" w:name="unit-five-the-funding-architecture"/>
    <w:p>
      <w:pPr>
        <w:pStyle w:val="Heading1"/>
      </w:pPr>
      <w:r>
        <w:t xml:space="preserve">Unit Five — The Funding Architecture</w:t>
      </w:r>
    </w:p>
    <w:p>
      <w:r>
        <w:pict>
          <v:rect style="width:0;height:1.5pt" o:hralign="center" o:hrstd="t" o:hr="t"/>
        </w:pict>
      </w:r>
    </w:p>
    <w:bookmarkEnd w:id="66"/>
    <w:bookmarkStart w:id="68" w:name="chapter-19-federal-funding-streams"/>
    <w:p>
      <w:pPr>
        <w:pStyle w:val="Heading1"/>
      </w:pPr>
      <w:r>
        <w:t xml:space="preserve">Chapter 19: Federal Funding Streams</w:t>
      </w:r>
    </w:p>
    <w:bookmarkStart w:id="67" w:name="chapter-19-federal-funding-streams-1"/>
    <w:p>
      <w:pPr>
        <w:pStyle w:val="Heading2"/>
      </w:pPr>
      <w:r>
        <w:t xml:space="preserve">Chapter 19: Federal Funding Streams</w:t>
      </w:r>
    </w:p>
    <w:p>
      <w:pPr>
        <w:pStyle w:val="FirstParagraph"/>
      </w:pPr>
      <w:r>
        <w:t xml:space="preserve">The money to build MDI infrastructure exists. It is not concentrated in one place, it does not come in one form, and it requires sophisticated financial engineering to assemble. But every major component of the MDI capital stack corresponds to an existing federal funding stream designed specifically for the purposes MDI serves. Understanding how these streams work, and why no single one of them is sufficient alone, is the prerequisite for understanding how MDI gets built.</w:t>
      </w:r>
    </w:p>
    <w:p>
      <w:pPr>
        <w:pStyle w:val="BodyText"/>
      </w:pPr>
      <w:r>
        <w:t xml:space="preserve">HUD Programs</w:t>
      </w:r>
    </w:p>
    <w:p>
      <w:pPr>
        <w:pStyle w:val="BodyText"/>
      </w:pPr>
      <w:r>
        <w:t xml:space="preserve">The Department of Housing and Urban Development administers the primary federal funding streams for homelessness and affordable housing. The Continuum of Care program provides competitive grants to communities for housing and services for homeless individuals and families. These grants can fund the Phase Zero intake and stabilization services within an MDI tower, the clinical staffing of Dunbar Pods, and the ongoing outreach operations that maintain ACT field teams. CoC grants are awarded based on annual competitive applications to HUD and are subject to renewal every year, which creates some financial instability for programs that depend heavily on them.</w:t>
      </w:r>
    </w:p>
    <w:p>
      <w:pPr>
        <w:pStyle w:val="BodyText"/>
      </w:pPr>
      <w:r>
        <w:t xml:space="preserve">The HOME Investment Partnerships program provides formula grants to states and local governments for affordable housing development and can be used for the residential component of MDI tower conversion. HOME dollars can fund the construction and rehabilitation costs associated with creating affordable housing units, though they come with income restrictions and tenant eligibility requirements that must be managed carefully in the MDI context.</w:t>
      </w:r>
    </w:p>
    <w:p>
      <w:pPr>
        <w:pStyle w:val="BodyText"/>
      </w:pPr>
      <w:r>
        <w:t xml:space="preserve">The Emergency Solutions Grants program funds emergency shelter and rapid rehousing and can support the initial Phase Zero stabilization operations while more permanent capital is assembled.</w:t>
      </w:r>
    </w:p>
    <w:p>
      <w:pPr>
        <w:pStyle w:val="BodyText"/>
      </w:pPr>
      <w:r>
        <w:t xml:space="preserve">Low Income Housing Tax Credits</w:t>
      </w:r>
    </w:p>
    <w:p>
      <w:pPr>
        <w:pStyle w:val="BodyText"/>
      </w:pPr>
      <w:r>
        <w:t xml:space="preserve">The Low Income Housing Tax Credit, known as LIHTC and pronounced</w:t>
      </w:r>
      <w:r>
        <w:t xml:space="preserve"> </w:t>
      </w:r>
      <w:r>
        <w:t xml:space="preserve">“</w:t>
      </w:r>
      <w:r>
        <w:t xml:space="preserve">lie-tech,</w:t>
      </w:r>
      <w:r>
        <w:t xml:space="preserve">”</w:t>
      </w:r>
      <w:r>
        <w:t xml:space="preserve"> </w:t>
      </w:r>
      <w:r>
        <w:t xml:space="preserve">is the most important single federal instrument for affordable housing finance in the United States. It is not a direct grant. It is a tax credit, a reduction in federal tax liability, that is allocated by state housing finance agencies to affordable housing developers. Developers sell those tax credits to investors, typically large banks and insurance companies that have significant federal tax liability and are looking for legal ways to reduce it, in exchange for upfront equity investment in the affordable housing project.</w:t>
      </w:r>
    </w:p>
    <w:p>
      <w:pPr>
        <w:pStyle w:val="BodyText"/>
      </w:pPr>
      <w:r>
        <w:t xml:space="preserve">The mechanics work like this: a developer receives an allocation of LIHTC credits worth, say, $10 million over ten years. An investor, a major bank, purchases those credits for approximately $9 million in cash today, in exchange for the tax reductions they will provide over the ten-year credit period. The $9 million in cash becomes the equity that finances a large portion of the project’s construction cost.</w:t>
      </w:r>
    </w:p>
    <w:p>
      <w:pPr>
        <w:pStyle w:val="BodyText"/>
      </w:pPr>
      <w:r>
        <w:t xml:space="preserve">For MDI tower conversion, LIHTC is the foundational financing instrument. It provides the largest single source of upfront construction equity, is well understood by lenders and investors, and has a 40-year track record of financing affordable housing at scale. A project without LIHTC financing is almost certainly going to be more expensive and harder to finance than one with it.</w:t>
      </w:r>
    </w:p>
    <w:p>
      <w:pPr>
        <w:pStyle w:val="BodyText"/>
      </w:pPr>
      <w:r>
        <w:t xml:space="preserve">New Market Tax Credits</w:t>
      </w:r>
    </w:p>
    <w:p>
      <w:pPr>
        <w:pStyle w:val="BodyText"/>
      </w:pPr>
      <w:r>
        <w:t xml:space="preserve">New Market Tax Credits, or NMTC, are a separate federal instrument designed to incentivize investment in economically distressed census tracts. Skid Row and comparable areas in most major American cities easily qualify as distressed census tracts under the NMTC program’s criteria. NMTC allocations are made by the Community Development Financial Institutions Fund and are distributed through certified Community Development Entities.</w:t>
      </w:r>
    </w:p>
    <w:p>
      <w:pPr>
        <w:pStyle w:val="BodyText"/>
      </w:pPr>
      <w:r>
        <w:t xml:space="preserve">NMTC can be layered with LIHTC in a single transaction to increase the total equity in the capital stack. The mechanics are more complex than LIHTC alone; the layering requires careful structuring by experienced affordable housing finance lawyers and accountants. But the additional equity generated can be substantial, often 15 to 20 percent of total project cost.</w:t>
      </w:r>
    </w:p>
    <w:p>
      <w:pPr>
        <w:pStyle w:val="BodyText"/>
      </w:pPr>
      <w:r>
        <w:t xml:space="preserve">The Gaps That Remain</w:t>
      </w:r>
    </w:p>
    <w:p>
      <w:pPr>
        <w:pStyle w:val="BodyText"/>
      </w:pPr>
      <w:r>
        <w:t xml:space="preserve">Even with LIHTC and NMTC maximized, a typical MDI tower conversion will have significant gaps in its capital stack that cannot be filled by federal construction financing alone. These gaps, typically in the range of 20 to 30 percent of total project cost, must be filled by state capital programs, philanthropic grants, and private investment. The next two chapters address those sources.</w:t>
      </w:r>
    </w:p>
    <w:p>
      <w:pPr>
        <w:pStyle w:val="BodyText"/>
      </w:pPr>
      <w:r>
        <w:t xml:space="preserve">The important point here is that federal financing is necessary but not sufficient. MDI is not a project that can be financed from a single source. It requires a capital stack, a layered combination of multiple distinct financing instruments, and assembling that stack is one of the primary challenges of implementation.</w:t>
      </w:r>
    </w:p>
    <w:p>
      <w:r>
        <w:pict>
          <v:rect style="width:0;height:1.5pt" o:hralign="center" o:hrstd="t" o:hr="t"/>
        </w:pict>
      </w:r>
    </w:p>
    <w:bookmarkEnd w:id="67"/>
    <w:bookmarkEnd w:id="68"/>
    <w:bookmarkStart w:id="70" w:name="chapter-20-state-funding-and-medicaid"/>
    <w:p>
      <w:pPr>
        <w:pStyle w:val="Heading1"/>
      </w:pPr>
      <w:r>
        <w:t xml:space="preserve">Chapter 20: State Funding and Medicaid</w:t>
      </w:r>
    </w:p>
    <w:bookmarkStart w:id="69" w:name="chapter-20-state-funding-and-medicaid-1"/>
    <w:p>
      <w:pPr>
        <w:pStyle w:val="Heading2"/>
      </w:pPr>
      <w:r>
        <w:t xml:space="preserve">Chapter 20: State Funding and Medicaid</w:t>
      </w:r>
    </w:p>
    <w:p>
      <w:pPr>
        <w:pStyle w:val="FirstParagraph"/>
      </w:pPr>
      <w:r>
        <w:t xml:space="preserve">The Medicaid 1115 Waiver is a provision of the federal Medicaid statute that allows states to apply to the federal Centers for Medicare and Medicaid Services for permission to use Medicaid funds for services and populations not traditionally covered by standard Medicaid. In other words, it allows states that want to be more innovative about how they use Medicaid dollars to get federal approval for that innovation.</w:t>
      </w:r>
    </w:p>
    <w:p>
      <w:pPr>
        <w:pStyle w:val="BodyText"/>
      </w:pPr>
      <w:r>
        <w:t xml:space="preserve">California’s implementation of the 1115 Waiver framework, known as CalAIM, California Advancing and Innovating Medi-Cal, is the most ambitious such implementation in the country. It represents a fundamental reframing of how California treats chronic homelessness: not as a law enforcement problem, not as a social services problem, but as a healthcare crisis eligible for healthcare funding.</w:t>
      </w:r>
    </w:p>
    <w:p>
      <w:pPr>
        <w:pStyle w:val="BodyText"/>
      </w:pPr>
      <w:r>
        <w:t xml:space="preserve">Enhanced Care Management and In Lieu of Services</w:t>
      </w:r>
    </w:p>
    <w:p>
      <w:pPr>
        <w:pStyle w:val="BodyText"/>
      </w:pPr>
      <w:r>
        <w:t xml:space="preserve">CalAIM establishes two specific billing categories that are central to the MDI operational revenue model.</w:t>
      </w:r>
    </w:p>
    <w:p>
      <w:pPr>
        <w:pStyle w:val="BodyText"/>
      </w:pPr>
      <w:r>
        <w:t xml:space="preserve">Enhanced Care Management generates billing when a resident achieves metabolic clearance, the biological milestone described in Chapter 15. ECM is a Medicaid-billable care coordination service for individuals with complex needs, and the clinical monitoring and coordination work that produces and documents metabolic clearance qualifies for ECM billing under CalAIM. This means that for every MDI resident who achieves metabolic clearance, a clinical outcome that the system is designed to produce, the facility generates Medicaid revenue.</w:t>
      </w:r>
    </w:p>
    <w:p>
      <w:pPr>
        <w:pStyle w:val="BodyText"/>
      </w:pPr>
      <w:r>
        <w:t xml:space="preserve">In Lieu of Services generates billing for retention in supportive housing beyond 30 days. ILOS is a CalAIM provision that allows Medicaid to pay for housing-adjacent services, including the kind of supportive housing environment that the Dunbar Pod provides, as an alternative to more expensive clinical interventions. An MDI resident who remains stably housed in a Dunbar Pod beyond 30 days is generating ILOS revenue, because the supported housing is functioning as an alternative to the emergency room, psychiatric hospitalization, and incarceration that would otherwise be the likely outcomes.</w:t>
      </w:r>
    </w:p>
    <w:p>
      <w:pPr>
        <w:pStyle w:val="BodyText"/>
      </w:pPr>
      <w:r>
        <w:t xml:space="preserve">The Billing Integrity Requirement</w:t>
      </w:r>
    </w:p>
    <w:p>
      <w:pPr>
        <w:pStyle w:val="BodyText"/>
      </w:pPr>
      <w:r>
        <w:t xml:space="preserve">The dual-trigger structure of ECM and ILOS creates a potential perverse incentive that the MDI model explicitly guards against: if clearance and retention both generate billing, a financially motivated system might delay clearance in order to maximize retention billing, or rush clearance in order to maximize ECM billing. Neither is acceptable.</w:t>
      </w:r>
    </w:p>
    <w:p>
      <w:pPr>
        <w:pStyle w:val="BodyText"/>
      </w:pPr>
      <w:r>
        <w:t xml:space="preserve">The Billing Integrity Requirement is the protocol that prevents this: clearance decisions are made exclusively by clinical staff based on clinical indicators, with no connection to billing state. The billing system is downstream of the clinical system and has no authority to influence clinical decisions. Any situation where both ECM and ILOS billing are triggered simultaneously, which happens when a resident achieves clearance while still in retention, generates a dual-trigger alert requiring independent review to ensure that the clinical decision was clinically motivated.</w:t>
      </w:r>
    </w:p>
    <w:p>
      <w:pPr>
        <w:pStyle w:val="BodyText"/>
      </w:pPr>
      <w:r>
        <w:t xml:space="preserve">This safeguard is not bureaucratic overhead. It is the protection that makes the billing model trustworthy. A system where clinical decisions are influenced by billing incentives is a system that cannot be trusted to produce genuine clinical outcomes.</w:t>
      </w:r>
    </w:p>
    <w:p>
      <w:pPr>
        <w:pStyle w:val="BodyText"/>
      </w:pPr>
      <w:r>
        <w:t xml:space="preserve">National Equivalents</w:t>
      </w:r>
    </w:p>
    <w:p>
      <w:pPr>
        <w:pStyle w:val="BodyText"/>
      </w:pPr>
      <w:r>
        <w:t xml:space="preserve">CalAIM is a California-specific implementation. Other states have or can pursue equivalent 1115 Waiver structures, with varying degrees of ambition and coverage. The MDI billing architecture is designed around the general federal Medicaid framework; CalAIM is the California implementation layer, not the core model. Any state pursuing MDI outside California needs to map its own 1115 Waiver structure (or pursue one if it does not yet exist) to the ECM and ILOS equivalents.</w:t>
      </w:r>
    </w:p>
    <w:p>
      <w:pPr>
        <w:pStyle w:val="BodyText"/>
      </w:pPr>
      <w:r>
        <w:t xml:space="preserve">The federal incentive structure for states to pursue 1115 Waivers is strong: federal Medicaid matching funds are available for approved waiver programs, meaning that state dollars spent on waiver-approved services generate additional federal revenue. A state that invests in pursuing a robust 1115 Waiver for housing-adjacent services can generate significant federal matching funds for MDI operational costs.</w:t>
      </w:r>
    </w:p>
    <w:p>
      <w:pPr>
        <w:pStyle w:val="BodyText"/>
      </w:pPr>
      <w:r>
        <w:t xml:space="preserve">California State Capital Programs</w:t>
      </w:r>
    </w:p>
    <w:p>
      <w:pPr>
        <w:pStyle w:val="BodyText"/>
      </w:pPr>
      <w:r>
        <w:t xml:space="preserve">Beyond CalAIM, California has several state capital programs that can contribute to the MDI construction financing stack. Proposition 1, passed by California voters in March 2024, authorizes $6.38 billion in general obligation bonds for mental health infrastructure and housing, with significant portions specifically designated for the most severely mentally ill. The No Place Like Home program uses Mental Health Services Act funds for the development of permanent supportive housing for individuals experiencing homelessness with serious mental illness. CARE Act funding supports the civil care court pathway described in Chapter 16.</w:t>
      </w:r>
    </w:p>
    <w:p>
      <w:pPr>
        <w:pStyle w:val="BodyText"/>
      </w:pPr>
      <w:r>
        <w:t xml:space="preserve">These programs are California-specific, but they illustrate the range of state-level capital that can complement federal financing. Other states have analogous programs at varying levels of development and funding, and MDI advocates in any state should map the available state capital programs as part of the capital stack assembly process.</w:t>
      </w:r>
    </w:p>
    <w:p>
      <w:r>
        <w:pict>
          <v:rect style="width:0;height:1.5pt" o:hralign="center" o:hrstd="t" o:hr="t"/>
        </w:pict>
      </w:r>
    </w:p>
    <w:bookmarkEnd w:id="69"/>
    <w:bookmarkEnd w:id="70"/>
    <w:bookmarkStart w:id="72" w:name="X68fedeb8b5426d5812aeff29c831a07cd49416e"/>
    <w:p>
      <w:pPr>
        <w:pStyle w:val="Heading1"/>
      </w:pPr>
      <w:r>
        <w:t xml:space="preserve">Chapter 21: Private Capital and Blended Finance</w:t>
      </w:r>
    </w:p>
    <w:bookmarkStart w:id="71" w:name="X5396c42068d8f6443e0cc9b4d7f342431640b18"/>
    <w:p>
      <w:pPr>
        <w:pStyle w:val="Heading2"/>
      </w:pPr>
      <w:r>
        <w:t xml:space="preserve">Chapter 21: Private Capital and Blended Finance</w:t>
      </w:r>
    </w:p>
    <w:p>
      <w:pPr>
        <w:pStyle w:val="FirstParagraph"/>
      </w:pPr>
      <w:r>
        <w:t xml:space="preserve">The private sector has a financial interest in solving chronic homelessness. This may sound counterintuitive; the private sector is often positioned in homelessness debates as the antagonist, the force of gentrification and real estate speculation that contributes to housing unaffordability. That characterization has merit in many contexts. But when it comes to funding the solution to chronic homelessness, the private sector’s financial interests align strongly with the public interest, and that alignment is the financial foundation for the private participation that MDI requires.</w:t>
      </w:r>
    </w:p>
    <w:p>
      <w:pPr>
        <w:pStyle w:val="BodyText"/>
      </w:pPr>
      <w:r>
        <w:t xml:space="preserve">The alignment works through a simple mechanism: chronic homelessness is very expensive for private institutions, and reducing it would reduce those costs.</w:t>
      </w:r>
    </w:p>
    <w:p>
      <w:pPr>
        <w:pStyle w:val="BodyText"/>
      </w:pPr>
      <w:r>
        <w:t xml:space="preserve">Hospital Systems</w:t>
      </w:r>
    </w:p>
    <w:p>
      <w:pPr>
        <w:pStyle w:val="BodyText"/>
      </w:pPr>
      <w:r>
        <w:t xml:space="preserve">Major hospital systems in cities with large unsheltered populations bear enormous costs in uncompensated emergency care. A chronically unsheltered person experiencing a psychiatric crisis goes to an emergency room. A person with an untreated infection goes to an emergency room. A person experiencing hypothermia goes to an emergency room. These visits cost, on average, thousands of dollars each, costs that are not recovered from uninsured patients and are only partially recovered through Medicaid. A major hospital in downtown Los Angeles may be spending tens of millions of dollars annually in uncompensated emergency care for the chronically unsheltered population.</w:t>
      </w:r>
    </w:p>
    <w:p>
      <w:pPr>
        <w:pStyle w:val="BodyText"/>
      </w:pPr>
      <w:r>
        <w:t xml:space="preserve">A hospital that contributes capital to an MDI tower within its service area is not making a charitable donation. It is making a strategic investment that reduces its own emergency department costs by reducing the number of preventable crises in the surrounding population. The math is straightforward: if an MDI tower prevents a fraction of the emergency room visits that its residents would otherwise generate, and if each prevented visit saves the hospital thousands of dollars, the hospital’s cost savings over five to ten years can exceed its initial capital contribution.</w:t>
      </w:r>
    </w:p>
    <w:p>
      <w:pPr>
        <w:pStyle w:val="BodyText"/>
      </w:pPr>
      <w:r>
        <w:t xml:space="preserve">The MDI model formalizes this as a Hospital Capital Contribution: upfront equity invested by healthcare systems in exchange for dedicated discharge beds in the tower, beds to which the hospital can discharge patients who need a level of support between acute inpatient care and independent living, avoiding the problem of discharging complex patients to the street for lack of an appropriate alternative.</w:t>
      </w:r>
    </w:p>
    <w:p>
      <w:pPr>
        <w:pStyle w:val="BodyText"/>
      </w:pPr>
      <w:r>
        <w:t xml:space="preserve">Social Impact Bonds</w:t>
      </w:r>
    </w:p>
    <w:p>
      <w:pPr>
        <w:pStyle w:val="BodyText"/>
      </w:pPr>
      <w:r>
        <w:t xml:space="preserve">A social impact bond is a financing instrument in which private investors provide upfront capital for a social program, and receive financial returns, paid by the government, if and only if the program achieves verified outcomes. The risk of program failure is borne by the private investors: if the outcomes are not achieved, the investors do not get paid. If the outcomes are achieved, the investors receive returns funded by the government savings those outcomes produce.</w:t>
      </w:r>
    </w:p>
    <w:p>
      <w:pPr>
        <w:pStyle w:val="BodyText"/>
      </w:pPr>
      <w:r>
        <w:t xml:space="preserve">For MDI, the social impact bond structure works like this: investors fund the upfront capital costs of a tower. The outcomes measured are the documented reductions in municipal costs, emergency room visits, ambulance runs, incarceration, psychiatric hospitalization, generated by stable housing of the tower’s residents. An independent auditor verifies the outcomes. The government pays returns to investors from the verified savings.</w:t>
      </w:r>
    </w:p>
    <w:p>
      <w:pPr>
        <w:pStyle w:val="BodyText"/>
      </w:pPr>
      <w:r>
        <w:t xml:space="preserve">This structure is attractive to a specific class of investors, impact investors and mission-driven institutional funds, because it provides financial return alongside documented social impact. It is attractive to municipalities because it shifts the financial risk of program failure to private investors: if the MDI tower does not achieve the expected outcomes, the municipality does not owe the investors their returns.</w:t>
      </w:r>
    </w:p>
    <w:p>
      <w:pPr>
        <w:pStyle w:val="BodyText"/>
      </w:pPr>
      <w:r>
        <w:t xml:space="preserve">Community Development Financial Institutions</w:t>
      </w:r>
    </w:p>
    <w:p>
      <w:pPr>
        <w:pStyle w:val="BodyText"/>
      </w:pPr>
      <w:r>
        <w:t xml:space="preserve">CDFIs, Community Development Financial Institutions, are mission-driven lenders certified by the federal CDFI Fund that fill the gap between conventional commercial lending and public subsidy. CDFIs are willing to lend at below-market rates to projects that serve their communities, in exchange for the mission alignment that commercial banks may not prioritize.</w:t>
      </w:r>
    </w:p>
    <w:p>
      <w:pPr>
        <w:pStyle w:val="BodyText"/>
      </w:pPr>
      <w:r>
        <w:t xml:space="preserve">In an MDI capital stack, a CDFI might provide the debt financing, the loan component of the stack, at an interest rate below what a commercial bank would charge, because the CDFI values the social outcomes of the project. This lower interest rate reduces the annual debt service cost of the project, improving its operational sustainability.</w:t>
      </w:r>
    </w:p>
    <w:p>
      <w:pPr>
        <w:pStyle w:val="BodyText"/>
      </w:pPr>
      <w:r>
        <w:t xml:space="preserve">A Complete Capital Stack Example</w:t>
      </w:r>
    </w:p>
    <w:p>
      <w:pPr>
        <w:pStyle w:val="BodyText"/>
      </w:pPr>
      <w:r>
        <w:t xml:space="preserve">A 150-unit MDI tower conversion of a distressed Class B office building in downtown Los Angeles might assemble a capital stack that looks approximately like this:</w:t>
      </w:r>
    </w:p>
    <w:p>
      <w:pPr>
        <w:pStyle w:val="BodyText"/>
      </w:pPr>
      <w:r>
        <w:t xml:space="preserve">LIHTC equity provides roughly 45 percent of total project cost, generated by the sale of federal tax credits to institutional investors. NMTC allocation provides an additional 15 percent, layered on top of the LIHTC transaction. A social impact bond provides 15 percent as private investor capital secured against projected municipal savings. Hospital capital contributions provide 10 percent in exchange for dedicated discharge beds. A CDFI loan provides 10 percent in below-market debt. Municipal land contribution, the city contributes land or a distressed building at nominal value, provides the remaining 5 percent.</w:t>
      </w:r>
    </w:p>
    <w:p>
      <w:pPr>
        <w:pStyle w:val="BodyText"/>
      </w:pPr>
      <w:r>
        <w:t xml:space="preserve">Total project cost for a 150-unit conversion at distressed commercial real estate pricing, approximately one-sixth of ground-up construction cost, per Urban Land Institute estimates for the post-COVID market, is roughly $30 to $40 million, compared to $180 to $240 million for equivalent ground-up construction. The capital stack described above is achievable at that price point.</w:t>
      </w:r>
    </w:p>
    <w:p>
      <w:pPr>
        <w:pStyle w:val="BodyText"/>
      </w:pPr>
      <w:r>
        <w:t xml:space="preserve">This is not speculation. The individual financing instruments described above are all in active use. The challenge is assembling them in a single coherent transaction, which requires sophisticated financial structuring, legal coordination, and relationships with the right investors and lenders. That challenge is real. But it is a financial engineering challenge, not a fundamental obstacle.</w:t>
      </w:r>
    </w:p>
    <w:p>
      <w:r>
        <w:pict>
          <v:rect style="width:0;height:1.5pt" o:hralign="center" o:hrstd="t" o:hr="t"/>
        </w:pict>
      </w:r>
    </w:p>
    <w:bookmarkEnd w:id="71"/>
    <w:bookmarkEnd w:id="72"/>
    <w:bookmarkStart w:id="74" w:name="X2191b3181ac1d3c3164c6e6d2a5a23ce0d767bd"/>
    <w:p>
      <w:pPr>
        <w:pStyle w:val="Heading1"/>
      </w:pPr>
      <w:r>
        <w:t xml:space="preserve">Chapter 22: The Institutional Waste Argument</w:t>
      </w:r>
    </w:p>
    <w:bookmarkStart w:id="73" w:name="X372a48297d24115962ebe3e89fdeba6f01c9bad"/>
    <w:p>
      <w:pPr>
        <w:pStyle w:val="Heading2"/>
      </w:pPr>
      <w:r>
        <w:t xml:space="preserve">Chapter 22: The Institutional Waste Argument</w:t>
      </w:r>
    </w:p>
    <w:p>
      <w:pPr>
        <w:pStyle w:val="FirstParagraph"/>
      </w:pPr>
      <w:r>
        <w:t xml:space="preserve">In 2023, a UCLA study examining Los Angeles County’s homelessness spending found that the average cost to the system per chronically unsheltered individual per year, counting emergency room visits, ambulance runs, police responses, incarceration, psychiatric emergency services, and the administrative costs of programs that do not produce durable housing, exceeded $100,000. The average cost of a fully supported MDI residential slot, including clinical services, nutrition, maintenance, and overhead, was projected at approximately $40,000 to $60,000 per year.</w:t>
      </w:r>
    </w:p>
    <w:p>
      <w:pPr>
        <w:pStyle w:val="BodyText"/>
      </w:pPr>
      <w:r>
        <w:t xml:space="preserve">The reactive system costs more than the preventative system. It produces worse outcomes. And it continues to be funded, year after year, because the institutional and political structures that maintain it have strong interests in their own continuation.</w:t>
      </w:r>
    </w:p>
    <w:p>
      <w:pPr>
        <w:pStyle w:val="BodyText"/>
      </w:pPr>
      <w:r>
        <w:t xml:space="preserve">This is the institutional waste argument, and it is both the strongest fiscal case for MDI and the most significant explanation for why MDI has not been built.</w:t>
      </w:r>
    </w:p>
    <w:p>
      <w:pPr>
        <w:pStyle w:val="BodyText"/>
      </w:pPr>
      <w:r>
        <w:t xml:space="preserve">The 85 Percent Waste Index</w:t>
      </w:r>
    </w:p>
    <w:p>
      <w:pPr>
        <w:pStyle w:val="BodyText"/>
      </w:pPr>
      <w:r>
        <w:t xml:space="preserve">The 85 percent waste index, the figure representing the proportion of reactive municipal spending that produces no durable reduction in the unsheltered population, is derived from analysis of California State Auditor findings and HUD Office of Inspector General efficiency analyses. It is an illustrative parameter, not a precisely calculated number. But the direction of the finding is not in serious dispute: the vast majority of current municipal homelessness spending is reactive management of symptoms, not investment in infrastructure that addresses causes.</w:t>
      </w:r>
    </w:p>
    <w:p>
      <w:pPr>
        <w:pStyle w:val="BodyText"/>
      </w:pPr>
      <w:r>
        <w:t xml:space="preserve">Reactive spending includes: emergency room visits for conditions that preventative stabilization would have avoided; ambulance transports triggered by crises that adequate shelter would have prevented; police responses to encampment complaints and survival behavior violations; incarceration for non-violent survival behaviors; psychiatric emergency services for crises that clinical stabilization would have intercepted; and the enormous administrative apparatus of programs that enroll people, provide temporary services, and then lose them back to the street without producing durable change.</w:t>
      </w:r>
    </w:p>
    <w:p>
      <w:pPr>
        <w:pStyle w:val="BodyText"/>
      </w:pPr>
      <w:r>
        <w:t xml:space="preserve">Each of these expenditures is a response to a real crisis in the moment it occurs. The problem is not that the responders are wrong to respond. The problem is that the system is structured to produce the crises rather than to prevent them. Every dollar spent on an ambulance run that could have been prevented by a stabilization environment is a dollar that did not build the stabilization environment. The reactive system is self-perpetuating.</w:t>
      </w:r>
    </w:p>
    <w:p>
      <w:pPr>
        <w:pStyle w:val="BodyText"/>
      </w:pPr>
      <w:r>
        <w:t xml:space="preserve">Institutional Capture</w:t>
      </w:r>
    </w:p>
    <w:p>
      <w:pPr>
        <w:pStyle w:val="BodyText"/>
      </w:pPr>
      <w:r>
        <w:t xml:space="preserve">Why does the reactive system persist despite its failure? The answer is not primarily ignorance. Most people working in the homelessness system understand its limitations. The answer is institutional capture: the structural dynamic in which organizations that are built around the current model have budget allocations, staff positions, contractual relationships, and political constituencies that depend on the continuation of that model.</w:t>
      </w:r>
    </w:p>
    <w:p>
      <w:pPr>
        <w:pStyle w:val="BodyText"/>
      </w:pPr>
      <w:r>
        <w:t xml:space="preserve">A city agency whose budget depends on administering emergency shelter contracts has an institutional interest in the continuation of emergency shelter as the primary response to homelessness. This is not malice. It is the ordinary behavior of organizations in competitive resource environments. Organizations protect their budgets. Programs protect their contracts. Staff protect their positions. None of these behaviors requires bad intent, and none of them is the result of policy analysis. They are the structural outputs of institutional self-preservation in a resource-constrained environment.</w:t>
      </w:r>
    </w:p>
    <w:p>
      <w:pPr>
        <w:pStyle w:val="BodyText"/>
      </w:pPr>
      <w:r>
        <w:t xml:space="preserve">Acknowledging this is not cynicism. It is a prerequisite for designing around it. A reform proposal that requires existing institutions to voluntarily reduce their own budgets will fail, because institutions do not voluntarily reduce their own budgets. A reform proposal that creates new institutions with new budget streams, that demonstrates superior outcomes through rigorous measurement, and that builds political constituencies around those outcomes has a chance of succeeding.</w:t>
      </w:r>
    </w:p>
    <w:p>
      <w:pPr>
        <w:pStyle w:val="BodyText"/>
      </w:pPr>
      <w:r>
        <w:t xml:space="preserve">The Outcomes Audit Requirement</w:t>
      </w:r>
    </w:p>
    <w:p>
      <w:pPr>
        <w:pStyle w:val="BodyText"/>
      </w:pPr>
      <w:r>
        <w:t xml:space="preserve">The solution to institutional waste is not simply spending more money or spending less money. It is changing what the money is measured against. Currently, most homelessness programs are accountable for administrative throughput: how many people were served, how many beds were filled, how many appointments were kept. These are process measures. They tell you whether the program is operating. They do not tell you whether the program is working.</w:t>
      </w:r>
    </w:p>
    <w:p>
      <w:pPr>
        <w:pStyle w:val="BodyText"/>
      </w:pPr>
      <w:r>
        <w:t xml:space="preserve">MDI’s effectiveness depends on measuring genuine biological and civic outcomes: rates of prefrontal recovery as measured by validated cognitive assessments, rates of stable housing retention at 6 and 12 months, rates of emergency room utilization before and after MDI enrollment, rates of psychiatric hospitalization before and after enrollment, rates of municipal criminal justice contact before and after enrollment. These are outcome measures. They tell you whether the program is working.</w:t>
      </w:r>
    </w:p>
    <w:p>
      <w:pPr>
        <w:pStyle w:val="BodyText"/>
      </w:pPr>
      <w:r>
        <w:t xml:space="preserve">The social impact bond mechanism described in Chapter 21 is one mechanism for creating financial accountability to outcomes: investors only get paid if verified outcomes are achieved, which creates a financial incentive for the program to prioritize genuine outcomes over administrative throughput. But the outcomes audit requirement is broader than the bond mechanism. It applies to all MDI programming: every expenditure should be traceable to a clinical outcome, and clinical outcomes should be regularly and independently verified.</w:t>
      </w:r>
    </w:p>
    <w:p>
      <w:r>
        <w:pict>
          <v:rect style="width:0;height:1.5pt" o:hralign="center" o:hrstd="t" o:hr="t"/>
        </w:pict>
      </w:r>
    </w:p>
    <w:bookmarkEnd w:id="73"/>
    <w:bookmarkEnd w:id="74"/>
    <w:bookmarkStart w:id="75" w:name="unit-six-objections-and-answers"/>
    <w:p>
      <w:pPr>
        <w:pStyle w:val="Heading1"/>
      </w:pPr>
      <w:r>
        <w:t xml:space="preserve">Unit Six — Objections and Answers</w:t>
      </w:r>
    </w:p>
    <w:p>
      <w:r>
        <w:pict>
          <v:rect style="width:0;height:1.5pt" o:hralign="center" o:hrstd="t" o:hr="t"/>
        </w:pict>
      </w:r>
    </w:p>
    <w:bookmarkEnd w:id="75"/>
    <w:bookmarkStart w:id="77" w:name="X22d9101bfc7ce7a3a43d438366a3ff986812df0"/>
    <w:p>
      <w:pPr>
        <w:pStyle w:val="Heading1"/>
      </w:pPr>
      <w:r>
        <w:t xml:space="preserve">Chapter 23: Ten Objections and Why They Fail</w:t>
      </w:r>
    </w:p>
    <w:bookmarkStart w:id="76" w:name="Xbd4e0c4fa03c24455df3a2cf9bc7cbdf8347a1b"/>
    <w:p>
      <w:pPr>
        <w:pStyle w:val="Heading2"/>
      </w:pPr>
      <w:r>
        <w:t xml:space="preserve">Chapter 23: Ten Objections and Why They Fail</w:t>
      </w:r>
    </w:p>
    <w:p>
      <w:pPr>
        <w:pStyle w:val="FirstParagraph"/>
      </w:pPr>
      <w:r>
        <w:t xml:space="preserve">Every serious idea meets resistance. Much of that resistance is bad faith, political opposition, institutional self-interest, NIMBYism. But a significant portion of the resistance to the MDI model comes from intelligent, well-intentioned people who see genuine risks in the approach. These objections deserve serious answers, not dismissal.</w:t>
      </w:r>
    </w:p>
    <w:p>
      <w:pPr>
        <w:pStyle w:val="BodyText"/>
      </w:pPr>
      <w:r>
        <w:t xml:space="preserve">What follows is a direct engagement with the ten most common and most substantive objections to MDI. Each is stated in its strongest form; the error in the reasoning is identified; and a direct answer is provided.</w:t>
      </w:r>
    </w:p>
    <w:p>
      <w:pPr>
        <w:pStyle w:val="BodyText"/>
      </w:pPr>
      <w:r>
        <w:t xml:space="preserve">Objection 1: The Technocratic Authoritarian Objection</w:t>
      </w:r>
    </w:p>
    <w:p>
      <w:pPr>
        <w:pStyle w:val="BodyText"/>
      </w:pPr>
      <w:r>
        <w:t xml:space="preserve">The objection: MDI is the carceral state in medical clothing. It uses the language of clinical care to justify coercive control over vulnerable and marginalized people. Compelled stabilization is institutionalization rebranded.</w:t>
      </w:r>
    </w:p>
    <w:p>
      <w:pPr>
        <w:pStyle w:val="BodyText"/>
      </w:pPr>
      <w:r>
        <w:t xml:space="preserve">The error: This objection conflates the specific, narrow sub-population to whom compulsion applies with the general population served by the system. Ninety percent or more of MDI residents are served on a voluntary basis. Compulsion applies exclusively below the biological floor of cognitive agency, to a defined sub-population experiencing neurological impairment of consent capacity, under judicial oversight, with multiple legal safeguards. The objection applies the conditions of the extreme case to the entire system.</w:t>
      </w:r>
    </w:p>
    <w:p>
      <w:pPr>
        <w:pStyle w:val="BodyText"/>
      </w:pPr>
      <w:r>
        <w:t xml:space="preserve">The answer: MDI’s compelled care provisions are constrained by more legal safeguards than any other form of medical compulsion currently in use. They are decoupled from the criminal justice system. They require judicial oversight. They are limited in duration. They are available only when all voluntary alternatives have failed. The goal of compulsion is the restoration of the cognitive capacity for autonomous choice, not the permanent management of inconvenient people. The historical abuses of institutionalization were abuses precisely because they lacked these safeguards. MDI’s design is a direct response to that history, not a repetition of it.</w:t>
      </w:r>
    </w:p>
    <w:p>
      <w:pPr>
        <w:pStyle w:val="BodyText"/>
      </w:pPr>
      <w:r>
        <w:t xml:space="preserve">Objection 2: The Housing-Reductionist Objection</w:t>
      </w:r>
    </w:p>
    <w:p>
      <w:pPr>
        <w:pStyle w:val="BodyText"/>
      </w:pPr>
      <w:r>
        <w:t xml:space="preserve">The objection: Just give people apartments. Housing First works. The evidence is clear that permanent housing without preconditions is the most effective intervention.</w:t>
      </w:r>
    </w:p>
    <w:p>
      <w:pPr>
        <w:pStyle w:val="BodyText"/>
      </w:pPr>
      <w:r>
        <w:t xml:space="preserve">The error: This objection correctly describes the evidence for Housing First with the population for which it was designed, and incorrectly applies it to a different population. Housing First has strong evidence for people with intact enough cognitive function to utilize independent housing. It does not have strong evidence for the C-pipeline cohort, people whose neurological damage is severe enough that independent apartment living produces crisis rather than stability.</w:t>
      </w:r>
    </w:p>
    <w:p>
      <w:pPr>
        <w:pStyle w:val="BodyText"/>
      </w:pPr>
      <w:r>
        <w:t xml:space="preserve">The answer: Housing First and MDI are not competing models. They serve different populations. Housing First is the right intervention for Pipeline A and many Pipeline B individuals. MDI Phase Zero stabilization is the right intervention for Pipeline C individuals who cannot yet utilize independent housing. Once MDI produces the biological recovery that restores the capacity for independent living, the individual is ready for Housing First. MDI is the prerequisite for Housing First to work with the most severely affected population.</w:t>
      </w:r>
    </w:p>
    <w:p>
      <w:pPr>
        <w:pStyle w:val="BodyText"/>
      </w:pPr>
      <w:r>
        <w:t xml:space="preserve">Objection 3: The Monolithic Cohort Objection</w:t>
      </w:r>
    </w:p>
    <w:p>
      <w:pPr>
        <w:pStyle w:val="BodyText"/>
      </w:pPr>
      <w:r>
        <w:t xml:space="preserve">The objection: MDI restricts the agency of the homeless population and subjects them to excessive structural regulation.</w:t>
      </w:r>
    </w:p>
    <w:p>
      <w:pPr>
        <w:pStyle w:val="BodyText"/>
      </w:pPr>
      <w:r>
        <w:t xml:space="preserve">The error: This objection treats</w:t>
      </w:r>
      <w:r>
        <w:t xml:space="preserve"> </w:t>
      </w:r>
      <w:r>
        <w:t xml:space="preserve">“</w:t>
      </w:r>
      <w:r>
        <w:t xml:space="preserve">the homeless</w:t>
      </w:r>
      <w:r>
        <w:t xml:space="preserve">”</w:t>
      </w:r>
      <w:r>
        <w:t xml:space="preserve"> </w:t>
      </w:r>
      <w:r>
        <w:t xml:space="preserve">as a uniform population, when the MDI model’s central insight is that they are not. Different pipeline categories require different interventions. Pipeline D individuals face no coercive intervention at all under MDI; they receive harm reduction services and are left to their chosen way of life.</w:t>
      </w:r>
    </w:p>
    <w:p>
      <w:pPr>
        <w:pStyle w:val="BodyText"/>
      </w:pPr>
      <w:r>
        <w:t xml:space="preserve">The answer: MDI is a differentiated system. The degree of intervention is calibrated to the degree of need. No one who has not crossed the biological floor into genuine physiological crisis faces any compelled intervention under MDI. The Anti-Detention Covenant is a hard guarantee for the nomadic cohort. The clinical tools apply only to those who need them.</w:t>
      </w:r>
    </w:p>
    <w:p>
      <w:pPr>
        <w:pStyle w:val="BodyText"/>
      </w:pPr>
      <w:r>
        <w:t xml:space="preserve">Objection 4: The Fiscal Impossibility Objection</w:t>
      </w:r>
    </w:p>
    <w:p>
      <w:pPr>
        <w:pStyle w:val="BodyText"/>
      </w:pPr>
      <w:r>
        <w:t xml:space="preserve">The objection: We cannot afford this. MDI towers are expensive to build, expensive to operate, and represent an unrealistic demand on strained municipal budgets.</w:t>
      </w:r>
    </w:p>
    <w:p>
      <w:pPr>
        <w:pStyle w:val="BodyText"/>
      </w:pPr>
      <w:r>
        <w:t xml:space="preserve">The error: This objection evaluates MDI capital cost in isolation while ignoring the ongoing and rising cost of reactive management. It also ignores the significant reduction in construction cost achievable through distressed CRE conversion, the federal and state funding streams available to finance the project, and the revenue generated by Medicaid billing.</w:t>
      </w:r>
    </w:p>
    <w:p>
      <w:pPr>
        <w:pStyle w:val="BodyText"/>
      </w:pPr>
      <w:r>
        <w:t xml:space="preserve">The answer: The question is not whether MDI is expensive. It is whether MDI is more or less expensive than the current system. Current reactive management costs exceed $100,000 per person per year in Los Angeles and produces no durable resolution. A fully financed MDI slot costs $40,000 to $60,000 per year and produces measurable neurological and civic outcomes. The cost comparison favors MDI. Additionally, distressed CRE acquisition at post-COVID pricing reduces all-in conversion costs to approximately one-sixth of ground-up construction, making the initial capital cost manageable within an assemblyable capital stack.</w:t>
      </w:r>
    </w:p>
    <w:p>
      <w:pPr>
        <w:pStyle w:val="BodyText"/>
      </w:pPr>
      <w:r>
        <w:t xml:space="preserve">Objection 5: The Privacy and Surveillance Objection</w:t>
      </w:r>
    </w:p>
    <w:p>
      <w:pPr>
        <w:pStyle w:val="BodyText"/>
      </w:pPr>
      <w:r>
        <w:t xml:space="preserve">The objection: Biometric access systems in MDI towers violate civil liberties and impose unacceptable surveillance on an already marginalized population.</w:t>
      </w:r>
    </w:p>
    <w:p>
      <w:pPr>
        <w:pStyle w:val="BodyText"/>
      </w:pPr>
      <w:r>
        <w:t xml:space="preserve">The error: This objection imports middle-class privacy expectations into a context where the relevant comparison is not</w:t>
      </w:r>
      <w:r>
        <w:t xml:space="preserve"> </w:t>
      </w:r>
      <w:r>
        <w:t xml:space="preserve">“</w:t>
      </w:r>
      <w:r>
        <w:t xml:space="preserve">apartment building vs. MDI tower</w:t>
      </w:r>
      <w:r>
        <w:t xml:space="preserve">”</w:t>
      </w:r>
      <w:r>
        <w:t xml:space="preserve"> </w:t>
      </w:r>
      <w:r>
        <w:t xml:space="preserve">but</w:t>
      </w:r>
      <w:r>
        <w:t xml:space="preserve"> </w:t>
      </w:r>
      <w:r>
        <w:t xml:space="preserve">“</w:t>
      </w:r>
      <w:r>
        <w:t xml:space="preserve">street vs. MDI tower.</w:t>
      </w:r>
      <w:r>
        <w:t xml:space="preserve">”</w:t>
      </w:r>
      <w:r>
        <w:t xml:space="preserve"> </w:t>
      </w:r>
      <w:r>
        <w:t xml:space="preserve">On the street, people experiencing homelessness face lethal predation in unguarded public space. The biometric systems in MDI towers protect stabilized residents from external predation.</w:t>
      </w:r>
    </w:p>
    <w:p>
      <w:pPr>
        <w:pStyle w:val="BodyText"/>
      </w:pPr>
      <w:r>
        <w:t xml:space="preserve">The answer: Biometric access applies only to residential floors. The ground floor commons, Phase Zero intake, harm reduction services, nutrition, is ungated and unmonitored. No identification is required to access the commons. The biometric access on residential floors exists to protect the people who have begun stabilizing from the predatory intrusion that makes street environments so dangerous. Oscar Newman’s Defensible Space Theory, the principle that architectural design can protect communities by controlling access to space, applies here. The biometric system is not surveillance. It is protection.</w:t>
      </w:r>
    </w:p>
    <w:p>
      <w:pPr>
        <w:pStyle w:val="BodyText"/>
      </w:pPr>
      <w:r>
        <w:t xml:space="preserve">Objection 6: The Classification Bias Objection</w:t>
      </w:r>
    </w:p>
    <w:p>
      <w:pPr>
        <w:pStyle w:val="BodyText"/>
      </w:pPr>
      <w:r>
        <w:t xml:space="preserve">The objection: Defining cognitive collapse and mandating stabilization weaponizes medical assessment against marginalized and racialized populations.</w:t>
      </w:r>
    </w:p>
    <w:p>
      <w:pPr>
        <w:pStyle w:val="BodyText"/>
      </w:pPr>
      <w:r>
        <w:t xml:space="preserve">The error: This objection conflates psychiatric variance with objective biological indicators. MDI thresholds are defined by thermoregulatory failure, severe caloric deficiency, prolonged sleep deprivation, and measurable cognitive impairment, not by behavioral non-conformity, lifestyle choices, or any characteristic that maps onto social identity.</w:t>
      </w:r>
    </w:p>
    <w:p>
      <w:pPr>
        <w:pStyle w:val="BodyText"/>
      </w:pPr>
      <w:r>
        <w:t xml:space="preserve">The answer: The cultural assessment requirement is a hard prerequisite precisely because classification bias is a real risk. No pipeline assignment occurs without a completed cultural and linguistic baseline. The clinical indicators used for classification, temperature, weight, sleep continuity, orientation, are objective biological measurements. The system does not classify people for behaving differently. It classifies people who are in biological danger.</w:t>
      </w:r>
    </w:p>
    <w:p>
      <w:pPr>
        <w:pStyle w:val="BodyText"/>
      </w:pPr>
      <w:r>
        <w:t xml:space="preserve">Objection 7: The Pseudoscience Objection</w:t>
      </w:r>
    </w:p>
    <w:p>
      <w:pPr>
        <w:pStyle w:val="BodyText"/>
      </w:pPr>
      <w:r>
        <w:t xml:space="preserve">The objection: Applying thermodynamics to human dignity is pseudoscience. Entropy is a property of physical systems, not of people.</w:t>
      </w:r>
    </w:p>
    <w:p>
      <w:pPr>
        <w:pStyle w:val="BodyText"/>
      </w:pPr>
      <w:r>
        <w:t xml:space="preserve">The error: This objection mistakes a conceptual model for a formal mathematical equation. The thermodynamic framework in the MDI model is an analogical heuristic, a teaching tool designed to make the biological reality precise and communicable. The biological evidence is entirely independent of the analogy.</w:t>
      </w:r>
    </w:p>
    <w:p>
      <w:pPr>
        <w:pStyle w:val="BodyText"/>
      </w:pPr>
      <w:r>
        <w:t xml:space="preserve">The answer: Remove the thermodynamic framework from the argument and the biological case stands without it. Chronic stress activates the HPA axis. Chronic cortisol exposure damages prefrontal cortex structure. Sleep deprivation produces cumulative neurological injury. Caloric deficiency impairs cognitive function. These are not analogies. They are documented findings from peer-reviewed neuroscience. The thermodynamic framework is a useful way of communicating the physical logic of these findings, not a substitute for them.</w:t>
      </w:r>
    </w:p>
    <w:p>
      <w:pPr>
        <w:pStyle w:val="BodyText"/>
      </w:pPr>
      <w:r>
        <w:t xml:space="preserve">Objection 8: The Engineering Feasibility Objection</w:t>
      </w:r>
    </w:p>
    <w:p>
      <w:pPr>
        <w:pStyle w:val="BodyText"/>
      </w:pPr>
      <w:r>
        <w:t xml:space="preserve">The objection: Zoning regulations and community opposition make the rapid deployment of MDI towers structurally impossible.</w:t>
      </w:r>
    </w:p>
    <w:p>
      <w:pPr>
        <w:pStyle w:val="BodyText"/>
      </w:pPr>
      <w:r>
        <w:t xml:space="preserve">The error: This objection accepts administrative barriers as permanent features of the landscape, when they are policy choices that can be changed by political will. The history of urban infrastructure is the history of zoning barriers being overcome when the political will and the public health justification existed.</w:t>
      </w:r>
    </w:p>
    <w:p>
      <w:pPr>
        <w:pStyle w:val="BodyText"/>
      </w:pPr>
      <w:r>
        <w:t xml:space="preserve">The answer: MDI seeks utility classification, the designation of stabilization infrastructure as public health utility rather than residential development. Public health utilities have historically accessed different regulatory pathways than residential projects, precisely because essential infrastructure cannot be permanently blocked by discretionary zoning vetoes. Water treatment plants face community opposition. Utility classification allows them to be built anyway. MDI towers are public health infrastructure. The same principle applies.</w:t>
      </w:r>
    </w:p>
    <w:p>
      <w:pPr>
        <w:pStyle w:val="BodyText"/>
      </w:pPr>
      <w:r>
        <w:t xml:space="preserve">Objection 9: The Predator-Victim Binary Objection</w:t>
      </w:r>
    </w:p>
    <w:p>
      <w:pPr>
        <w:pStyle w:val="BodyText"/>
      </w:pPr>
      <w:r>
        <w:t xml:space="preserve">The objection: Separating encampment residents into victims and predators oversimplifies the social dynamics of street communities. This framing could be used to justify carceral sweeps disguised as medical extraction.</w:t>
      </w:r>
    </w:p>
    <w:p>
      <w:pPr>
        <w:pStyle w:val="BodyText"/>
      </w:pPr>
      <w:r>
        <w:t xml:space="preserve">The error: This objection treats the analysis of predatory exploitation within encampments as a denial of survival behavior, and conflates the observation that predation exists with the conclusion that all behavior in encampments is equivalent.</w:t>
      </w:r>
    </w:p>
    <w:p>
      <w:pPr>
        <w:pStyle w:val="BodyText"/>
      </w:pPr>
      <w:r>
        <w:t xml:space="preserve">The answer: The MDI model does not claim that all people in encampments are victims or that all people in encampments are predators. It observes, correctly, that encampments concentrate neurologically vulnerable people in unguarded space, which, as Routine Activity Theory predicts, creates optimal conditions for predation regardless of the intentions of any individual. MDI extraction is not a criminal action against encampment residents. It is the provision of a genuine alternative that removes the captive market that sustains predatory operations. The goal is not to punish encampment communities. It is to build the infrastructure that makes the street a less attractive option than the tower.</w:t>
      </w:r>
    </w:p>
    <w:p>
      <w:pPr>
        <w:pStyle w:val="BodyText"/>
      </w:pPr>
      <w:r>
        <w:t xml:space="preserve">Objection 10: The Silver Bullet Objection</w:t>
      </w:r>
    </w:p>
    <w:p>
      <w:pPr>
        <w:pStyle w:val="BodyText"/>
      </w:pPr>
      <w:r>
        <w:t xml:space="preserve">The objection: Homelessness is caused by housing markets, structural racism, deindustrialization, and inequality. A single engineering intervention cannot solve a problem with such complex structural causes.</w:t>
      </w:r>
    </w:p>
    <w:p>
      <w:pPr>
        <w:pStyle w:val="BodyText"/>
      </w:pPr>
      <w:r>
        <w:t xml:space="preserve">The error: This objection confuses a biological prerequisite with a complete solution. MDI does not claim to resolve housing markets, structural racism, or economic inequality. It claims to restore the neurological floor without which no subsequent intervention, including those addressing housing markets, racism, and inequality, can function.</w:t>
      </w:r>
    </w:p>
    <w:p>
      <w:pPr>
        <w:pStyle w:val="BodyText"/>
      </w:pPr>
      <w:r>
        <w:t xml:space="preserve">The answer: MDI is a prerequisite, not a solution. Without restored prefrontal cortex function, a person cannot participate in job training, cannot maintain a housing subsidy, cannot navigate a housing search, cannot engage with therapeutic services. MDI restores the capacity for engagement. What people do with that restored capacity depends on the other systems, housing markets, employment support, healthcare, that must also be fixed. But those other systems cannot produce outcomes with a population that lacks the biological capacity to engage with them. The prerequisite must come first.</w:t>
      </w:r>
    </w:p>
    <w:p>
      <w:r>
        <w:pict>
          <v:rect style="width:0;height:1.5pt" o:hralign="center" o:hrstd="t" o:hr="t"/>
        </w:pict>
      </w:r>
    </w:p>
    <w:bookmarkEnd w:id="76"/>
    <w:bookmarkEnd w:id="77"/>
    <w:bookmarkStart w:id="78" w:name="unit-seven-making-it-happen"/>
    <w:p>
      <w:pPr>
        <w:pStyle w:val="Heading1"/>
      </w:pPr>
      <w:r>
        <w:t xml:space="preserve">Unit Seven — Making It Happen</w:t>
      </w:r>
    </w:p>
    <w:p>
      <w:r>
        <w:pict>
          <v:rect style="width:0;height:1.5pt" o:hralign="center" o:hrstd="t" o:hr="t"/>
        </w:pict>
      </w:r>
    </w:p>
    <w:bookmarkEnd w:id="78"/>
    <w:bookmarkStart w:id="80" w:name="X5e7d95aa63e4eb643a72ca4505452a3c90c831c"/>
    <w:p>
      <w:pPr>
        <w:pStyle w:val="Heading1"/>
      </w:pPr>
      <w:r>
        <w:t xml:space="preserve">Chapter 24: Riparian Encampments and Environmental Law</w:t>
      </w:r>
    </w:p>
    <w:bookmarkStart w:id="79" w:name="X0c9d82962004c84e2eafc218d396bba85499802"/>
    <w:p>
      <w:pPr>
        <w:pStyle w:val="Heading2"/>
      </w:pPr>
      <w:r>
        <w:t xml:space="preserve">Chapter 24: Riparian Encampments and Environmental Law</w:t>
      </w:r>
    </w:p>
    <w:p>
      <w:pPr>
        <w:pStyle w:val="FirstParagraph"/>
      </w:pPr>
      <w:r>
        <w:t xml:space="preserve">The Los Angeles River is 51 miles long. For most of its length, it runs through a concrete channel, engineered in the 1930s and 1940s to prevent the catastrophic flooding that had repeatedly inundated the Los Angeles basin. But at certain points along its course, particularly in the reaches that pass through Elysian Valley, the Sepulveda Basin, and the lower river near Long Beach, the river retains its natural character: willow woodland, mulefat scrub, native reeds, and the associated wildlife that depends on riparian habitat in an otherwise densely urbanized landscape.</w:t>
      </w:r>
    </w:p>
    <w:p>
      <w:pPr>
        <w:pStyle w:val="BodyText"/>
      </w:pPr>
      <w:r>
        <w:t xml:space="preserve">These natural reaches are federally protected under the Clean Water Act and the Migratory Bird Treaty Act. They are home to bird species that migrate through the Pacific Flyway, to native fish species that have been reintroduced through decades of conservation effort, and to a range of invertebrates and plant communities that exist nowhere else in the urban core. They are also home to hundreds of people who have built encampments in the vegetation along the river banks.</w:t>
      </w:r>
    </w:p>
    <w:p>
      <w:pPr>
        <w:pStyle w:val="BodyText"/>
      </w:pPr>
      <w:r>
        <w:t xml:space="preserve">This is the dual crisis that the C-Riparian pipeline category is designed to address.</w:t>
      </w:r>
    </w:p>
    <w:p>
      <w:pPr>
        <w:pStyle w:val="BodyText"/>
      </w:pPr>
      <w:r>
        <w:t xml:space="preserve">The Environmental Obligation</w:t>
      </w:r>
    </w:p>
    <w:p>
      <w:pPr>
        <w:pStyle w:val="BodyText"/>
      </w:pPr>
      <w:r>
        <w:t xml:space="preserve">The Clean Water Act requires municipalities to eliminate documented sources of water quality violations in jurisdictional waterways. Encampments along the Los Angeles River generate multiple categories of water quality violations: human waste and associated pathogens enter the groundwater and the river through direct deposit and stormwater flow. Pharmaceutical residue from discarded medications and drug use contaminate the water column. Decomposing organic material from abandoned food waste increases biological oxygen demand in the river, stressing aquatic life. Improper disposal of batteries, electronics, and other materials introduces heavy metals and synthetic chemicals.</w:t>
      </w:r>
    </w:p>
    <w:p>
      <w:pPr>
        <w:pStyle w:val="BodyText"/>
      </w:pPr>
      <w:r>
        <w:t xml:space="preserve">These are not hypothetical harms. They have been documented by water quality monitoring, and the municipality has legal obligations to address them regardless of how the contamination is being generated. The presence of people in the encampments does not excuse the municipality from its Clean Water Act obligations. But it absolutely determines how those obligations must be fulfilled.</w:t>
      </w:r>
    </w:p>
    <w:p>
      <w:pPr>
        <w:pStyle w:val="BodyText"/>
      </w:pPr>
      <w:r>
        <w:t xml:space="preserve">The Sequencing Requirement</w:t>
      </w:r>
    </w:p>
    <w:p>
      <w:pPr>
        <w:pStyle w:val="BodyText"/>
      </w:pPr>
      <w:r>
        <w:t xml:space="preserve">The MDI model is explicit and non-negotiable on this point: human clinical extraction must precede environmental remediation in every case. Clean Water Act restoration protocols are placed on hold until ACT field teams have completed the extraction process.</w:t>
      </w:r>
    </w:p>
    <w:p>
      <w:pPr>
        <w:pStyle w:val="BodyText"/>
      </w:pPr>
      <w:r>
        <w:t xml:space="preserve">This sequencing is required on both ethical and practical grounds. Ethically: you do not send remediation equipment and crews into an area where people are living, because displacement without a clinical alternative simply moves the problem without solving it and inflicts additional trauma on people who are already in crisis. Practically: environmental remediation that occurs while people are still in the area will need to be repeated, because the source of contamination has not been removed.</w:t>
      </w:r>
    </w:p>
    <w:p>
      <w:pPr>
        <w:pStyle w:val="BodyText"/>
      </w:pPr>
      <w:r>
        <w:t xml:space="preserve">The sequencing requirement demands close operational coordination between human services and environmental agencies, coordination that does not naturally occur because these agencies have different mandates, different budget cycles, and different institutional cultures. Creating the operational framework for that coordination is one of the primary challenges of C-Riparian response.</w:t>
      </w:r>
    </w:p>
    <w:p>
      <w:pPr>
        <w:pStyle w:val="BodyText"/>
      </w:pPr>
      <w:r>
        <w:t xml:space="preserve">Hazard Assessment and Remediation Levels</w:t>
      </w:r>
    </w:p>
    <w:p>
      <w:pPr>
        <w:pStyle w:val="BodyText"/>
      </w:pPr>
      <w:r>
        <w:t xml:space="preserve">After the human extraction is complete, the environmental response is calibrated to the hazard level of the site. The hazard assessment examines the degree of biological contamination, the presence and concentration of chemical contaminants, the proximity to sensitive habitat, and the extent of damage to native vegetation.</w:t>
      </w:r>
    </w:p>
    <w:p>
      <w:pPr>
        <w:pStyle w:val="BodyText"/>
      </w:pPr>
      <w:r>
        <w:t xml:space="preserve">Sites with hazard levels above a defined threshold, severe contamination or proximity to particularly sensitive habitat, trigger dispatch of the EPA Brownfield team, which has specialized expertise and equipment for remediating heavily contaminated sites. Below the high-hazard threshold, standard Clean Water Act restoration protocols apply: removal of accumulated waste and debris, soil remediation if necessary, revegetation with native species, and water quality monitoring to verify improvement.</w:t>
      </w:r>
    </w:p>
    <w:p>
      <w:pPr>
        <w:pStyle w:val="BodyText"/>
      </w:pPr>
      <w:r>
        <w:t xml:space="preserve">The revegetation work is an opportunity as well as an obligation. The native plant communities of the Los Angeles River riparian corridor, willows, cottonwoods, mulefat, native sedges and rushes, can be restored through deliberate planting using locally sourced native plant material. Restored riparian habitat provides ecological services that benefit the entire urban watershed, and its restoration is a genuine long-term contribution to the environmental quality of the city.</w:t>
      </w:r>
    </w:p>
    <w:p>
      <w:pPr>
        <w:pStyle w:val="BodyText"/>
      </w:pPr>
      <w:r>
        <w:t xml:space="preserve">After Extraction: Category Dissolution</w:t>
      </w:r>
    </w:p>
    <w:p>
      <w:pPr>
        <w:pStyle w:val="BodyText"/>
      </w:pPr>
      <w:r>
        <w:t xml:space="preserve">As established in Chapter 11, once an individual is extracted from the wetlands and provided initial stabilization, the C-Riparian designation dissolves. The individual is then classified in the standard pipeline framework. If anosognosia is present and the individual meets C-Calcified criteria, they enter that pathway. If not, they enter the B-Engageable pathway.</w:t>
      </w:r>
    </w:p>
    <w:p>
      <w:pPr>
        <w:pStyle w:val="BodyText"/>
      </w:pPr>
      <w:r>
        <w:t xml:space="preserve">The C-Riparian tag was never a description of who they are. It was a description of where they were and what the operational response to their location required. After extraction, their path forward is determined by their clinical state, not by where they were living.</w:t>
      </w:r>
    </w:p>
    <w:p>
      <w:r>
        <w:pict>
          <v:rect style="width:0;height:1.5pt" o:hralign="center" o:hrstd="t" o:hr="t"/>
        </w:pict>
      </w:r>
    </w:p>
    <w:bookmarkEnd w:id="79"/>
    <w:bookmarkEnd w:id="80"/>
    <w:bookmarkStart w:id="82" w:name="chapter-25-comparative-models"/>
    <w:p>
      <w:pPr>
        <w:pStyle w:val="Heading1"/>
      </w:pPr>
      <w:r>
        <w:t xml:space="preserve">Chapter 25: Comparative Models</w:t>
      </w:r>
    </w:p>
    <w:bookmarkStart w:id="81" w:name="chapter-25-comparative-models-1"/>
    <w:p>
      <w:pPr>
        <w:pStyle w:val="Heading2"/>
      </w:pPr>
      <w:r>
        <w:t xml:space="preserve">Chapter 25: Comparative Models</w:t>
      </w:r>
    </w:p>
    <w:p>
      <w:pPr>
        <w:pStyle w:val="FirstParagraph"/>
      </w:pPr>
      <w:r>
        <w:t xml:space="preserve">The MDI model exists in a policy landscape that already includes real federal initiatives and several alternative infrastructure proposals advanced by advocates and researchers with genuine intent. Some of these address real dimensions of the problem. All of them, when measured against the biological requirements described in Unit Two, leave critical gaps for the most severely affected population.</w:t>
      </w:r>
    </w:p>
    <w:p>
      <w:pPr>
        <w:pStyle w:val="BodyText"/>
      </w:pPr>
      <w:r>
        <w:t xml:space="preserve">This chapter examines the most politically significant current federal framework first, because it is the one most citizens will encounter in public debate. It then examines four alternative infrastructure models that have been proposed as solutions. Each has real strengths. Each has a specific failure mode that makes it insufficient for the Pipeline C population. Understanding those failure modes, and being precise about the mechanism of each, is necessary both for intellectual honesty about MDI’s claims and for building the policy case that integration is an engineering requirement rather than a design preference.</w:t>
      </w:r>
    </w:p>
    <w:p>
      <w:pPr>
        <w:pStyle w:val="BodyText"/>
      </w:pPr>
      <w:r>
        <w:t xml:space="preserve">The Trump-Era Federal Framework</w:t>
      </w:r>
    </w:p>
    <w:p>
      <w:pPr>
        <w:pStyle w:val="BodyText"/>
      </w:pPr>
      <w:r>
        <w:t xml:space="preserve">In July 2025, the Trump administration signed an executive order titled</w:t>
      </w:r>
      <w:r>
        <w:t xml:space="preserve"> </w:t>
      </w:r>
      <w:r>
        <w:t xml:space="preserve">“</w:t>
      </w:r>
      <w:r>
        <w:t xml:space="preserve">Ending Crime and Disorder on America’s Streets.</w:t>
      </w:r>
      <w:r>
        <w:t xml:space="preserve">”</w:t>
      </w:r>
      <w:r>
        <w:t xml:space="preserve"> </w:t>
      </w:r>
      <w:r>
        <w:t xml:space="preserve">The order redirected $100 million toward a program called STREETS, which funds urban camping bans, law enforcement training for mental health crisis response, and expanded access to treatment services. At the same time, Health and Human Services Secretary Robert F. Kennedy Jr. launched the Great American Recovery Initiative, a program that treats addiction as a treatable medical condition and funds recovery housing, meaning sober living arrangements that provide structure and peer support during early recovery.</w:t>
      </w:r>
    </w:p>
    <w:p>
      <w:pPr>
        <w:pStyle w:val="BodyText"/>
      </w:pPr>
      <w:r>
        <w:t xml:space="preserve">Together, these represent the most aggressive federal intervention in street homelessness in years. They deserve honest evaluation.</w:t>
      </w:r>
    </w:p>
    <w:p>
      <w:pPr>
        <w:pStyle w:val="BodyText"/>
      </w:pPr>
      <w:r>
        <w:t xml:space="preserve">The STREETS program’s funding for street-level outreach, mental health crisis response, and expanded treatment access can genuinely accelerate connections to services for Pipeline A and Pipeline B individuals. These are people who can use what is being offered. Faster deployment of resources, clearer program accountability, and the political will to treat homelessness as a crisis rather than a background condition are useful contributions. Kennedy’s insistence that addiction is a treatable medical condition rather than a moral failing aligns directly with the biological framework at the center of this book. His push for medication-assisted treatment, which uses FDA-approved medications to reduce cravings and stabilize brain chemistry during addiction recovery, is evidence-based and appropriate. Expanding recovery housing gives people who have completed intensive treatment a structured environment in which to consolidate their gains before moving to independent living.</w:t>
      </w:r>
    </w:p>
    <w:p>
      <w:pPr>
        <w:pStyle w:val="BodyText"/>
      </w:pPr>
      <w:r>
        <w:t xml:space="preserve">For the first two pipeline categories, these federal initiatives can shorten the time between a person’s crisis and their connection to stability. That matters.</w:t>
      </w:r>
    </w:p>
    <w:p>
      <w:pPr>
        <w:pStyle w:val="BodyText"/>
      </w:pPr>
      <w:r>
        <w:t xml:space="preserve">The gap opens with Pipeline C.</w:t>
      </w:r>
    </w:p>
    <w:p>
      <w:pPr>
        <w:pStyle w:val="BodyText"/>
      </w:pPr>
      <w:r>
        <w:t xml:space="preserve">Policies that condition housing on sobriety, or that require documented treatment compliance before providing shelter, rest on an assumption that the people being served can make and sustain those commitments. For Pipeline A, that assumption holds. For Pipeline C, it does not. The cognitive machinery required to keep appointments, comply with treatment plans, and maintain sobriety mandates has been damaged by years of chronic cortisol exposure, sleep deprivation, and nutritional deficit, the neuroscience described in Chapters 2 and 5. A brain that has been running on chronic stress hormones for years, deprived of adequate sleep for months, and denied consistent nutrition cannot perform the executive functions that voluntary treatment compliance requires. Providing these people with treatment opportunities before restoring the biological conditions that make treatment engagement possible produces one predictable outcome: they cycle through the system without improving, and each cycle deepens the institutional distrust described in Chapter 3.</w:t>
      </w:r>
    </w:p>
    <w:p>
      <w:pPr>
        <w:pStyle w:val="BodyText"/>
      </w:pPr>
      <w:r>
        <w:t xml:space="preserve">Enforcement compounds the problem. Clearing an encampment moves people. It does not stabilize them. The most severely affected individuals in Pipeline C return to encampment conditions because the conditions that drove them to the encampment have not changed. The street remains the path of least resistance when the alternative requires cognitive capabilities that have been neurologically compromised. A person swept from an encampment on Monday who has no clinical facility to enter will be sleeping in a new encampment by Friday. The sweep consumed resources. The person’s neurological condition did not improve. The public order disturbance was relocated, not resolved.</w:t>
      </w:r>
    </w:p>
    <w:p>
      <w:pPr>
        <w:pStyle w:val="BodyText"/>
      </w:pPr>
      <w:r>
        <w:t xml:space="preserve">The federal framework supports expanded use of Assisted Outpatient Treatment, the legal process described in Chapter 16 that allows a court to require a person with severe mental illness to receive psychiatric treatment. The question is not whether court-ordered treatment is a legitimate tool. This book argues that it is, under strict constraints. The question is whether the clinical infrastructure exists to make it meaningful. When court-ordered treatment is deployed as a rapid mechanism for clearing streets rather than as a carefully constrained clinical last resort, it adds institutional trauma to people who are already defined by accumulated institutional trauma. Compulsion without the Phase Zero stabilization environment, without the Dunbar Pod community, without the safeguards described in Chapter 16, produces deeper withdrawal from any system that might help. The legal instruments are not the problem. California already has CARE Court, Laura’s Law, and LPS Conservatorship. What has been missing is the therapeutic destination that makes those instruments meaningful. MDI provides that destination. Without it, court-ordered treatment is compulsion without purpose.</w:t>
      </w:r>
    </w:p>
    <w:p>
      <w:pPr>
        <w:pStyle w:val="BodyText"/>
      </w:pPr>
      <w:r>
        <w:t xml:space="preserve">Recovery housing and community-based treatment programs are valuable for the populations they are designed to serve. The problem is what happens when those resources are the only resources available for the most severely affected people. A Pipeline C individual who moves from an encampment into a scattered-site sober living unit still wakes up without acoustic isolation for sleep recovery, without temperature control for thermoregulatory stability, without clinical monitoring for metabolic clearance, without the peer community that Dunbar’s research identifies as a prerequisite for social recovery. They are inside a building. The building does not provide the environmental conditions required for neurological repair. The integrated clinical tower described in Chapter 9 is the minimum specification for producing measurable recovery in people whose brains have been most severely damaged by street exposure. Scattered housing provides a roof. It does not provide the conditions required for the brain to recover.</w:t>
      </w:r>
    </w:p>
    <w:p>
      <w:pPr>
        <w:pStyle w:val="BodyText"/>
      </w:pPr>
      <w:r>
        <w:t xml:space="preserve">The federal framework has one final structural weakness that applies regardless of how well the individual programs are designed: durability. Federal executive orders and grant-funded pilot programs expire. When administrations change, funding priorities shift. Programs built on discretionary funding are discontinued. Infrastructure constructed during one political window is left without operational support in the next. The MDI financing model described in Chapters 19 through 21 addresses this through a capital stack that does not depend on who holds political office: Low-Income Housing Tax Credits, New Markets Tax Credits, Medicaid revenue from housing-adjacent health services, and private capital from hospital systems and impact investors, structured into financing vehicles that continue operating across administrations. The goal is to transform stabilization infrastructure from a program, which requires ongoing political will to survive, into a utility, which operates on the same durable basis as water treatment plants and electrical grids. Hospitals do not close when the party in power changes. MDI towers, financed correctly, should not either.</w:t>
      </w:r>
    </w:p>
    <w:p>
      <w:pPr>
        <w:pStyle w:val="BodyText"/>
      </w:pPr>
      <w:r>
        <w:t xml:space="preserve">Autonomous Mobile Fleet Deployment</w:t>
      </w:r>
    </w:p>
    <w:p>
      <w:pPr>
        <w:pStyle w:val="BodyText"/>
      </w:pPr>
      <w:r>
        <w:t xml:space="preserve">AMFD proposes a network of heavy-duty industrial vehicles, large converted trucks or trailers, providing mobile hygiene, harm reduction, medical, and food services to encampment populations where they are, rather than requiring the population to come to fixed facilities.</w:t>
      </w:r>
    </w:p>
    <w:p>
      <w:pPr>
        <w:pStyle w:val="BodyText"/>
      </w:pPr>
      <w:r>
        <w:t xml:space="preserve">The genuine strengths: AMFD can reach people where they are quickly. It requires no real estate, no lengthy permitting process, and no community zoning approval. It is deployable in response to need in ways that fixed facilities cannot be.</w:t>
      </w:r>
    </w:p>
    <w:p>
      <w:pPr>
        <w:pStyle w:val="BodyText"/>
      </w:pPr>
      <w:r>
        <w:t xml:space="preserve">The specific failure mode: AMFD provides services without providing stability. A person in a mobile service receives food, hygiene, and medical care, and then the vehicle drives away. Nothing about their environment has changed. The sleep conditions, the thermal conditions, the social environment, the threat level, all remain identical to what they were before the vehicle arrived. AMFD addresses immediate biological needs in the moment of service delivery, but it produces no cumulative biological recovery because the environment produces damage faster than the services can repair it.</w:t>
      </w:r>
    </w:p>
    <w:p>
      <w:pPr>
        <w:pStyle w:val="BodyText"/>
      </w:pPr>
      <w:r>
        <w:t xml:space="preserve">For the D-Nomadic cohort, people who have chosen mobile living and are not in biological crisis, AMFD-style mobile harm reduction services are an excellent complement to the fixed infrastructure of MDI. For the C-pipeline cohort, mobile services without stable environment are insufficient.</w:t>
      </w:r>
    </w:p>
    <w:p>
      <w:pPr>
        <w:pStyle w:val="BodyText"/>
      </w:pPr>
      <w:r>
        <w:t xml:space="preserve">Tax-Credit Decentralized Micro-Zoning</w:t>
      </w:r>
    </w:p>
    <w:p>
      <w:pPr>
        <w:pStyle w:val="BodyText"/>
      </w:pPr>
      <w:r>
        <w:t xml:space="preserve">TDMZ proposes a network of small scattered-site supportive housing developments, using tax credit financing, distributed across many neighborhoods rather than concentrated in a single location.</w:t>
      </w:r>
    </w:p>
    <w:p>
      <w:pPr>
        <w:pStyle w:val="BodyText"/>
      </w:pPr>
      <w:r>
        <w:t xml:space="preserve">The genuine strengths: TDMZ distributes NIMBY opposition across many neighborhoods rather than concentrating it in one area, potentially reducing the political resistance to any individual project. Smaller projects in multiple locations can reach populations across a wider geographic area.</w:t>
      </w:r>
    </w:p>
    <w:p>
      <w:pPr>
        <w:pStyle w:val="BodyText"/>
      </w:pPr>
      <w:r>
        <w:t xml:space="preserve">The specific failure mode: TDMZ lacks the clinical concentration required for medical delivery. An MDI tower concentrates clinical staff, medical equipment, psychiatric evaluation capacity, and Phase Zero stabilization in a single location that can be efficiently staffed and monitored. TDMZ disperses residents across many small locations, each of which would need its own clinical infrastructure to serve C-pipeline residents, an infrastructure that cannot be staffed efficiently at small scale.</w:t>
      </w:r>
    </w:p>
    <w:p>
      <w:pPr>
        <w:pStyle w:val="BodyText"/>
      </w:pPr>
      <w:r>
        <w:t xml:space="preserve">Additionally, for the C-pipeline cohort, TDMZ replicates the scattered-site isolation problem that Housing First has for this population: small numbers of profoundly ill people in unfamiliar environments without the peer community and clinical support they need to stabilize.</w:t>
      </w:r>
    </w:p>
    <w:p>
      <w:pPr>
        <w:pStyle w:val="BodyText"/>
      </w:pPr>
      <w:r>
        <w:t xml:space="preserve">Universal Basic Infrastructure Vouchers</w:t>
      </w:r>
    </w:p>
    <w:p>
      <w:pPr>
        <w:pStyle w:val="BodyText"/>
      </w:pPr>
      <w:r>
        <w:t xml:space="preserve">UBIV proposes giving unsheltered individuals vouchers that they can use to purchase stabilization services of their choice from a market of providers, rather than providing infrastructure directly.</w:t>
      </w:r>
    </w:p>
    <w:p>
      <w:pPr>
        <w:pStyle w:val="BodyText"/>
      </w:pPr>
      <w:r>
        <w:t xml:space="preserve">The genuine strengths: UBIV preserves individual choice and creates a market incentive for service providers to deliver what people actually want. It avoids the paternalism of directing people to specific facilities.</w:t>
      </w:r>
    </w:p>
    <w:p>
      <w:pPr>
        <w:pStyle w:val="BodyText"/>
      </w:pPr>
      <w:r>
        <w:t xml:space="preserve">The specific failure mode: UBIV requires the cognitive capacity to navigate a market, to evaluate options, make comparative judgments, manage a voucher system, and direct resources toward services. This is precisely the cognitive capacity that C-pipeline individuals lack. UBIV is a demand-side subsidy for a population that has lost the demand-side cognitive function required to use a subsidy. It is an excellent instrument for Pipeline A individuals with intact cognitive function. For the C-pipeline, it is the same design error as behavioral compliance requirements: asking people to do something they lack the neurological capacity to do.</w:t>
      </w:r>
    </w:p>
    <w:p>
      <w:pPr>
        <w:pStyle w:val="BodyText"/>
      </w:pPr>
      <w:r>
        <w:t xml:space="preserve">Standalone Automated Office-to-Pod Conversion</w:t>
      </w:r>
    </w:p>
    <w:p>
      <w:pPr>
        <w:pStyle w:val="BodyText"/>
      </w:pPr>
      <w:r>
        <w:t xml:space="preserve">AOPC proposes converting distressed commercial office buildings to residential pod configurations, implementing the physical architecture of MDI, without the clinical integration layer.</w:t>
      </w:r>
    </w:p>
    <w:p>
      <w:pPr>
        <w:pStyle w:val="BodyText"/>
      </w:pPr>
      <w:r>
        <w:t xml:space="preserve">The genuine strengths: AOPC correctly identifies distressed commercial real estate as the physical opportunity for large-scale intervention. It can produce residential capacity quickly and at lower cost than ground-up construction. The physical architecture it creates, small pod configurations rather than megashelter dormitories, is substantially better than existing shelter models.</w:t>
      </w:r>
    </w:p>
    <w:p>
      <w:pPr>
        <w:pStyle w:val="BodyText"/>
      </w:pPr>
      <w:r>
        <w:t xml:space="preserve">The specific failure mode: AOPC places traumatized brains into physical environments without the Phase Zero metabolic stabilization layer. The building has been converted. The clinical infrastructure has not been built. A person who moves from the street into an AOPC unit has a roof, but they do not have the acoustic isolation specification required for sleep recovery, the clinical monitoring required for metabolic stabilization, the peer support structure required for social recovery, or the medical services required for the physical health conditions that chronic street exposure produces. Without the clinical integration layer, AOPC is better than an emergency shelter but not sufficient for the C-pipeline population.</w:t>
      </w:r>
    </w:p>
    <w:p>
      <w:pPr>
        <w:pStyle w:val="BodyText"/>
      </w:pPr>
      <w:r>
        <w:t xml:space="preserve">Why Integration Is Necessary</w:t>
      </w:r>
    </w:p>
    <w:p>
      <w:pPr>
        <w:pStyle w:val="BodyText"/>
      </w:pPr>
      <w:r>
        <w:t xml:space="preserve">The common failure mode connects the Trump-era federal framework with all four alternative models: each addresses one or more dimensions of the problem while leaving others unaddressed. The federal framework addresses political will and accelerates service connections for the populations closest to stability, but it does not provide the biological stabilization required by the most severely affected. AMFD addresses services but not environment. TDMZ addresses housing but not clinical concentration. UBIV addresses agency but not biological capacity. AOPC addresses physical environment but not clinical infrastructure.</w:t>
      </w:r>
    </w:p>
    <w:p>
      <w:pPr>
        <w:pStyle w:val="BodyText"/>
      </w:pPr>
      <w:r>
        <w:t xml:space="preserve">The reason MDI is necessary, rather than just one option among several, is that the problem requires simultaneous resolution of all dimensions: environment, services, physical space, clinical infrastructure, and funding durability. These dimensions interact with each other. Environment without services produces a better context for damage than what the street provides, but damage nonetheless. Services without environment produce temporary relief that the environment immediately reverses. Physical space without clinical infrastructure is housing for people who cannot yet maintain housing. Clinical infrastructure without appropriate physical space is competent treatment in an environment that counteracts the treatment. Enforcement without a clinical destination redistributes suffering without reducing it. Discretionary funding without utility-grade financing builds programs that collapse when political conditions change.</w:t>
      </w:r>
    </w:p>
    <w:p>
      <w:pPr>
        <w:pStyle w:val="BodyText"/>
      </w:pPr>
      <w:r>
        <w:t xml:space="preserve">Integration is not a nice feature. It is the engineering requirement produced by the fact that the underlying problem, neurological damage from chronic environmental stress, is simultaneously environmental, biological, social, clinical, and political.</w:t>
      </w:r>
    </w:p>
    <w:p>
      <w:r>
        <w:pict>
          <v:rect style="width:0;height:1.5pt" o:hralign="center" o:hrstd="t" o:hr="t"/>
        </w:pict>
      </w:r>
    </w:p>
    <w:bookmarkEnd w:id="81"/>
    <w:bookmarkEnd w:id="82"/>
    <w:bookmarkStart w:id="84" w:name="Xa320805c5101cb9b82d910a7f95d21890c41213"/>
    <w:p>
      <w:pPr>
        <w:pStyle w:val="Heading1"/>
      </w:pPr>
      <w:r>
        <w:t xml:space="preserve">Chapter 26: Community, Opposition, and Democracy</w:t>
      </w:r>
    </w:p>
    <w:bookmarkStart w:id="83" w:name="X4ef7240321648069d85e83f4393d64c8fddd2eb"/>
    <w:p>
      <w:pPr>
        <w:pStyle w:val="Heading2"/>
      </w:pPr>
      <w:r>
        <w:t xml:space="preserve">Chapter 26: Community, Opposition, and Democracy</w:t>
      </w:r>
    </w:p>
    <w:p>
      <w:pPr>
        <w:pStyle w:val="FirstParagraph"/>
      </w:pPr>
      <w:r>
        <w:t xml:space="preserve">No major public infrastructure project in American history has been built without community opposition. Water treatment plants, essential to every city’s public health, have faced organized resistance from nearby residents who did not want the smell, the truck traffic, or the association with waste. Psychiatric hospitals have been opposed by neighborhoods that feared violence and property value decline. Homeless shelters are opposed in virtually every neighborhood where they are proposed.</w:t>
      </w:r>
    </w:p>
    <w:p>
      <w:pPr>
        <w:pStyle w:val="BodyText"/>
      </w:pPr>
      <w:r>
        <w:t xml:space="preserve">This pattern is not going away. Any city that waits for community consensus before building stabilization infrastructure will wait indefinitely, because the political dynamics of localized opposition will consistently defeat the diffuse interests of the broader public in solving the problem.</w:t>
      </w:r>
    </w:p>
    <w:p>
      <w:pPr>
        <w:pStyle w:val="BodyText"/>
      </w:pPr>
      <w:r>
        <w:t xml:space="preserve">This does not mean community opposition should be ignored. It means that understanding the difference between legitimate community concerns that deserve a response and illegitimate veto power that must be overridden is essential to getting MDI built.</w:t>
      </w:r>
    </w:p>
    <w:p>
      <w:pPr>
        <w:pStyle w:val="BodyText"/>
      </w:pPr>
      <w:r>
        <w:t xml:space="preserve">What Neighbors Fear and Whether Their Fears Are Evidence-Based</w:t>
      </w:r>
    </w:p>
    <w:p>
      <w:pPr>
        <w:pStyle w:val="BodyText"/>
      </w:pPr>
      <w:r>
        <w:t xml:space="preserve">The fears that drive NIMBY opposition to supportive housing cluster around a few common themes: crime, property values, and the visible presence of people who are perceived as dangerous or unpleasant.</w:t>
      </w:r>
    </w:p>
    <w:p>
      <w:pPr>
        <w:pStyle w:val="BodyText"/>
      </w:pPr>
      <w:r>
        <w:t xml:space="preserve">The evidence on these fears is mixed. Studies on crime rates near well-managed supportive housing consistently find that crime does not increase in proximity to these facilities, and in some cases, crime rates near supportive housing are lower than in comparable areas without it, likely because providing stable housing to people who would otherwise be in the street reduces the behaviors that generate police calls. The key phrase is</w:t>
      </w:r>
      <w:r>
        <w:t xml:space="preserve"> </w:t>
      </w:r>
      <w:r>
        <w:t xml:space="preserve">“</w:t>
      </w:r>
      <w:r>
        <w:t xml:space="preserve">well-managed</w:t>
      </w:r>
      <w:r>
        <w:t xml:space="preserve">”</w:t>
      </w:r>
      <w:r>
        <w:t xml:space="preserve">: facilities with inadequate clinical staffing, inadequate security, and inadequate community engagement do generate problems. Facilities with appropriate clinical infrastructure, adequate staffing, and community accountability mechanisms generally do not.</w:t>
      </w:r>
    </w:p>
    <w:p>
      <w:pPr>
        <w:pStyle w:val="BodyText"/>
      </w:pPr>
      <w:r>
        <w:t xml:space="preserve">On property values: the evidence is similarly nuanced. Poorly managed facilities or facilities in already-distressed neighborhoods can be associated with property value effects. Well-managed facilities in functioning neighborhoods generally are not. The quality of management matters enormously.</w:t>
      </w:r>
    </w:p>
    <w:p>
      <w:pPr>
        <w:pStyle w:val="BodyText"/>
      </w:pPr>
      <w:r>
        <w:t xml:space="preserve">The honest answer to the property value concern is: MDI is a well-managed, clinically intensive facility. The evidence says that such facilities do not produce the property value effects that opponents fear. That is not the same as saying that any facility called a shelter will produce good outcomes: it won’t if it is poorly designed and managed.</w:t>
      </w:r>
    </w:p>
    <w:p>
      <w:pPr>
        <w:pStyle w:val="BodyText"/>
      </w:pPr>
      <w:r>
        <w:t xml:space="preserve">The Civic Hierarchy of Obligation</w:t>
      </w:r>
    </w:p>
    <w:p>
      <w:pPr>
        <w:pStyle w:val="BodyText"/>
      </w:pPr>
      <w:r>
        <w:t xml:space="preserve">The legal and ethical argument for overriding NIMBY opposition to essential survival infrastructure is not primarily about the evidence on property values. It is about a prior and more fundamental question: what is the government obligated to provide, and to whom does it owe that obligation?</w:t>
      </w:r>
    </w:p>
    <w:p>
      <w:pPr>
        <w:pStyle w:val="BodyText"/>
      </w:pPr>
      <w:r>
        <w:t xml:space="preserve">The civic hierarchy of obligation established throughout this book is clear: the biological survival of the most vulnerable citizens takes precedence over the aesthetic preferences and property value concerns of housed neighbors. This is not a close call in any serious ethical framework. A person dying on a sidewalk has a stronger claim on the city’s resources than a housed homeowner’s claim to a neighborhood that does not contain a medical facility.</w:t>
      </w:r>
    </w:p>
    <w:p>
      <w:pPr>
        <w:pStyle w:val="BodyText"/>
      </w:pPr>
      <w:r>
        <w:t xml:space="preserve">This hierarchy has legal expression. Courts have consistently found that local zoning authorities cannot exercise veto power over essential public health infrastructure. The Americans with Disabilities Act constrains zoning discrimination against facilities serving people with psychiatric disabilities. The Fair Housing Act constrains exclusionary zoning. And utility classification, the designation of stabilization infrastructure as public health utility, provides a regulatory pathway that bypasses discretionary zoning approval entirely, for the same reasons that water treatment plants and electrical substations are not subject to neighborhood veto.</w:t>
      </w:r>
    </w:p>
    <w:p>
      <w:pPr>
        <w:pStyle w:val="BodyText"/>
      </w:pPr>
      <w:r>
        <w:t xml:space="preserve">Community Benefit Agreements</w:t>
      </w:r>
    </w:p>
    <w:p>
      <w:pPr>
        <w:pStyle w:val="BodyText"/>
      </w:pPr>
      <w:r>
        <w:t xml:space="preserve">Acknowledging the civic hierarchy of obligation does not mean dismissing community input. Community benefit agreements, legally binding contracts between developers and surrounding communities, provide a mechanism for genuine community participation in shaping how MDI facilities are designed and operated, without providing veto power over whether they are built.</w:t>
      </w:r>
    </w:p>
    <w:p>
      <w:pPr>
        <w:pStyle w:val="BodyText"/>
      </w:pPr>
      <w:r>
        <w:t xml:space="preserve">A community benefit agreement for an MDI tower might commit to specific things: a community advisory council with real input into operational policies; a community liaison position staffed by someone from the surrounding neighborhood; employment preferences for local residents in non-clinical positions; community benefit investments such as streetscape improvements or local park upgrades; transparent monthly reporting on facility operations and any community impacts; and a defined process for addressing legitimate community complaints.</w:t>
      </w:r>
    </w:p>
    <w:p>
      <w:pPr>
        <w:pStyle w:val="BodyText"/>
      </w:pPr>
      <w:r>
        <w:t xml:space="preserve">These are real commitments that address real community interests. They are not appeasement; they are mechanisms for creating community accountability for facility operations, which is in the interest of the facility as much as the community. A facility that maintains strong community relationships and transparent accountability is a more resilient facility than one that is built over opposition and never earns community trust.</w:t>
      </w:r>
    </w:p>
    <w:p>
      <w:pPr>
        <w:pStyle w:val="BodyText"/>
      </w:pPr>
      <w:r>
        <w:t xml:space="preserve">The Limits of Community Veto</w:t>
      </w:r>
    </w:p>
    <w:p>
      <w:pPr>
        <w:pStyle w:val="BodyText"/>
      </w:pPr>
      <w:r>
        <w:t xml:space="preserve">The distinction that this chapter argues for is between two different things that are often conflated in public discourse: meaningful community input on design and operations, and veto power over whether any facility is built.</w:t>
      </w:r>
    </w:p>
    <w:p>
      <w:pPr>
        <w:pStyle w:val="BodyText"/>
      </w:pPr>
      <w:r>
        <w:t xml:space="preserve">The former is legitimate. Communities have real stakes in how facilities near them are operated, and their input on those questions can improve outcomes for everyone. Facility design that minimizes visible conflict with the surrounding neighborhood, operational policies that maintain good neighbor relationships, community benefit investments that share the benefits of having a publicly funded facility in the area: all of these are legitimate community interests that deserve a response.</w:t>
      </w:r>
    </w:p>
    <w:p>
      <w:pPr>
        <w:pStyle w:val="BodyText"/>
      </w:pPr>
      <w:r>
        <w:t xml:space="preserve">Veto power over whether any facility is built is different. When the question is whether essential survival infrastructure will exist at all, when the alternative to building the MDI tower is that people die on nearby sidewalks, the community interest in not having an MDI tower nearby does not outweigh the interest of people who will die without it. Democratic participation in design and operations: yes. Democratic veto over survival infrastructure: no.</w:t>
      </w:r>
    </w:p>
    <w:p>
      <w:pPr>
        <w:pStyle w:val="BodyText"/>
      </w:pPr>
      <w:r>
        <w:t xml:space="preserve">The difference may seem fine, but it is the difference between a city that functions as a democracy and a city that functions as a collection of NIMBYs. A democracy makes decisions about public goods that benefit the whole while managing their costs equitably. A collection of NIMBYs shifts the costs of essential infrastructure onto the most marginalized people by preventing it from being built anywhere near anyone with the political power to stop it.</w:t>
      </w:r>
    </w:p>
    <w:p>
      <w:pPr>
        <w:pStyle w:val="BodyText"/>
      </w:pPr>
      <w:r>
        <w:t xml:space="preserve">Case Studies</w:t>
      </w:r>
    </w:p>
    <w:p>
      <w:pPr>
        <w:pStyle w:val="BodyText"/>
      </w:pPr>
      <w:r>
        <w:t xml:space="preserve">Cities that have successfully built supportive housing at scale provide evidence that the political and operational challenges are solvable. Houston’s effort to address chronic homelessness through a coordinated city-county partnership achieved significant reductions in the unsheltered population through focused political leadership, data-driven resource allocation, and the deliberate assembly of the funding streams described in Chapters 19 through 21. Helsinki’s commitment to Housing First at scale eliminated most rough sleeping in the Finnish capital through sustained political will and the conversion of existing shelter facilities into permanent supportive housing. Vienna’s community housing model, a century of investment in publicly financed mixed-income housing, demonstrates that large-scale public housing infrastructure can be built and maintained in ways that produce stable communities rather than concentrated poverty.</w:t>
      </w:r>
    </w:p>
    <w:p>
      <w:pPr>
        <w:pStyle w:val="BodyText"/>
      </w:pPr>
      <w:r>
        <w:t xml:space="preserve">None of these examples is identical to MDI. All of them demonstrate that the political and financial obstacles to large-scale housing infrastructure are not insurmountable; they require political will, sustained commitment, and the willingness to override localized opposition in the name of broader public goods.</w:t>
      </w:r>
    </w:p>
    <w:p>
      <w:r>
        <w:pict>
          <v:rect style="width:0;height:1.5pt" o:hralign="center" o:hrstd="t" o:hr="t"/>
        </w:pict>
      </w:r>
    </w:p>
    <w:bookmarkEnd w:id="83"/>
    <w:bookmarkEnd w:id="84"/>
    <w:bookmarkStart w:id="86" w:name="chapter-27-what-citizens-can-do"/>
    <w:p>
      <w:pPr>
        <w:pStyle w:val="Heading1"/>
      </w:pPr>
      <w:r>
        <w:t xml:space="preserve">Chapter 27: What Citizens Can Do</w:t>
      </w:r>
    </w:p>
    <w:bookmarkStart w:id="85" w:name="chapter-27-what-citizens-can-do-1"/>
    <w:p>
      <w:pPr>
        <w:pStyle w:val="Heading2"/>
      </w:pPr>
      <w:r>
        <w:t xml:space="preserve">Chapter 27: What Citizens Can Do</w:t>
      </w:r>
    </w:p>
    <w:p>
      <w:pPr>
        <w:pStyle w:val="FirstParagraph"/>
      </w:pPr>
      <w:r>
        <w:t xml:space="preserve">This book has been building toward this question. You have read the science, the engineering, the funding architecture, and the ethics. The problem is clear. The solution is specified. The financing is assemblyable. The political obstacles are identifiable. What do you do now?</w:t>
      </w:r>
    </w:p>
    <w:p>
      <w:pPr>
        <w:pStyle w:val="BodyText"/>
      </w:pPr>
      <w:r>
        <w:t xml:space="preserve">The answer to that question depends heavily on who you are, where you live, what you do, and where in your life you are. This chapter offers several distinct pathways, because the work of implementing MDI will require people with very different skills and positions to contribute in very different ways.</w:t>
      </w:r>
    </w:p>
    <w:p>
      <w:pPr>
        <w:pStyle w:val="BodyText"/>
      </w:pPr>
      <w:r>
        <w:t xml:space="preserve">If You Vote</w:t>
      </w:r>
    </w:p>
    <w:p>
      <w:pPr>
        <w:pStyle w:val="BodyText"/>
      </w:pPr>
      <w:r>
        <w:t xml:space="preserve">You already have the most basic lever. Pay attention to what candidates for city council, county supervisor, mayor, and state legislature say about homelessness, and hold them accountable for whether their positions reflect an understanding of the neuroscience, the economics, and the engineering described in this book, or whether they are reciting familiar bromides about personal responsibility and law enforcement that have not worked for 50 years.</w:t>
      </w:r>
    </w:p>
    <w:p>
      <w:pPr>
        <w:pStyle w:val="BodyText"/>
      </w:pPr>
      <w:r>
        <w:t xml:space="preserve">When a ballot measure proposes funding for homelessness programs, learn enough about where the money is going to know whether it is investing in preventative infrastructure or reactive management. The difference between a bond measure that funds MDI-style stabilization infrastructure and a bond measure that funds another round of emergency shelter contracts is the difference between an investment and an expense.</w:t>
      </w:r>
    </w:p>
    <w:p>
      <w:pPr>
        <w:pStyle w:val="BodyText"/>
      </w:pPr>
      <w:r>
        <w:t xml:space="preserve">Attend a zoning meeting when supportive housing is proposed in your neighborhood or city. Attend not to oppose it but to understand what is being proposed, to ask informed questions about the management model and the clinical infrastructure, and to provide the voice of a neighbor who understands why this infrastructure is necessary and supports it being well-built and well-managed.</w:t>
      </w:r>
    </w:p>
    <w:p>
      <w:pPr>
        <w:pStyle w:val="BodyText"/>
      </w:pPr>
      <w:r>
        <w:t xml:space="preserve">If You Are in a Relevant Profession</w:t>
      </w:r>
    </w:p>
    <w:p>
      <w:pPr>
        <w:pStyle w:val="BodyText"/>
      </w:pPr>
      <w:r>
        <w:t xml:space="preserve">Urban planning, public health, Medicaid administration, clinical social work, real estate development, municipal finance, environmental law: all of these professions have a direct role in MDI implementation. If you work in any of these fields, the MDI model is your domain.</w:t>
      </w:r>
    </w:p>
    <w:p>
      <w:pPr>
        <w:pStyle w:val="BodyText"/>
      </w:pPr>
      <w:r>
        <w:t xml:space="preserve">Urban planners can advocate within their departments and professional organizations for utility classification frameworks that protect essential health infrastructure from NIMBY veto. Public health professionals can build the evidence base for MDI by designing and implementing the outcome measurement systems that will demonstrate its effectiveness and justify continued investment. Medicaid administrators can work toward 1115 Waiver structures in their states that unlock Medicaid revenue for housing-adjacent services. Clinical social workers can work toward the ACT team models and peer support specialist credentialing frameworks that supply the MDI clinical workforce. Real estate developers can identify distressed commercial buildings in their markets and evaluate conversion feasibility.</w:t>
      </w:r>
    </w:p>
    <w:p>
      <w:pPr>
        <w:pStyle w:val="BodyText"/>
      </w:pPr>
      <w:r>
        <w:t xml:space="preserve">None of this requires waiting for a policy decision from above. Much of it can begin within existing institutional frameworks as incremental change that builds the conditions for larger transformation.</w:t>
      </w:r>
    </w:p>
    <w:p>
      <w:pPr>
        <w:pStyle w:val="BodyText"/>
      </w:pPr>
      <w:r>
        <w:t xml:space="preserve">Open Source Tools for Analysis</w:t>
      </w:r>
    </w:p>
    <w:p>
      <w:pPr>
        <w:pStyle w:val="BodyText"/>
      </w:pPr>
      <w:r>
        <w:t xml:space="preserve">The MDI model is built on a commitment to open tools and open data. The analysis required to advocate for MDI in your city, mapping encampment locations, identifying distressed commercial real estate, analyzing municipal homelessness spending, tracking health outcomes, can be done with freely available tools.</w:t>
      </w:r>
    </w:p>
    <w:p>
      <w:pPr>
        <w:pStyle w:val="BodyText"/>
      </w:pPr>
      <w:r>
        <w:t xml:space="preserve">QGIS is an open source geographic information system that allows you to map data spatially, overlaying encampment location data with commercial vacancy data, transit access, proximity to existing service infrastructure, and any other spatial data relevant to MDI siting analysis. It is freely downloadable and well-documented.</w:t>
      </w:r>
    </w:p>
    <w:p>
      <w:pPr>
        <w:pStyle w:val="BodyText"/>
      </w:pPr>
      <w:r>
        <w:t xml:space="preserve">Python, with libraries including pandas for data analysis, geopandas for spatial analysis, and matplotlib for visualization, provides the analytical tools for working with the datasets that federal agencies publish: HUD point-in-time count data, CoC program performance data, FHA housing cost data, Census Bureau economic data. All of this data is publicly available and can be downloaded and analyzed without any specialized software license.</w:t>
      </w:r>
    </w:p>
    <w:p>
      <w:pPr>
        <w:pStyle w:val="BodyText"/>
      </w:pPr>
      <w:r>
        <w:t xml:space="preserve">OpenStreetMap provides freely available geographic data for any city in the world, street networks, building footprints, point-of-interest data, that can be used in QGIS analyses without any licensing cost.</w:t>
      </w:r>
    </w:p>
    <w:p>
      <w:pPr>
        <w:pStyle w:val="BodyText"/>
      </w:pPr>
      <w:r>
        <w:t xml:space="preserve">The HUD data portal publishes annual point-in-time counts for every Continuum of Care in the country, along with CoC program spending and housing inventory data that allows you to analyze the pattern of homelessness and housing investment in your own city.</w:t>
      </w:r>
    </w:p>
    <w:p>
      <w:pPr>
        <w:pStyle w:val="BodyText"/>
      </w:pPr>
      <w:r>
        <w:t xml:space="preserve">Using these tools, a knowledgeable citizen, or a student, or a researcher, or a journalist, can build the kind of locally specific analysis that makes the MDI argument concrete rather than abstract: which specific buildings in your city are the best candidates for conversion, what the current pattern of reactive spending looks like and what it could fund if redirected, how the encampment population in your city relates to the existing service infrastructure.</w:t>
      </w:r>
    </w:p>
    <w:p>
      <w:pPr>
        <w:pStyle w:val="BodyText"/>
      </w:pPr>
      <w:r>
        <w:t xml:space="preserve">How to Read a City Budget</w:t>
      </w:r>
    </w:p>
    <w:p>
      <w:pPr>
        <w:pStyle w:val="BodyText"/>
      </w:pPr>
      <w:r>
        <w:t xml:space="preserve">Municipal budgets are public documents in every American city. They are long, technical, and deliberately difficult to navigate. But the information you need is in them.</w:t>
      </w:r>
    </w:p>
    <w:p>
      <w:pPr>
        <w:pStyle w:val="BodyText"/>
      </w:pPr>
      <w:r>
        <w:t xml:space="preserve">Look for the homelessness-related line items under the city attorney’s office (encampment enforcement, litigation), the police department (response to encampment complaints), the fire department (ambulance runs to encampment-related calls), the public health department (emergency health services), and whatever department administers homelessness programs directly. Add those numbers up. Compare the total to the amount spent on housing development and stabilization infrastructure. The ratio will tell you what the city actually prioritizes, as opposed to what it says it prioritizes.</w:t>
      </w:r>
    </w:p>
    <w:p>
      <w:pPr>
        <w:pStyle w:val="BodyText"/>
      </w:pPr>
      <w:r>
        <w:t xml:space="preserve">Look at the program descriptions for homelessness funding. Are they funding operations, staff, services, or capital investment? Operations funding produces recurring annual costs. Capital investment produces assets that generate returns. A city that spends all its homelessness budget on operations and nothing on capital infrastructure is renting services rather than building the infrastructure of recovery.</w:t>
      </w:r>
    </w:p>
    <w:p>
      <w:pPr>
        <w:pStyle w:val="BodyText"/>
      </w:pPr>
      <w:r>
        <w:t xml:space="preserve">The Open Questions</w:t>
      </w:r>
    </w:p>
    <w:p>
      <w:pPr>
        <w:pStyle w:val="BodyText"/>
      </w:pPr>
      <w:r>
        <w:t xml:space="preserve">This book has argued for the MDI model with as much confidence as the available evidence supports. That confidence is genuine. But intellectual honesty requires acknowledging what we do not yet know.</w:t>
      </w:r>
    </w:p>
    <w:p>
      <w:pPr>
        <w:pStyle w:val="BodyText"/>
      </w:pPr>
      <w:r>
        <w:t xml:space="preserve">The specific clearance indicators described in Chapter 15 and the 40 percent threshold are provisional parameters, not clinically validated standards. Longitudinal studies of people in MDI-style installations, tracking biological markers, cognitive function, housing retention, and civic participation over time, are necessary to validate and refine those parameters. That research has not yet been done at the scale required to be definitive.</w:t>
      </w:r>
    </w:p>
    <w:p>
      <w:pPr>
        <w:pStyle w:val="BodyText"/>
      </w:pPr>
      <w:r>
        <w:t xml:space="preserve">The specific weights in the Structural Fitness Index, the algorithm that determines pod assignment, are similarly provisional. Machine learning calibration based on outcomes data from actual MDI deployments is required to refine those weights. The model as specified is a reasonable starting point. It is not a final answer.</w:t>
      </w:r>
    </w:p>
    <w:p>
      <w:pPr>
        <w:pStyle w:val="BodyText"/>
      </w:pPr>
      <w:r>
        <w:t xml:space="preserve">The legal instrument landscape outside California is incompletely mapped. Chapter 16 describes California’s specific legal tools and notes that national equivalents exist, but the specific criteria, triggering mechanisms, and judicial oversight structures in other states vary and in some states are considerably less developed than California’s. Building MDI outside California requires legal mapping work that this book has not done.</w:t>
      </w:r>
    </w:p>
    <w:p>
      <w:pPr>
        <w:pStyle w:val="BodyText"/>
      </w:pPr>
      <w:r>
        <w:t xml:space="preserve">These open questions are not reasons to delay. They are the research agenda for the next generation of urban scholars, clinical researchers, and policy analysts who will refine the model as it is implemented. The generational investment this book represents is not a demand for perfection before action. It is an argument for beginning, and for building the research infrastructure that will improve the model over time.</w:t>
      </w:r>
    </w:p>
    <w:p>
      <w:pPr>
        <w:pStyle w:val="BodyText"/>
      </w:pPr>
      <w:r>
        <w:t xml:space="preserve">The Generational Timeline</w:t>
      </w:r>
    </w:p>
    <w:p>
      <w:pPr>
        <w:pStyle w:val="BodyText"/>
      </w:pPr>
      <w:r>
        <w:t xml:space="preserve">Charles DiBella does not expect MDI to be implemented in his lifetime. This is not pessimism. It is an accurate reading of how major urban infrastructure transformations happen. Sanitation systems were theorized in the mid-nineteenth century and not universally implemented until the early twentieth. Public transit networks were theorized and debated for decades before they were built. The transformation of American cities through the highway system was planned for twenty years before construction began.</w:t>
      </w:r>
    </w:p>
    <w:p>
      <w:pPr>
        <w:pStyle w:val="BodyText"/>
      </w:pPr>
      <w:r>
        <w:t xml:space="preserve">The transformation required to end chronic homelessness is of comparable scale. It requires changes in how cities budget, how state Medicaid programs are structured, how federal tax credits are allocated, how zoning law treats public health infrastructure, and how the political system weighs the interests of the visible, organized, housed constituency against the interests of the invisible, unorganized, unsheltered one.</w:t>
      </w:r>
    </w:p>
    <w:p>
      <w:pPr>
        <w:pStyle w:val="BodyText"/>
      </w:pPr>
      <w:r>
        <w:t xml:space="preserve">None of these changes happens quickly. All of them are possible. The history of urban infrastructure is the history of impossible ideas becoming obvious ones, of problems that seemed intractable until the political conditions, the financing mechanisms, and the public will aligned to make them tractable.</w:t>
      </w:r>
    </w:p>
    <w:p>
      <w:pPr>
        <w:pStyle w:val="BodyText"/>
      </w:pPr>
      <w:r>
        <w:t xml:space="preserve">This book is a contribution to that alignment, an attempt to put the right framework into enough hands that when the political conditions mature, the intellectual tools are ready. If you finish this book and it changes how you think about cities, and how you vote, and what you demand from the people who represent you, it has done its work.</w:t>
      </w:r>
    </w:p>
    <w:p>
      <w:pPr>
        <w:pStyle w:val="BodyText"/>
      </w:pPr>
      <w:r>
        <w:t xml:space="preserve">The rest is up to you.</w:t>
      </w:r>
    </w:p>
    <w:p>
      <w:r>
        <w:pict>
          <v:rect style="width:0;height:1.5pt" o:hralign="center" o:hrstd="t" o:hr="t"/>
        </w:pict>
      </w:r>
    </w:p>
    <w:bookmarkEnd w:id="85"/>
    <w:bookmarkEnd w:id="86"/>
    <w:bookmarkStart w:id="117" w:name="back-matter"/>
    <w:p>
      <w:pPr>
        <w:pStyle w:val="Heading1"/>
      </w:pPr>
      <w:r>
        <w:t xml:space="preserve">Back Matter</w:t>
      </w:r>
    </w:p>
    <w:bookmarkStart w:id="87" w:name="a-note-on-sources"/>
    <w:p>
      <w:pPr>
        <w:pStyle w:val="Heading2"/>
      </w:pPr>
      <w:r>
        <w:t xml:space="preserve">A Note on Sources</w:t>
      </w:r>
    </w:p>
    <w:p>
      <w:pPr>
        <w:pStyle w:val="FirstParagraph"/>
      </w:pPr>
      <w:r>
        <w:t xml:space="preserve">All technical claims in this book are sourced in the academic paper by Charles J. DiBella,</w:t>
      </w:r>
      <w:r>
        <w:t xml:space="preserve"> </w:t>
      </w:r>
      <w:r>
        <w:t xml:space="preserve">“</w:t>
      </w:r>
      <w:r>
        <w:t xml:space="preserve">The Moral Physics of Survival: Thermodynamic Precarity, Cognitive Agency, and the Ethics of Compelled Stabilization,</w:t>
      </w:r>
      <w:r>
        <w:t xml:space="preserve">”</w:t>
      </w:r>
      <w:r>
        <w:t xml:space="preserve"> </w:t>
      </w:r>
      <w:r>
        <w:t xml:space="preserve">which contains the full bibliography. Key sources for citizen readers seeking to go deeper include:</w:t>
      </w:r>
    </w:p>
    <w:p>
      <w:pPr>
        <w:pStyle w:val="BodyText"/>
      </w:pPr>
      <w:r>
        <w:t xml:space="preserve">On sleep neuroscience: Matthew Walker’s</w:t>
      </w:r>
      <w:r>
        <w:t xml:space="preserve"> </w:t>
      </w:r>
      <w:r>
        <w:rPr>
          <w:iCs/>
          <w:i/>
        </w:rPr>
        <w:t xml:space="preserve">Why We Sleep</w:t>
      </w:r>
      <w:r>
        <w:t xml:space="preserve"> </w:t>
      </w:r>
      <w:r>
        <w:t xml:space="preserve">(2017) is the single most accessible and comprehensive account of sleep science available to general readers. It is the primary source for the sleep specification claims in Chapter 6.</w:t>
      </w:r>
    </w:p>
    <w:p>
      <w:pPr>
        <w:pStyle w:val="BodyText"/>
      </w:pPr>
      <w:r>
        <w:t xml:space="preserve">On stress neuroscience: Robert Sapolsky’s</w:t>
      </w:r>
      <w:r>
        <w:t xml:space="preserve"> </w:t>
      </w:r>
      <w:r>
        <w:rPr>
          <w:iCs/>
          <w:i/>
        </w:rPr>
        <w:t xml:space="preserve">Why Zebras Don’t Get Ulcers</w:t>
      </w:r>
      <w:r>
        <w:t xml:space="preserve"> </w:t>
      </w:r>
      <w:r>
        <w:t xml:space="preserve">is the standard accessible text on the HPA axis, cortisol, and the neurological consequences of chronic stress. Bruce McEwen’s peer-reviewed work, particularly his 2017 paper in</w:t>
      </w:r>
      <w:r>
        <w:t xml:space="preserve"> </w:t>
      </w:r>
      <w:r>
        <w:rPr>
          <w:iCs/>
          <w:i/>
        </w:rPr>
        <w:t xml:space="preserve">Chronic Stress</w:t>
      </w:r>
      <w:r>
        <w:t xml:space="preserve">, is the primary academic source.</w:t>
      </w:r>
    </w:p>
    <w:p>
      <w:pPr>
        <w:pStyle w:val="BodyText"/>
      </w:pPr>
      <w:r>
        <w:t xml:space="preserve">On prefrontal cortex degradation: Amy Arnsten’s 2009 paper in</w:t>
      </w:r>
      <w:r>
        <w:t xml:space="preserve"> </w:t>
      </w:r>
      <w:r>
        <w:rPr>
          <w:iCs/>
          <w:i/>
        </w:rPr>
        <w:t xml:space="preserve">Nature Reviews Neuroscience</w:t>
      </w:r>
      <w:r>
        <w:t xml:space="preserve"> </w:t>
      </w:r>
      <w:r>
        <w:t xml:space="preserve">on stress signalling pathways is the foundational academic source. For a general audience, Sapolsky’s work covers the same material in accessible form.</w:t>
      </w:r>
    </w:p>
    <w:p>
      <w:pPr>
        <w:pStyle w:val="BodyText"/>
      </w:pPr>
      <w:r>
        <w:t xml:space="preserve">On Housing First: Sam Tsemberis, Leyla Gulcur, and Maria Nakae’s 2004 paper in the</w:t>
      </w:r>
      <w:r>
        <w:t xml:space="preserve"> </w:t>
      </w:r>
      <w:r>
        <w:rPr>
          <w:iCs/>
          <w:i/>
        </w:rPr>
        <w:t xml:space="preserve">American Journal of Public Health</w:t>
      </w:r>
      <w:r>
        <w:t xml:space="preserve"> </w:t>
      </w:r>
      <w:r>
        <w:t xml:space="preserve">remains the definitive study of Housing First outcomes.</w:t>
      </w:r>
    </w:p>
    <w:p>
      <w:pPr>
        <w:pStyle w:val="BodyText"/>
      </w:pPr>
      <w:r>
        <w:t xml:space="preserve">On the capability approach: Amartya Sen’s</w:t>
      </w:r>
      <w:r>
        <w:t xml:space="preserve"> </w:t>
      </w:r>
      <w:r>
        <w:rPr>
          <w:iCs/>
          <w:i/>
        </w:rPr>
        <w:t xml:space="preserve">Development as Freedom</w:t>
      </w:r>
      <w:r>
        <w:t xml:space="preserve"> </w:t>
      </w:r>
      <w:r>
        <w:t xml:space="preserve">(1999) and Martha Nussbaum’s</w:t>
      </w:r>
      <w:r>
        <w:t xml:space="preserve"> </w:t>
      </w:r>
      <w:r>
        <w:rPr>
          <w:iCs/>
          <w:i/>
        </w:rPr>
        <w:t xml:space="preserve">Creating Capabilities</w:t>
      </w:r>
      <w:r>
        <w:t xml:space="preserve"> </w:t>
      </w:r>
      <w:r>
        <w:t xml:space="preserve">(2011) are both readable by a general audience and provide the philosophical foundation for the sequential resolution model.</w:t>
      </w:r>
    </w:p>
    <w:p>
      <w:pPr>
        <w:pStyle w:val="BodyText"/>
      </w:pPr>
      <w:r>
        <w:t xml:space="preserve">On spatial exclusion: Don Mitchell’s 1997 paper in</w:t>
      </w:r>
      <w:r>
        <w:t xml:space="preserve"> </w:t>
      </w:r>
      <w:r>
        <w:rPr>
          <w:iCs/>
          <w:i/>
        </w:rPr>
        <w:t xml:space="preserve">Antipode</w:t>
      </w:r>
      <w:r>
        <w:t xml:space="preserve"> </w:t>
      </w:r>
      <w:r>
        <w:t xml:space="preserve">on the annihilation of space by anti-homeless laws is the foundational text in critical geography on this topic.</w:t>
      </w:r>
    </w:p>
    <w:p>
      <w:pPr>
        <w:pStyle w:val="BodyText"/>
      </w:pPr>
      <w:r>
        <w:t xml:space="preserve">On homelessness sociology: Teresa Gowan’s</w:t>
      </w:r>
      <w:r>
        <w:t xml:space="preserve"> </w:t>
      </w:r>
      <w:r>
        <w:rPr>
          <w:iCs/>
          <w:i/>
        </w:rPr>
        <w:t xml:space="preserve">Hobos, Hustlers, and Backsliders</w:t>
      </w:r>
      <w:r>
        <w:t xml:space="preserve"> </w:t>
      </w:r>
      <w:r>
        <w:t xml:space="preserve">(2010) is the most rigorous ethnographic account of how unsheltered people actually experience and navigate the service system.</w:t>
      </w:r>
    </w:p>
    <w:p>
      <w:pPr>
        <w:pStyle w:val="BodyText"/>
      </w:pPr>
      <w:r>
        <w:t xml:space="preserve">On Defensible Space Theory: Oscar Newman’s</w:t>
      </w:r>
      <w:r>
        <w:t xml:space="preserve"> </w:t>
      </w:r>
      <w:r>
        <w:rPr>
          <w:iCs/>
          <w:i/>
        </w:rPr>
        <w:t xml:space="preserve">Defensible Space</w:t>
      </w:r>
      <w:r>
        <w:t xml:space="preserve"> </w:t>
      </w:r>
      <w:r>
        <w:t xml:space="preserve">(1972) is the foundational text and remains highly readable.</w:t>
      </w:r>
    </w:p>
    <w:p>
      <w:pPr>
        <w:pStyle w:val="BodyText"/>
      </w:pPr>
      <w:r>
        <w:t xml:space="preserve">On Routine Activity Theory: Lawrence Cohen and Marcus Felson’s 1979 paper in the</w:t>
      </w:r>
      <w:r>
        <w:t xml:space="preserve"> </w:t>
      </w:r>
      <w:r>
        <w:rPr>
          <w:iCs/>
          <w:i/>
        </w:rPr>
        <w:t xml:space="preserve">American Sociological Review</w:t>
      </w:r>
      <w:r>
        <w:t xml:space="preserve"> </w:t>
      </w:r>
      <w:r>
        <w:t xml:space="preserve">established the theory that shapes the MDI approach to encampment predation.</w:t>
      </w:r>
    </w:p>
    <w:bookmarkEnd w:id="87"/>
    <w:bookmarkStart w:id="88" w:name="open-source-tools-for-citizen-analysis"/>
    <w:p>
      <w:pPr>
        <w:pStyle w:val="Heading2"/>
      </w:pPr>
      <w:r>
        <w:t xml:space="preserve">Open Source Tools for Citizen Analysis</w:t>
      </w:r>
    </w:p>
    <w:p>
      <w:pPr>
        <w:pStyle w:val="FirstParagraph"/>
      </w:pPr>
      <w:r>
        <w:t xml:space="preserve">The following tools are freely available and require no license fees:</w:t>
      </w:r>
    </w:p>
    <w:p>
      <w:pPr>
        <w:pStyle w:val="BodyText"/>
      </w:pPr>
      <w:r>
        <w:t xml:space="preserve">QGIS — qgis.org — Geographic information system for spatial analysis and mapping</w:t>
      </w:r>
    </w:p>
    <w:p>
      <w:pPr>
        <w:pStyle w:val="BodyText"/>
      </w:pPr>
      <w:r>
        <w:t xml:space="preserve">Python — python.org — Programming language with extensive libraries for data analysis (pandas, geopandas, matplotlib, scikit-learn)</w:t>
      </w:r>
    </w:p>
    <w:p>
      <w:pPr>
        <w:pStyle w:val="BodyText"/>
      </w:pPr>
      <w:r>
        <w:t xml:space="preserve">OpenStreetMap — openstreetmap.org — Freely available geographic data for any location</w:t>
      </w:r>
    </w:p>
    <w:p>
      <w:pPr>
        <w:pStyle w:val="BodyText"/>
      </w:pPr>
      <w:r>
        <w:t xml:space="preserve">HUD Data Portal — hudexchange.info/programs/hdx/ — Annual homelessness count data, CoC spending data, housing inventory counts</w:t>
      </w:r>
    </w:p>
    <w:p>
      <w:pPr>
        <w:pStyle w:val="BodyText"/>
      </w:pPr>
      <w:r>
        <w:t xml:space="preserve">Census Bureau American Community Survey — census.gov/acs — Economic, demographic, and housing data at the census tract level</w:t>
      </w:r>
    </w:p>
    <w:p>
      <w:pPr>
        <w:pStyle w:val="BodyText"/>
      </w:pPr>
      <w:r>
        <w:t xml:space="preserve">LA County Assessor Portal — assessor.lacounty.gov — Property ownership, assessed value, and vacancy data (and equivalent portals in other counties)</w:t>
      </w:r>
    </w:p>
    <w:p>
      <w:r>
        <w:pict>
          <v:rect style="width:0;height:1.5pt" o:hralign="center" o:hrstd="t" o:hr="t"/>
        </w:pict>
      </w:r>
    </w:p>
    <w:p>
      <w:pPr>
        <w:pStyle w:val="FirstParagraph"/>
      </w:pPr>
      <w:r>
        <w:rPr>
          <w:iCs/>
          <w:i/>
        </w:rPr>
        <w:t xml:space="preserve">Fixing Skid Row: How Urban Design Can End Chronic Homelessness</w:t>
      </w:r>
      <w:r>
        <w:t xml:space="preserve"> </w:t>
      </w:r>
      <w:r>
        <w:t xml:space="preserve">By Charles J. DiBella</w:t>
      </w:r>
      <w:r>
        <w:t xml:space="preserve"> </w:t>
      </w:r>
      <w:r>
        <w:t xml:space="preserve">Third edition — June 2026</w:t>
      </w:r>
    </w:p>
    <w:p>
      <w:r>
        <w:pict>
          <v:rect style="width:0;height:1.5pt" o:hralign="center" o:hrstd="t" o:hr="t"/>
        </w:pict>
      </w:r>
    </w:p>
    <w:bookmarkEnd w:id="88"/>
    <w:bookmarkStart w:id="89" w:name="foreword-1"/>
    <w:p>
      <w:pPr>
        <w:pStyle w:val="Heading2"/>
      </w:pPr>
      <w:r>
        <w:t xml:space="preserve">Foreword</w:t>
      </w:r>
    </w:p>
    <w:p>
      <w:pPr>
        <w:pStyle w:val="FirstParagraph"/>
      </w:pPr>
      <w:r>
        <w:t xml:space="preserve">DiBella, Charles J.</w:t>
      </w:r>
      <w:r>
        <w:t xml:space="preserve"> </w:t>
      </w:r>
      <w:r>
        <w:t xml:space="preserve">“</w:t>
      </w:r>
      <w:r>
        <w:t xml:space="preserve">The Moral Physics of Survival: Thermodynamic Precarity, Cognitive Agency, and the Ethics of Compelled Stabilization.</w:t>
      </w:r>
      <w:r>
        <w:t xml:space="preserve">”</w:t>
      </w:r>
      <w:r>
        <w:t xml:space="preserve"> </w:t>
      </w:r>
      <w:r>
        <w:t xml:space="preserve">Social Science Research Network, 2025.</w:t>
      </w:r>
    </w:p>
    <w:bookmarkEnd w:id="89"/>
    <w:bookmarkStart w:id="90" w:name="Xf85547efc48a40a3c391fabae1a89b229d8d987"/>
    <w:p>
      <w:pPr>
        <w:pStyle w:val="Heading2"/>
      </w:pPr>
      <w:r>
        <w:t xml:space="preserve">Chapter 1: What Is Skid Row and How Did It Get There?</w:t>
      </w:r>
    </w:p>
    <w:p>
      <w:pPr>
        <w:pStyle w:val="FirstParagraph"/>
      </w:pPr>
      <w:r>
        <w:t xml:space="preserve">Blasi, Gary.</w:t>
      </w:r>
      <w:r>
        <w:t xml:space="preserve"> </w:t>
      </w:r>
      <w:r>
        <w:t xml:space="preserve">“</w:t>
      </w:r>
      <w:r>
        <w:t xml:space="preserve">Policing Our Way Out of Homelessness? The First Year of the Safer Cities Initiative on Skid Row.</w:t>
      </w:r>
      <w:r>
        <w:t xml:space="preserve">”</w:t>
      </w:r>
      <w:r>
        <w:t xml:space="preserve"> </w:t>
      </w:r>
      <w:r>
        <w:t xml:space="preserve">UCLA School of Law, 2007.</w:t>
      </w:r>
    </w:p>
    <w:p>
      <w:pPr>
        <w:pStyle w:val="BodyText"/>
      </w:pPr>
      <w:r>
        <w:t xml:space="preserve">Hoch, Charles, and Robert A. Slayton.</w:t>
      </w:r>
      <w:r>
        <w:t xml:space="preserve"> </w:t>
      </w:r>
      <w:r>
        <w:rPr>
          <w:iCs/>
          <w:i/>
        </w:rPr>
        <w:t xml:space="preserve">New Homeless and Old: Community and the Skid Row Hotel.</w:t>
      </w:r>
      <w:r>
        <w:t xml:space="preserve"> </w:t>
      </w:r>
      <w:r>
        <w:t xml:space="preserve">Philadelphia: Temple University Press, 1989.</w:t>
      </w:r>
    </w:p>
    <w:p>
      <w:pPr>
        <w:pStyle w:val="BodyText"/>
      </w:pPr>
      <w:r>
        <w:t xml:space="preserve">U.S. Department of Housing and Urban Development.</w:t>
      </w:r>
      <w:r>
        <w:t xml:space="preserve"> </w:t>
      </w:r>
      <w:r>
        <w:t xml:space="preserve">“</w:t>
      </w:r>
      <w:r>
        <w:t xml:space="preserve">Annual Homeless Assessment Report to Congress.</w:t>
      </w:r>
      <w:r>
        <w:t xml:space="preserve">”</w:t>
      </w:r>
      <w:r>
        <w:t xml:space="preserve"> </w:t>
      </w:r>
      <w:r>
        <w:t xml:space="preserve">Washington, DC: Office of Community Planning and Development, 2023.</w:t>
      </w:r>
    </w:p>
    <w:bookmarkEnd w:id="90"/>
    <w:bookmarkStart w:id="91" w:name="chapter-2-the-street-as-a-trauma-ward-2"/>
    <w:p>
      <w:pPr>
        <w:pStyle w:val="Heading2"/>
      </w:pPr>
      <w:r>
        <w:t xml:space="preserve">Chapter 2: The Street as a Trauma Ward</w:t>
      </w:r>
    </w:p>
    <w:p>
      <w:pPr>
        <w:pStyle w:val="FirstParagraph"/>
      </w:pPr>
      <w:r>
        <w:t xml:space="preserve">Arnsten, Amy F. T.</w:t>
      </w:r>
      <w:r>
        <w:t xml:space="preserve"> </w:t>
      </w:r>
      <w:r>
        <w:t xml:space="preserve">“</w:t>
      </w:r>
      <w:r>
        <w:t xml:space="preserve">Stress Signalling Pathways That Impair Prefrontal Cortex Structure and Function.</w:t>
      </w:r>
      <w:r>
        <w:t xml:space="preserve">”</w:t>
      </w:r>
      <w:r>
        <w:t xml:space="preserve"> </w:t>
      </w:r>
      <w:r>
        <w:rPr>
          <w:iCs/>
          <w:i/>
        </w:rPr>
        <w:t xml:space="preserve">Nature Reviews Neuroscience</w:t>
      </w:r>
      <w:r>
        <w:t xml:space="preserve"> </w:t>
      </w:r>
      <w:r>
        <w:t xml:space="preserve">10, no. 6 (2009): 410–422.</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Mullainathan, Sendhil, and Eldar Shafir.</w:t>
      </w:r>
      <w:r>
        <w:t xml:space="preserve"> </w:t>
      </w:r>
      <w:r>
        <w:rPr>
          <w:iCs/>
          <w:i/>
        </w:rPr>
        <w:t xml:space="preserve">Scarcity: Why Having Too Little Means So Much.</w:t>
      </w:r>
      <w:r>
        <w:t xml:space="preserve"> </w:t>
      </w:r>
      <w:r>
        <w:t xml:space="preserve">New York: Times Books, 2013.</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bookmarkEnd w:id="91"/>
    <w:bookmarkStart w:id="92" w:name="chapter-3-why-current-systems-fail-2"/>
    <w:p>
      <w:pPr>
        <w:pStyle w:val="Heading2"/>
      </w:pPr>
      <w:r>
        <w:t xml:space="preserve">Chapter 3: Why Current Systems Fail</w:t>
      </w:r>
    </w:p>
    <w:p>
      <w:pPr>
        <w:pStyle w:val="FirstParagraph"/>
      </w:pPr>
      <w:r>
        <w:t xml:space="preserve">California State Auditor.</w:t>
      </w:r>
      <w:r>
        <w:t xml:space="preserve"> </w:t>
      </w:r>
      <w:r>
        <w:t xml:space="preserve">“</w:t>
      </w:r>
      <w:r>
        <w:t xml:space="preserve">Homelessness in California: The State’s Uncoordinated Approach to Addressing Homelessness Has Hampered the Effectiveness of Its Efforts.</w:t>
      </w:r>
      <w:r>
        <w:t xml:space="preserve">”</w:t>
      </w:r>
      <w:r>
        <w:t xml:space="preserve"> </w:t>
      </w:r>
      <w:r>
        <w:t xml:space="preserve">Report 2021-112. Sacramento, 2021.</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92"/>
    <w:bookmarkStart w:id="93" w:name="Xd809955f47fda774db15f1d794ea9838a7cd667"/>
    <w:p>
      <w:pPr>
        <w:pStyle w:val="Heading2"/>
      </w:pPr>
      <w:r>
        <w:t xml:space="preserve">Chapter 4: Who Is Actually on the Street?</w:t>
      </w:r>
    </w:p>
    <w:p>
      <w:pPr>
        <w:pStyle w:val="FirstParagraph"/>
      </w:pPr>
      <w:r>
        <w:t xml:space="preserve">Amador, Xavier.</w:t>
      </w:r>
      <w:r>
        <w:t xml:space="preserve"> </w:t>
      </w:r>
      <w:r>
        <w:rPr>
          <w:iCs/>
          <w:i/>
        </w:rPr>
        <w:t xml:space="preserve">I Am Not Sick, I Don’t Need Help! How to Help Someone Accept Treatment.</w:t>
      </w:r>
      <w:r>
        <w:t xml:space="preserve"> </w:t>
      </w:r>
      <w:r>
        <w:t xml:space="preserve">10th anniversary ed. Peconic: Vida Press, 2012.</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93"/>
    <w:bookmarkStart w:id="94" w:name="Xf4a9a68677cdcd9f37a46f221c059f5b9b71e57"/>
    <w:p>
      <w:pPr>
        <w:pStyle w:val="Heading2"/>
      </w:pPr>
      <w:r>
        <w:t xml:space="preserve">Chapter 5: The Human Body as a Physical System</w:t>
      </w:r>
    </w:p>
    <w:p>
      <w:pPr>
        <w:pStyle w:val="FirstParagraph"/>
      </w:pPr>
      <w:r>
        <w:t xml:space="preserve">McEwen, Bruce S., and Peter J. Gianaros.</w:t>
      </w:r>
      <w:r>
        <w:t xml:space="preserve"> </w:t>
      </w:r>
      <w:r>
        <w:t xml:space="preserve">“</w:t>
      </w:r>
      <w:r>
        <w:t xml:space="preserve">Central Role of the Brain in Stress and Adaptation.</w:t>
      </w:r>
      <w:r>
        <w:t xml:space="preserve">”</w:t>
      </w:r>
      <w:r>
        <w:t xml:space="preserve"> </w:t>
      </w:r>
      <w:r>
        <w:rPr>
          <w:iCs/>
          <w:i/>
        </w:rPr>
        <w:t xml:space="preserve">Annals of the New York Academy of Sciences</w:t>
      </w:r>
      <w:r>
        <w:t xml:space="preserve"> </w:t>
      </w:r>
      <w:r>
        <w:t xml:space="preserve">1186 (2010): 190–222.</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bookmarkEnd w:id="94"/>
    <w:bookmarkStart w:id="95" w:name="chapter-6-sleep-is-not-a-luxury-2"/>
    <w:p>
      <w:pPr>
        <w:pStyle w:val="Heading2"/>
      </w:pPr>
      <w:r>
        <w:t xml:space="preserve">Chapter 6: Sleep Is Not a Luxury</w:t>
      </w:r>
    </w:p>
    <w:p>
      <w:pPr>
        <w:pStyle w:val="FirstParagraph"/>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Walker, Matthew.</w:t>
      </w:r>
      <w:r>
        <w:t xml:space="preserve"> </w:t>
      </w:r>
      <w:r>
        <w:rPr>
          <w:iCs/>
          <w:i/>
        </w:rPr>
        <w:t xml:space="preserve">Why We Sleep: Unlocking the Power of Sleep and Dreams.</w:t>
      </w:r>
      <w:r>
        <w:t xml:space="preserve"> </w:t>
      </w:r>
      <w:r>
        <w:t xml:space="preserve">New York: Scribner, 2017.</w:t>
      </w:r>
    </w:p>
    <w:bookmarkEnd w:id="95"/>
    <w:bookmarkStart w:id="96" w:name="chapter-7-the-capability-approach-2"/>
    <w:p>
      <w:pPr>
        <w:pStyle w:val="Heading2"/>
      </w:pPr>
      <w:r>
        <w:t xml:space="preserve">Chapter 7: The Capability Approach</w:t>
      </w:r>
    </w:p>
    <w:p>
      <w:pPr>
        <w:pStyle w:val="FirstParagraph"/>
      </w:pPr>
      <w:r>
        <w:t xml:space="preserve">Nussbaum, Martha C.</w:t>
      </w:r>
      <w:r>
        <w:t xml:space="preserve"> </w:t>
      </w:r>
      <w:r>
        <w:rPr>
          <w:iCs/>
          <w:i/>
        </w:rPr>
        <w:t xml:space="preserve">Creating Capabilities: The Human Development Approach.</w:t>
      </w:r>
      <w:r>
        <w:t xml:space="preserve"> </w:t>
      </w:r>
      <w:r>
        <w:t xml:space="preserve">Cambridge: Harvard University Press, 2011.</w:t>
      </w:r>
    </w:p>
    <w:p>
      <w:pPr>
        <w:pStyle w:val="BodyText"/>
      </w:pPr>
      <w:r>
        <w:t xml:space="preserve">Sen, Amartya.</w:t>
      </w:r>
      <w:r>
        <w:t xml:space="preserve"> </w:t>
      </w:r>
      <w:r>
        <w:rPr>
          <w:iCs/>
          <w:i/>
        </w:rPr>
        <w:t xml:space="preserve">Development as Freedom.</w:t>
      </w:r>
      <w:r>
        <w:t xml:space="preserve"> </w:t>
      </w:r>
      <w:r>
        <w:t xml:space="preserve">New York: Anchor Books, 1999.</w:t>
      </w:r>
    </w:p>
    <w:bookmarkEnd w:id="96"/>
    <w:bookmarkStart w:id="97" w:name="X99510fc98a8971d9cb5ff6fda728a4b12487b16"/>
    <w:p>
      <w:pPr>
        <w:pStyle w:val="Heading2"/>
      </w:pPr>
      <w:r>
        <w:t xml:space="preserve">Chapter 8: Distressed Commercial Real Estate as Infrastructure</w:t>
      </w:r>
    </w:p>
    <w:p>
      <w:pPr>
        <w:pStyle w:val="FirstParagraph"/>
      </w:pPr>
      <w:r>
        <w:t xml:space="preserve">Cushman and Wakefield.</w:t>
      </w:r>
      <w:r>
        <w:t xml:space="preserve"> </w:t>
      </w:r>
      <w:r>
        <w:t xml:space="preserve">“</w:t>
      </w:r>
      <w:r>
        <w:t xml:space="preserve">U.S. Office MarketBeat.</w:t>
      </w:r>
      <w:r>
        <w:t xml:space="preserve">”</w:t>
      </w:r>
      <w:r>
        <w:t xml:space="preserve"> </w:t>
      </w:r>
      <w:r>
        <w:t xml:space="preserve">Quarterly Report Series, 2023–2025.</w:t>
      </w:r>
    </w:p>
    <w:p>
      <w:pPr>
        <w:pStyle w:val="BodyText"/>
      </w:pPr>
      <w:r>
        <w:t xml:space="preserve">Urban Land Institute.</w:t>
      </w:r>
      <w:r>
        <w:t xml:space="preserve"> </w:t>
      </w:r>
      <w:r>
        <w:t xml:space="preserve">“</w:t>
      </w:r>
      <w:r>
        <w:t xml:space="preserve">Office to Residential Conversion: An Analysis of Multifamily Housing Supply.</w:t>
      </w:r>
      <w:r>
        <w:t xml:space="preserve">”</w:t>
      </w:r>
      <w:r>
        <w:t xml:space="preserve"> </w:t>
      </w:r>
      <w:r>
        <w:t xml:space="preserve">Washington, DC: Urban Land Institute, 2023.</w:t>
      </w:r>
    </w:p>
    <w:bookmarkEnd w:id="97"/>
    <w:bookmarkStart w:id="98" w:name="Xac9712142ac0b01387146a7637448e8adf4fd00"/>
    <w:p>
      <w:pPr>
        <w:pStyle w:val="Heading2"/>
      </w:pPr>
      <w:r>
        <w:t xml:space="preserve">Chapter 9: The Vertical Stabilization Tower</w:t>
      </w:r>
    </w:p>
    <w:p>
      <w:pPr>
        <w:pStyle w:val="FirstParagraph"/>
      </w:pPr>
      <w:r>
        <w:t xml:space="preserve">Newman, Oscar.</w:t>
      </w:r>
      <w:r>
        <w:t xml:space="preserve"> </w:t>
      </w:r>
      <w:r>
        <w:rPr>
          <w:iCs/>
          <w:i/>
        </w:rPr>
        <w:t xml:space="preserve">Defensible Space: Crime Prevention through Urban Design.</w:t>
      </w:r>
      <w:r>
        <w:t xml:space="preserve"> </w:t>
      </w:r>
      <w:r>
        <w:t xml:space="preserve">New York: Macmillan, 1972.</w:t>
      </w:r>
    </w:p>
    <w:p>
      <w:pPr>
        <w:pStyle w:val="BodyText"/>
      </w:pPr>
      <w:r>
        <w:t xml:space="preserve">Walker, Matthew.</w:t>
      </w:r>
      <w:r>
        <w:t xml:space="preserve"> </w:t>
      </w:r>
      <w:r>
        <w:rPr>
          <w:iCs/>
          <w:i/>
        </w:rPr>
        <w:t xml:space="preserve">Why We Sleep: Unlocking the Power of Sleep and Dreams.</w:t>
      </w:r>
      <w:r>
        <w:t xml:space="preserve"> </w:t>
      </w:r>
      <w:r>
        <w:t xml:space="preserve">New York: Scribner, 2017.</w:t>
      </w:r>
    </w:p>
    <w:bookmarkEnd w:id="98"/>
    <w:bookmarkStart w:id="99" w:name="chapter-10-the-sanitation-pod-2"/>
    <w:p>
      <w:pPr>
        <w:pStyle w:val="Heading2"/>
      </w:pPr>
      <w:r>
        <w:t xml:space="preserve">Chapter 10: The Sanitation Pod</w:t>
      </w:r>
    </w:p>
    <w:p>
      <w:pPr>
        <w:pStyle w:val="FirstParagraph"/>
      </w:pPr>
      <w:r>
        <w:t xml:space="preserve">Harm Reduction International.</w:t>
      </w:r>
      <w:r>
        <w:t xml:space="preserve"> </w:t>
      </w:r>
      <w:r>
        <w:t xml:space="preserve">“</w:t>
      </w:r>
      <w:r>
        <w:t xml:space="preserve">The Global State of Harm Reduction.</w:t>
      </w:r>
      <w:r>
        <w:t xml:space="preserve">”</w:t>
      </w:r>
      <w:r>
        <w:t xml:space="preserve"> </w:t>
      </w:r>
      <w:r>
        <w:t xml:space="preserve">London: Harm Reduction International, 2022.</w:t>
      </w:r>
    </w:p>
    <w:bookmarkEnd w:id="99"/>
    <w:bookmarkStart w:id="100" w:name="X6b00a4d1e826191233924ba991839e21221bfb7"/>
    <w:p>
      <w:pPr>
        <w:pStyle w:val="Heading2"/>
      </w:pPr>
      <w:r>
        <w:t xml:space="preserve">Chapter 11: Dunbar’s Number and the Science of Community</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Dunbar, Robin I. M.</w:t>
      </w:r>
      <w:r>
        <w:t xml:space="preserve"> </w:t>
      </w:r>
      <w:r>
        <w:rPr>
          <w:iCs/>
          <w:i/>
        </w:rPr>
        <w:t xml:space="preserve">Friends: Understanding the Power of Our Most Important Relationships.</w:t>
      </w:r>
      <w:r>
        <w:t xml:space="preserve"> </w:t>
      </w:r>
      <w:r>
        <w:t xml:space="preserve">London: Little, Brown, 2021.</w:t>
      </w:r>
    </w:p>
    <w:bookmarkEnd w:id="100"/>
    <w:bookmarkStart w:id="101" w:name="X1bfd3d3b542dac8b81ea98b433d3176d9eed5de"/>
    <w:p>
      <w:pPr>
        <w:pStyle w:val="Heading2"/>
      </w:pPr>
      <w:r>
        <w:t xml:space="preserve">Chapter 12: Automated Maintenance and Human Dignity</w:t>
      </w:r>
    </w:p>
    <w:p>
      <w:pPr>
        <w:pStyle w:val="FirstParagraph"/>
      </w:pPr>
      <w:r>
        <w:t xml:space="preserve">Arnsten, Amy F. T.</w:t>
      </w:r>
      <w:r>
        <w:t xml:space="preserve"> </w:t>
      </w:r>
      <w:r>
        <w:t xml:space="preserve">“</w:t>
      </w:r>
      <w:r>
        <w:t xml:space="preserve">Stress Signalling Pathways That Impair Prefrontal Cortex Structure and Function.</w:t>
      </w:r>
      <w:r>
        <w:t xml:space="preserve">”</w:t>
      </w:r>
      <w:r>
        <w:t xml:space="preserve"> </w:t>
      </w:r>
      <w:r>
        <w:rPr>
          <w:iCs/>
          <w:i/>
        </w:rPr>
        <w:t xml:space="preserve">Nature Reviews Neuroscience</w:t>
      </w:r>
      <w:r>
        <w:t xml:space="preserve"> </w:t>
      </w:r>
      <w:r>
        <w:t xml:space="preserve">10, no. 6 (2009): 410–422.</w:t>
      </w:r>
    </w:p>
    <w:bookmarkEnd w:id="101"/>
    <w:bookmarkStart w:id="102" w:name="X47170df4371c26beada1e998b7e0df588db3669"/>
    <w:p>
      <w:pPr>
        <w:pStyle w:val="Heading2"/>
      </w:pPr>
      <w:r>
        <w:t xml:space="preserve">Chapter 13: Field Engagement and the Warm Offer</w:t>
      </w:r>
    </w:p>
    <w:p>
      <w:pPr>
        <w:pStyle w:val="FirstParagraph"/>
      </w:pPr>
      <w:r>
        <w:t xml:space="preserve">Assertive Community Treatment Association.</w:t>
      </w:r>
      <w:r>
        <w:t xml:space="preserve"> </w:t>
      </w:r>
      <w:r>
        <w:t xml:space="preserve">“</w:t>
      </w:r>
      <w:r>
        <w:t xml:space="preserve">ACT Model Standards and Resources.</w:t>
      </w:r>
      <w:r>
        <w:t xml:space="preserve">”</w:t>
      </w:r>
      <w:r>
        <w:t xml:space="preserve"> </w:t>
      </w:r>
      <w:r>
        <w:t xml:space="preserve">Accessed 2025. acta.org.</w:t>
      </w:r>
    </w:p>
    <w:p>
      <w:pPr>
        <w:pStyle w:val="BodyText"/>
      </w:pPr>
      <w:r>
        <w:t xml:space="preserve">Stein, Leonard I., and Mary Ann Test.</w:t>
      </w:r>
      <w:r>
        <w:t xml:space="preserve"> </w:t>
      </w:r>
      <w:r>
        <w:t xml:space="preserve">“</w:t>
      </w:r>
      <w:r>
        <w:t xml:space="preserve">Alternative to Mental Hospital Treatment: I. Conceptual Model, Treatment Program, and Clinical Evaluation.</w:t>
      </w:r>
      <w:r>
        <w:t xml:space="preserve">”</w:t>
      </w:r>
      <w:r>
        <w:t xml:space="preserve"> </w:t>
      </w:r>
      <w:r>
        <w:rPr>
          <w:iCs/>
          <w:i/>
        </w:rPr>
        <w:t xml:space="preserve">Archives of General Psychiatry</w:t>
      </w:r>
      <w:r>
        <w:t xml:space="preserve"> </w:t>
      </w:r>
      <w:r>
        <w:t xml:space="preserve">37, no. 4 (1980): 392–397.</w:t>
      </w:r>
    </w:p>
    <w:bookmarkEnd w:id="102"/>
    <w:bookmarkStart w:id="103" w:name="X3c8578d159f198a08278328a02a74f9fb9af002"/>
    <w:p>
      <w:pPr>
        <w:pStyle w:val="Heading2"/>
      </w:pPr>
      <w:r>
        <w:t xml:space="preserve">Chapter 14: Phase Zero — The Unconditional Entry</w:t>
      </w:r>
    </w:p>
    <w:p>
      <w:pPr>
        <w:pStyle w:val="FirstParagraph"/>
      </w:pPr>
      <w:r>
        <w:t xml:space="preserve">State of California. Welfare and Institutions Code, Section 5150. Lanterman-Petris-Short Act, 1967.</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103"/>
    <w:bookmarkStart w:id="104" w:name="chapter-15-metabolic-stabilization-2"/>
    <w:p>
      <w:pPr>
        <w:pStyle w:val="Heading2"/>
      </w:pPr>
      <w:r>
        <w:t xml:space="preserve">Chapter 15: Metabolic Stabilization</w:t>
      </w:r>
    </w:p>
    <w:p>
      <w:pPr>
        <w:pStyle w:val="FirstParagraph"/>
      </w:pPr>
      <w:r>
        <w:t xml:space="preserve">Arnsten, Amy F. T.</w:t>
      </w:r>
      <w:r>
        <w:t xml:space="preserve"> </w:t>
      </w:r>
      <w:r>
        <w:t xml:space="preserve">“</w:t>
      </w:r>
      <w:r>
        <w:t xml:space="preserve">Stress Signalling Pathways That Impair Prefrontal Cortex Structure and Function.</w:t>
      </w:r>
      <w:r>
        <w:t xml:space="preserve">”</w:t>
      </w:r>
      <w:r>
        <w:t xml:space="preserve"> </w:t>
      </w:r>
      <w:r>
        <w:rPr>
          <w:iCs/>
          <w:i/>
        </w:rPr>
        <w:t xml:space="preserve">Nature Reviews Neuroscience</w:t>
      </w:r>
      <w:r>
        <w:t xml:space="preserve"> </w:t>
      </w:r>
      <w:r>
        <w:t xml:space="preserve">10, no. 6 (2009): 410–422.</w:t>
      </w:r>
    </w:p>
    <w:p>
      <w:pPr>
        <w:pStyle w:val="BodyText"/>
      </w:pPr>
      <w:r>
        <w:t xml:space="preserve">McEwen, Bruce S.</w:t>
      </w:r>
      <w:r>
        <w:t xml:space="preserve"> </w:t>
      </w:r>
      <w:r>
        <w:t xml:space="preserve">“</w:t>
      </w:r>
      <w:r>
        <w:t xml:space="preserve">Neurobiological and Systemic Effects of Chronic Stress.</w:t>
      </w:r>
      <w:r>
        <w:t xml:space="preserve">”</w:t>
      </w:r>
      <w:r>
        <w:t xml:space="preserve"> </w:t>
      </w:r>
      <w:r>
        <w:rPr>
          <w:iCs/>
          <w:i/>
        </w:rPr>
        <w:t xml:space="preserve">Chronic Stress</w:t>
      </w:r>
      <w:r>
        <w:t xml:space="preserve"> </w:t>
      </w:r>
      <w:r>
        <w:t xml:space="preserve">1 (2017). doi:10.1177/2470547017692328.</w:t>
      </w:r>
    </w:p>
    <w:p>
      <w:pPr>
        <w:pStyle w:val="BodyText"/>
      </w:pPr>
      <w:r>
        <w:t xml:space="preserve">Walker, Matthew.</w:t>
      </w:r>
      <w:r>
        <w:t xml:space="preserve"> </w:t>
      </w:r>
      <w:r>
        <w:rPr>
          <w:iCs/>
          <w:i/>
        </w:rPr>
        <w:t xml:space="preserve">Why We Sleep: Unlocking the Power of Sleep and Dreams.</w:t>
      </w:r>
      <w:r>
        <w:t xml:space="preserve"> </w:t>
      </w:r>
      <w:r>
        <w:t xml:space="preserve">New York: Scribner, 2017.</w:t>
      </w:r>
    </w:p>
    <w:bookmarkEnd w:id="104"/>
    <w:bookmarkStart w:id="105" w:name="X1e1d0d11f061d17f47ed696ffd0de6ca4c4f299"/>
    <w:p>
      <w:pPr>
        <w:pStyle w:val="Heading2"/>
      </w:pPr>
      <w:r>
        <w:t xml:space="preserve">Chapter 16: Legal Instruments for Compelled Care</w:t>
      </w:r>
    </w:p>
    <w:p>
      <w:pPr>
        <w:pStyle w:val="FirstParagraph"/>
      </w:pPr>
      <w:r>
        <w:t xml:space="preserve">Amador, Xavier.</w:t>
      </w:r>
      <w:r>
        <w:t xml:space="preserve"> </w:t>
      </w:r>
      <w:r>
        <w:rPr>
          <w:iCs/>
          <w:i/>
        </w:rPr>
        <w:t xml:space="preserve">I Am Not Sick, I Don’t Need Help! How to Help Someone Accept Treatment.</w:t>
      </w:r>
      <w:r>
        <w:t xml:space="preserve"> </w:t>
      </w:r>
      <w:r>
        <w:t xml:space="preserve">10th anniversary ed. Peconic: Vida Press, 2012.</w:t>
      </w:r>
    </w:p>
    <w:p>
      <w:pPr>
        <w:pStyle w:val="BodyText"/>
      </w:pPr>
      <w:r>
        <w:t xml:space="preserve">State of California. Senate Bill 1338, Community Assistance, Recovery, and Empowerment (CARE) Act. Signed into law September 14, 2022.</w:t>
      </w:r>
    </w:p>
    <w:p>
      <w:pPr>
        <w:pStyle w:val="BodyText"/>
      </w:pPr>
      <w:r>
        <w:t xml:space="preserve">State of California. Senate Bill 43, Lanterman-Petris-Short Act Amendments. Signed into law October 12, 2023.</w:t>
      </w:r>
    </w:p>
    <w:p>
      <w:pPr>
        <w:pStyle w:val="BodyText"/>
      </w:pPr>
      <w:r>
        <w:t xml:space="preserve">State of California. Welfare and Institutions Code, Division 5. Lanterman-Petris-Short Act, 1967.</w:t>
      </w:r>
    </w:p>
    <w:bookmarkEnd w:id="105"/>
    <w:bookmarkStart w:id="106" w:name="chapter-17-re-entry-and-cycling-2"/>
    <w:p>
      <w:pPr>
        <w:pStyle w:val="Heading2"/>
      </w:pPr>
      <w:r>
        <w:t xml:space="preserve">Chapter 17: Re-entry and Cycling</w:t>
      </w:r>
    </w:p>
    <w:p>
      <w:pPr>
        <w:pStyle w:val="FirstParagraph"/>
      </w:pPr>
      <w:r>
        <w:t xml:space="preserve">Culhane, Dennis P., et al.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106"/>
    <w:bookmarkStart w:id="107" w:name="chapter-18-upward-mobility-2"/>
    <w:p>
      <w:pPr>
        <w:pStyle w:val="Heading2"/>
      </w:pPr>
      <w:r>
        <w:t xml:space="preserve">Chapter 18: Upward Mobility</w:t>
      </w:r>
    </w:p>
    <w:p>
      <w:pPr>
        <w:pStyle w:val="FirstParagraph"/>
      </w:pPr>
      <w:r>
        <w:t xml:space="preserve">California Department of Health Care Services.</w:t>
      </w:r>
      <w:r>
        <w:t xml:space="preserve"> </w:t>
      </w:r>
      <w:r>
        <w:t xml:space="preserve">“</w:t>
      </w:r>
      <w:r>
        <w:t xml:space="preserve">Peer Support Specialist Certification Program.</w:t>
      </w:r>
      <w:r>
        <w:t xml:space="preserve">”</w:t>
      </w:r>
      <w:r>
        <w:t xml:space="preserve"> </w:t>
      </w:r>
      <w:r>
        <w:t xml:space="preserve">Sacramento: DHCS, 2023.</w:t>
      </w:r>
    </w:p>
    <w:bookmarkEnd w:id="107"/>
    <w:bookmarkStart w:id="108" w:name="chapter-19-federal-funding-streams-2"/>
    <w:p>
      <w:pPr>
        <w:pStyle w:val="Heading2"/>
      </w:pPr>
      <w:r>
        <w:t xml:space="preserve">Chapter 19: Federal Funding Streams</w:t>
      </w:r>
    </w:p>
    <w:p>
      <w:pPr>
        <w:pStyle w:val="FirstParagraph"/>
      </w:pPr>
      <w:r>
        <w:t xml:space="preserve">U.S. Department of Housing and Urban Development.</w:t>
      </w:r>
      <w:r>
        <w:t xml:space="preserve"> </w:t>
      </w:r>
      <w:r>
        <w:t xml:space="preserve">“</w:t>
      </w:r>
      <w:r>
        <w:t xml:space="preserve">Continuum of Care Program: Eligibility Requirements.</w:t>
      </w:r>
      <w:r>
        <w:t xml:space="preserve">”</w:t>
      </w:r>
      <w:r>
        <w:t xml:space="preserve"> </w:t>
      </w:r>
      <w:r>
        <w:t xml:space="preserve">Washington, DC: HUD, 2023.</w:t>
      </w:r>
    </w:p>
    <w:p>
      <w:pPr>
        <w:pStyle w:val="BodyText"/>
      </w:pPr>
      <w:r>
        <w:t xml:space="preserve">U.S. Department of the Treasury.</w:t>
      </w:r>
      <w:r>
        <w:t xml:space="preserve"> </w:t>
      </w:r>
      <w:r>
        <w:t xml:space="preserve">“</w:t>
      </w:r>
      <w:r>
        <w:t xml:space="preserve">Low-Income Housing Tax Credit.</w:t>
      </w:r>
      <w:r>
        <w:t xml:space="preserve">”</w:t>
      </w:r>
      <w:r>
        <w:t xml:space="preserve"> </w:t>
      </w:r>
      <w:r>
        <w:t xml:space="preserve">Washington, DC: Internal Revenue Service, 2023.</w:t>
      </w:r>
    </w:p>
    <w:bookmarkEnd w:id="108"/>
    <w:bookmarkStart w:id="109" w:name="chapter-20-state-funding-and-medicaid-2"/>
    <w:p>
      <w:pPr>
        <w:pStyle w:val="Heading2"/>
      </w:pPr>
      <w:r>
        <w:t xml:space="preserve">Chapter 20: State Funding and Medicaid</w:t>
      </w:r>
    </w:p>
    <w:p>
      <w:pPr>
        <w:pStyle w:val="FirstParagraph"/>
      </w:pPr>
      <w:r>
        <w:t xml:space="preserve">California Department of Health Care Services.</w:t>
      </w:r>
      <w:r>
        <w:t xml:space="preserve"> </w:t>
      </w:r>
      <w:r>
        <w:t xml:space="preserve">“</w:t>
      </w:r>
      <w:r>
        <w:t xml:space="preserve">CalAIM: California Advancing and Innovating Medi-Cal.</w:t>
      </w:r>
      <w:r>
        <w:t xml:space="preserve">”</w:t>
      </w:r>
      <w:r>
        <w:t xml:space="preserve"> </w:t>
      </w:r>
      <w:r>
        <w:t xml:space="preserve">Sacramento: DHCS, 2023.</w:t>
      </w:r>
    </w:p>
    <w:p>
      <w:pPr>
        <w:pStyle w:val="BodyText"/>
      </w:pPr>
      <w:r>
        <w:t xml:space="preserve">State of California. Proposition 1, Behavioral Health Services Act and Bond Act. Passed by voters March 5, 2024.</w:t>
      </w:r>
    </w:p>
    <w:bookmarkEnd w:id="109"/>
    <w:bookmarkStart w:id="110" w:name="Xb0741c865629d3e42467e4b3f534560efac01d3"/>
    <w:p>
      <w:pPr>
        <w:pStyle w:val="Heading2"/>
      </w:pPr>
      <w:r>
        <w:t xml:space="preserve">Chapter 21: Private Capital and Blended Finance</w:t>
      </w:r>
    </w:p>
    <w:p>
      <w:pPr>
        <w:pStyle w:val="FirstParagraph"/>
      </w:pPr>
      <w:r>
        <w:t xml:space="preserve">McKinsey Global Institute.</w:t>
      </w:r>
      <w:r>
        <w:t xml:space="preserve"> </w:t>
      </w:r>
      <w:r>
        <w:t xml:space="preserve">“</w:t>
      </w:r>
      <w:r>
        <w:t xml:space="preserve">Social Impact Bonds: A New Tool for Social Policy.</w:t>
      </w:r>
      <w:r>
        <w:t xml:space="preserve">”</w:t>
      </w:r>
      <w:r>
        <w:t xml:space="preserve"> </w:t>
      </w:r>
      <w:r>
        <w:t xml:space="preserve">New York: McKinsey, 2012.</w:t>
      </w:r>
    </w:p>
    <w:p>
      <w:pPr>
        <w:pStyle w:val="BodyText"/>
      </w:pPr>
      <w:r>
        <w:t xml:space="preserve">U.S. Department of the Treasury.</w:t>
      </w:r>
      <w:r>
        <w:t xml:space="preserve"> </w:t>
      </w:r>
      <w:r>
        <w:t xml:space="preserve">“</w:t>
      </w:r>
      <w:r>
        <w:t xml:space="preserve">New Markets Tax Credit Program.</w:t>
      </w:r>
      <w:r>
        <w:t xml:space="preserve">”</w:t>
      </w:r>
      <w:r>
        <w:t xml:space="preserve"> </w:t>
      </w:r>
      <w:r>
        <w:t xml:space="preserve">Washington, DC: CDFI Fund, 2023.</w:t>
      </w:r>
    </w:p>
    <w:bookmarkEnd w:id="110"/>
    <w:bookmarkStart w:id="111" w:name="X2bd41f64289aa3b8e341a83e731843e450c57a4"/>
    <w:p>
      <w:pPr>
        <w:pStyle w:val="Heading2"/>
      </w:pPr>
      <w:r>
        <w:t xml:space="preserve">Chapter 22: The Institutional Waste Argument</w:t>
      </w:r>
    </w:p>
    <w:p>
      <w:pPr>
        <w:pStyle w:val="FirstParagraph"/>
      </w:pPr>
      <w:r>
        <w:t xml:space="preserve">California State Auditor.</w:t>
      </w:r>
      <w:r>
        <w:t xml:space="preserve"> </w:t>
      </w:r>
      <w:r>
        <w:t xml:space="preserve">“</w:t>
      </w:r>
      <w:r>
        <w:t xml:space="preserve">Homelessness in California: The State’s Uncoordinated Approach to Addressing Homelessness Has Hampered the Effectiveness of Its Efforts.</w:t>
      </w:r>
      <w:r>
        <w:t xml:space="preserve">”</w:t>
      </w:r>
      <w:r>
        <w:t xml:space="preserve"> </w:t>
      </w:r>
      <w:r>
        <w:t xml:space="preserve">Report 2021-112. Sacramento, 2021.</w:t>
      </w:r>
    </w:p>
    <w:p>
      <w:pPr>
        <w:pStyle w:val="BodyText"/>
      </w:pPr>
      <w:r>
        <w:t xml:space="preserve">UCLA Luskin School of Public Affairs.</w:t>
      </w:r>
      <w:r>
        <w:t xml:space="preserve"> </w:t>
      </w:r>
      <w:r>
        <w:t xml:space="preserve">“</w:t>
      </w:r>
      <w:r>
        <w:t xml:space="preserve">The High Cost of Homelessness in Los Angeles County.</w:t>
      </w:r>
      <w:r>
        <w:t xml:space="preserve">”</w:t>
      </w:r>
      <w:r>
        <w:t xml:space="preserve"> </w:t>
      </w:r>
      <w:r>
        <w:t xml:space="preserve">Los Angeles: UCLA Luskin, 2023.</w:t>
      </w:r>
    </w:p>
    <w:bookmarkEnd w:id="111"/>
    <w:bookmarkStart w:id="112" w:name="X77e7dbe47045c6207d4802598c3becaa8b545b8"/>
    <w:p>
      <w:pPr>
        <w:pStyle w:val="Heading2"/>
      </w:pPr>
      <w:r>
        <w:t xml:space="preserve">Chapter 23: Ten Objections and Why They Fail</w:t>
      </w:r>
    </w:p>
    <w:p>
      <w:pPr>
        <w:pStyle w:val="FirstParagraph"/>
      </w:pPr>
      <w:r>
        <w:t xml:space="preserve">Cohen, Lawrence E., and Marcus Felson.</w:t>
      </w:r>
      <w:r>
        <w:t xml:space="preserve"> </w:t>
      </w:r>
      <w:r>
        <w:t xml:space="preserve">“</w:t>
      </w:r>
      <w:r>
        <w:t xml:space="preserve">Social Change and Crime Rate Trends: A Routine Activity Approach.</w:t>
      </w:r>
      <w:r>
        <w:t xml:space="preserve">”</w:t>
      </w:r>
      <w:r>
        <w:t xml:space="preserve"> </w:t>
      </w:r>
      <w:r>
        <w:rPr>
          <w:iCs/>
          <w:i/>
        </w:rPr>
        <w:t xml:space="preserve">American Sociological Review</w:t>
      </w:r>
      <w:r>
        <w:t xml:space="preserve"> </w:t>
      </w:r>
      <w:r>
        <w:t xml:space="preserve">44, no. 4 (1979): 588–608.</w:t>
      </w:r>
    </w:p>
    <w:p>
      <w:pPr>
        <w:pStyle w:val="BodyText"/>
      </w:pPr>
      <w:r>
        <w:t xml:space="preserve">Newman, Oscar.</w:t>
      </w:r>
      <w:r>
        <w:t xml:space="preserve"> </w:t>
      </w:r>
      <w:r>
        <w:rPr>
          <w:iCs/>
          <w:i/>
        </w:rPr>
        <w:t xml:space="preserve">Defensible Space: Crime Prevention through Urban Design.</w:t>
      </w:r>
      <w:r>
        <w:t xml:space="preserve"> </w:t>
      </w:r>
      <w:r>
        <w:t xml:space="preserve">New York: Macmillan, 1972.</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112"/>
    <w:bookmarkStart w:id="113" w:name="Xd3e0ff6afae04a7c05fd07e5464106877a92a56"/>
    <w:p>
      <w:pPr>
        <w:pStyle w:val="Heading2"/>
      </w:pPr>
      <w:r>
        <w:t xml:space="preserve">Chapter 24: Riparian Encampments and Environmental Law</w:t>
      </w:r>
    </w:p>
    <w:p>
      <w:pPr>
        <w:pStyle w:val="FirstParagraph"/>
      </w:pPr>
      <w:r>
        <w:t xml:space="preserve">U.S. Environmental Protection Agency.</w:t>
      </w:r>
      <w:r>
        <w:t xml:space="preserve"> </w:t>
      </w:r>
      <w:r>
        <w:t xml:space="preserve">“</w:t>
      </w:r>
      <w:r>
        <w:t xml:space="preserve">Clean Water Act Section 402: National Pollutant Discharge Elimination System.</w:t>
      </w:r>
      <w:r>
        <w:t xml:space="preserve">”</w:t>
      </w:r>
      <w:r>
        <w:t xml:space="preserve"> </w:t>
      </w:r>
      <w:r>
        <w:t xml:space="preserve">Washington, DC: EPA, 2023.</w:t>
      </w:r>
    </w:p>
    <w:p>
      <w:pPr>
        <w:pStyle w:val="BodyText"/>
      </w:pPr>
      <w:r>
        <w:t xml:space="preserve">U.S. Fish and Wildlife Service.</w:t>
      </w:r>
      <w:r>
        <w:t xml:space="preserve"> </w:t>
      </w:r>
      <w:r>
        <w:t xml:space="preserve">“</w:t>
      </w:r>
      <w:r>
        <w:t xml:space="preserve">Migratory Bird Treaty Act of 1918.</w:t>
      </w:r>
      <w:r>
        <w:t xml:space="preserve">”</w:t>
      </w:r>
      <w:r>
        <w:t xml:space="preserve"> </w:t>
      </w:r>
      <w:r>
        <w:t xml:space="preserve">Washington, DC: USFWS, 2022.</w:t>
      </w:r>
    </w:p>
    <w:bookmarkEnd w:id="113"/>
    <w:bookmarkStart w:id="114" w:name="chapter-25-comparative-models-2"/>
    <w:p>
      <w:pPr>
        <w:pStyle w:val="Heading2"/>
      </w:pPr>
      <w:r>
        <w:t xml:space="preserve">Chapter 25: Comparative Models</w:t>
      </w:r>
    </w:p>
    <w:p>
      <w:pPr>
        <w:pStyle w:val="FirstParagraph"/>
      </w:pPr>
      <w:r>
        <w:t xml:space="preserve">Culhane, Dennis P., and Stephen Metraux.</w:t>
      </w:r>
      <w:r>
        <w:t xml:space="preserve"> </w:t>
      </w:r>
      <w:r>
        <w:t xml:space="preserve">“</w:t>
      </w:r>
      <w:r>
        <w:t xml:space="preserve">Rearranging the Deck Chairs or Reallocating the Lifeboats?</w:t>
      </w:r>
      <w:r>
        <w:t xml:space="preserve">”</w:t>
      </w:r>
      <w:r>
        <w:t xml:space="preserve"> </w:t>
      </w:r>
      <w:r>
        <w:rPr>
          <w:iCs/>
          <w:i/>
        </w:rPr>
        <w:t xml:space="preserve">Journal of the American Planning Association</w:t>
      </w:r>
      <w:r>
        <w:t xml:space="preserve"> </w:t>
      </w:r>
      <w:r>
        <w:t xml:space="preserve">74, no. 1 (2008): 111–121.</w:t>
      </w:r>
    </w:p>
    <w:p>
      <w:pPr>
        <w:pStyle w:val="BodyText"/>
      </w:pPr>
      <w:r>
        <w:t xml:space="preserve">Tsai, Jack, and Robert Rosenheck.</w:t>
      </w:r>
      <w:r>
        <w:t xml:space="preserve"> </w:t>
      </w:r>
      <w:r>
        <w:t xml:space="preserve">“</w:t>
      </w:r>
      <w:r>
        <w:t xml:space="preserve">Homeless Veterans in Institutionalized Settings: A Systematic Review.</w:t>
      </w:r>
      <w:r>
        <w:t xml:space="preserve">”</w:t>
      </w:r>
      <w:r>
        <w:t xml:space="preserve"> </w:t>
      </w:r>
      <w:r>
        <w:rPr>
          <w:iCs/>
          <w:i/>
        </w:rPr>
        <w:t xml:space="preserve">Psychiatric Services</w:t>
      </w:r>
      <w:r>
        <w:t xml:space="preserve"> </w:t>
      </w:r>
      <w:r>
        <w:t xml:space="preserve">63, no. 6 (2012): 588–594.</w:t>
      </w:r>
    </w:p>
    <w:bookmarkEnd w:id="114"/>
    <w:bookmarkStart w:id="115" w:name="X64c75a3f6e777f340411edfb27bf426689ab284"/>
    <w:p>
      <w:pPr>
        <w:pStyle w:val="Heading2"/>
      </w:pPr>
      <w:r>
        <w:t xml:space="preserve">Chapter 26: Community, Opposition, and Democracy</w:t>
      </w:r>
    </w:p>
    <w:p>
      <w:pPr>
        <w:pStyle w:val="FirstParagraph"/>
      </w:pPr>
      <w:r>
        <w:t xml:space="preserve">Iglesias, Tim.</w:t>
      </w:r>
      <w:r>
        <w:t xml:space="preserve"> </w:t>
      </w:r>
      <w:r>
        <w:t xml:space="preserve">“</w:t>
      </w:r>
      <w:r>
        <w:t xml:space="preserve">Our Pluralist Housing Ethics and the Struggle for Affordability.</w:t>
      </w:r>
      <w:r>
        <w:t xml:space="preserve">”</w:t>
      </w:r>
      <w:r>
        <w:t xml:space="preserve"> </w:t>
      </w:r>
      <w:r>
        <w:rPr>
          <w:iCs/>
          <w:i/>
        </w:rPr>
        <w:t xml:space="preserve">Wake Forest Law Review</w:t>
      </w:r>
      <w:r>
        <w:t xml:space="preserve"> </w:t>
      </w:r>
      <w:r>
        <w:t xml:space="preserve">42 (2007): 511.</w:t>
      </w:r>
    </w:p>
    <w:p>
      <w:pPr>
        <w:pStyle w:val="BodyText"/>
      </w:pPr>
      <w:r>
        <w:t xml:space="preserve">Mitchell, Don.</w:t>
      </w:r>
      <w:r>
        <w:t xml:space="preserve"> </w:t>
      </w:r>
      <w:r>
        <w:t xml:space="preserve">“</w:t>
      </w:r>
      <w:r>
        <w:t xml:space="preserve">The Annihilation of Space by Law: The Roots and Implications of Anti-Homeless Laws in the United States.</w:t>
      </w:r>
      <w:r>
        <w:t xml:space="preserve">”</w:t>
      </w:r>
      <w:r>
        <w:t xml:space="preserve"> </w:t>
      </w:r>
      <w:r>
        <w:rPr>
          <w:iCs/>
          <w:i/>
        </w:rPr>
        <w:t xml:space="preserve">Antipode</w:t>
      </w:r>
      <w:r>
        <w:t xml:space="preserve"> </w:t>
      </w:r>
      <w:r>
        <w:t xml:space="preserve">29, no. 3 (1997): 303–335.</w:t>
      </w:r>
    </w:p>
    <w:bookmarkEnd w:id="115"/>
    <w:bookmarkStart w:id="116" w:name="chapter-27-what-citizens-can-do-2"/>
    <w:p>
      <w:pPr>
        <w:pStyle w:val="Heading2"/>
      </w:pPr>
      <w:r>
        <w:t xml:space="preserve">Chapter 27: What Citizens Can Do</w:t>
      </w:r>
    </w:p>
    <w:p>
      <w:pPr>
        <w:pStyle w:val="FirstParagraph"/>
      </w:pPr>
      <w:r>
        <w:t xml:space="preserve">DiBella, Charles J.</w:t>
      </w:r>
      <w:r>
        <w:t xml:space="preserve"> </w:t>
      </w:r>
      <w:r>
        <w:t xml:space="preserve">“</w:t>
      </w:r>
      <w:r>
        <w:t xml:space="preserve">The Moral Physics of Survival: Thermodynamic Precarity, Cognitive Agency, and the Ethics of Compelled Stabilization.</w:t>
      </w:r>
      <w:r>
        <w:t xml:space="preserve">”</w:t>
      </w:r>
      <w:r>
        <w:t xml:space="preserve"> </w:t>
      </w:r>
      <w:r>
        <w:t xml:space="preserve">Social Science Research Network, 2025.</w:t>
      </w:r>
    </w:p>
    <w:p>
      <w:pPr>
        <w:pStyle w:val="BodyText"/>
      </w:pPr>
      <w:r>
        <w:t xml:space="preserve">Gowan, Teresa.</w:t>
      </w:r>
      <w:r>
        <w:t xml:space="preserve"> </w:t>
      </w:r>
      <w:r>
        <w:rPr>
          <w:iCs/>
          <w:i/>
        </w:rPr>
        <w:t xml:space="preserve">Hobos, Hustlers, and Backsliders: Homeless in San Francisco, New York, and London.</w:t>
      </w:r>
      <w:r>
        <w:t xml:space="preserve"> </w:t>
      </w:r>
      <w:r>
        <w:t xml:space="preserve">Minneapolis: University of Minnesota Press, 2010.</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Fixing Skid Row: How Urban Design Can End Chronic Homelessness</dc:title>
  <dc:creator>Charles J. DiBella</dc:creator>
  <dc:language>en-US</dc:language>
  <cp:keywords/>
  <dcterms:created xsi:type="dcterms:W3CDTF">2026-06-19T17:51:54Z</dcterms:created>
  <dcterms:modified xsi:type="dcterms:W3CDTF">2026-06-19T17:51:54Z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Citizen’s Guide to Housing Policy, Building Conversion, and the Science of Human Survival</vt:lpwstr>
  </property>
</Properties>
</file>