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Material Dignity Press</w:t>
      </w:r>
      <w:r>
        <w:t xml:space="preserve"> </w:t>
      </w:r>
      <w:r>
        <w:t xml:space="preserve">Los Angeles, California</w:t>
      </w:r>
    </w:p>
    <w:p>
      <w:pPr>
        <w:pStyle w:val="BodyText"/>
      </w:pPr>
      <w:r>
        <w:t xml:space="preserve">The Material Dignity Infrastructure working papers referenced in this book are available at the Social Science Research Network (SSRN) under Abstract IDs 5968756, 6211658, and 6579600.</w:t>
      </w:r>
    </w:p>
    <w:p>
      <w:pPr>
        <w:pStyle w:val="BodyText"/>
      </w:pPr>
      <w:r>
        <w:t xml:space="preserve">First edition, 2026</w:t>
      </w:r>
    </w:p>
    <w:p>
      <w:r>
        <w:pict>
          <v:rect style="width:0;height:1.5pt" o:hralign="center" o:hrstd="t" o:hr="t"/>
        </w:pict>
      </w:r>
    </w:p>
    <w:p>
      <w:pPr>
        <w:pStyle w:val="FirstParagraph"/>
      </w:pPr>
      <w:r>
        <w:t xml:space="preserve">The Weaponization of Compassion</w:t>
      </w:r>
      <w:r>
        <w:t xml:space="preserve"> </w:t>
      </w:r>
      <w:r>
        <w:t xml:space="preserve">Material Deprivation and the Homeless Industrial Complex</w:t>
      </w:r>
    </w:p>
    <w:p>
      <w:pPr>
        <w:pStyle w:val="BodyText"/>
      </w:pPr>
      <w:r>
        <w:t xml:space="preserve">Charles J. DiBella</w:t>
      </w:r>
    </w:p>
    <w:p>
      <w:r>
        <w:pict>
          <v:rect style="width:0;height:1.5pt" o:hralign="center" o:hrstd="t" o:hr="t"/>
        </w:pict>
      </w:r>
    </w:p>
    <w:p>
      <w:pPr>
        <w:pStyle w:val="FirstParagraph"/>
      </w:pPr>
      <w:r>
        <w:t xml:space="preserve">I have spent thirty years inside the condition this book describes. Not studying it from a position of professional distance, not visiting it on research grants, but living and moving through the unsheltered ecologies of cities across the United States, Southeast Asia, and Europe as a long-distance bicycle tourer since 1997, with the sustained attention that only proximity over time makes possible. That duration is the empirical foundation of everything that follows, and I want to be precise about what it does and does not authorize me to claim.</w:t>
      </w:r>
    </w:p>
    <w:p>
      <w:pPr>
        <w:pStyle w:val="BodyText"/>
      </w:pPr>
      <w:r>
        <w:t xml:space="preserve">It does not authorize me to speak for the people whose circumstances I observed. Their experiences are their own, and no length of proximity transfers that authority. What it does authorize is a specific kind of structural claim, the kind that requires watching the same system fail in the same ways across multiple decades before the pattern becomes impossible to mistake for accident. I have watched California commit twenty-four billion dollars to a crisis that grew larger as the money flowed into it. I have watched municipal sweep operations displace the same populations to the same adjacent locations in cycles short enough to measure in weeks. I have watched the intervention apparatus expand in budget and staff and public presence across the same years during which the people the apparatus claimed to serve accumulated in greater numbers beneath the city’s bridges and along its drainage channels and in the interstitial geographies where enforcement attention is inconsistent and organizational infrastructure has had time to take hold.</w:t>
      </w:r>
    </w:p>
    <w:p>
      <w:pPr>
        <w:pStyle w:val="BodyText"/>
      </w:pPr>
      <w:r>
        <w:t xml:space="preserve">This book is an attempt to account for that pattern with the rigor it demands. It draws on peer-reviewed medical and epidemiological literature, on federal housing policy evidence compiled by the Department of Housing and Urban Development and the United States Interagency Council on Homelessness, on academic research into the structural incentive failures of the nonprofit sector, and on the three working papers I published through the Social Science Research Network between 2025 and 2026 under the collective title Material Dignity Infrastructure. Those papers proposed a specific industrial alternative to the welfare model that the evidence examined here has found inadequate. They are the positive argument that this book’s analysis makes possible, and readers who want to follow the technical specification in detail will find it there.</w:t>
      </w:r>
    </w:p>
    <w:p>
      <w:pPr>
        <w:pStyle w:val="BodyText"/>
      </w:pPr>
      <w:r>
        <w:t xml:space="preserve">What this book does not do is pretend that the pattern it documents is the result of individual malice or political conspiracy. The people who designed and administered the programs whose consequences fill these pages were, with few exceptions, people who believed they were doing something necessary and good. That belief does not insulate policy from examination. The consequences of the programs they built are documented in the clinical literature and in the federal evidence record and in the count of one hundred and eighty-seven thousand people who remained unsheltered in California at the end of the period during which the state spent more money on homelessness than at any prior point in its history. The gap between intention and outcome is the subject of this book. Closing it requires understanding why the gap exists, not because understanding alone resolves anything, but because no durable resolution is possible without it.</w:t>
      </w:r>
    </w:p>
    <w:p>
      <w:r>
        <w:pict>
          <v:rect style="width:0;height:1.5pt" o:hralign="center" o:hrstd="t" o:hr="t"/>
        </w:pict>
      </w:r>
    </w:p>
    <w:p>
      <w:pPr>
        <w:pStyle w:val="FirstParagraph"/>
      </w:pPr>
      <w:r>
        <w:t xml:space="preserve">The footage was not supposed to be shocking. The man who filmed it seemed genuinely proud of what he was showing, panning slowly through an arrangement that had taken real effort to build, calling out to his friend to confirm that the space was his alone, that the long concrete corridor beneath the overpass had been organized and claimed and maintained with the kind of attention that most people reserve for a home they intend to stay in for a very long time. The lights strung along the support columns were not battery-powered. They drew from the municipal grid, tapped at some junction point upstream and routed through extension cords into a network of individual living spaces that spread in both directions from where the camera stood. The man filming spoke with the casual authority of someone narrating something obvious, something that anyone paying attention would already know about, and in a sense he was right. This had not appeared overnight. It had grown the way all permanent things grow, incrementally and without announcement, until the scale of it made any single point of intervention feel beside the point.</w:t>
      </w:r>
    </w:p>
    <w:p>
      <w:pPr>
        <w:pStyle w:val="BodyText"/>
      </w:pPr>
      <w:r>
        <w:t xml:space="preserve">When the video circulated on May 20, 2026, the public response divided along lines that had by then become entirely predictable. Some people looked at the footage and saw ingenuity, a community of people making something functional from materials that the surrounding city had written off. Others looked at the same footage and saw the final confirmation of a thesis they had been assembling for years, a thesis about money spent and promises made and the growing distance between the two. California had committed, by the most conservative accounting, roughly twenty-four billion dollars to addressing homelessness between 2019 and 2024, with later allocations pushing that figure toward thirty-seven billion, and the result visible in the video was not a reduction in the number of people sleeping beneath the city’s infrastructure but something closer to the opposite. The state counted more than one hundred and eighty-seven thousand people experiencing homelessness as of the most recent available data, with Los Angeles County alone accounting for more than seventy thousand of that total, and what the video captured was not an anomaly within that system but a logical expression of it, the kind of outcome that follows when an enormous amount of money moves through an apparatus whose incentives do not align with the problem the apparatus claims to be solving.</w:t>
      </w:r>
    </w:p>
    <w:p>
      <w:pPr>
        <w:pStyle w:val="BodyText"/>
      </w:pPr>
      <w:r>
        <w:t xml:space="preserve">The bridge in the video was not identified precisely, which is itself a detail worth holding onto, because the absence of a specific address reflects something true about how these spaces work. They do not have addresses. They exist in the interstitial geography of the city, the zones between jurisdictions and beneath the infrastructure that connects one part of the city to another without quite belonging to either. The people who live in them have made calculations, whether consciously or through accumulated experience, about which spaces are likely to be cleared and which are likely to be left alone long enough to justify the investment of turning them into something livable. A bridge with accessible electrical infrastructure and enough clearance overhead to stand upright and enough physical separation from street-level visibility to avoid constant enforcement attention is a resource, and the people who identified it as such were performing exactly the kind of rational spatial analysis that the city itself performs when it decides where to route its utilities and where to build its roads. The difference is that the city’s analysis is documented and deliberate and the product of institutional knowledge accumulated over decades, while the analysis performed by the people living beneath the bridge is undocumented and individual and the product of necessity accumulated through direct experience. Both forms of knowledge are real. Only one of them appears in any official record of how Los Angeles manages its public space.</w:t>
      </w:r>
    </w:p>
    <w:p>
      <w:pPr>
        <w:pStyle w:val="BodyText"/>
      </w:pPr>
      <w:r>
        <w:t xml:space="preserve">What the footage made visible was a system operating at a scale and a level of organizational complexity that the word encampment does not quite capture. The term carries connotations of impermanence, of tents staked into ground that could be cleared by morning, of a situation that has not yet hardened into something requiring a different kind of response. What the video showed was not impermanent. The lighting infrastructure alone represented a substantial investment of time and material and technical knowledge. The arrangement of the living spaces suggested not spontaneous occupation but deliberate planning, a collective negotiation about territory and access and the distribution of whatever resources the space provided. To call this an encampment is to apply a category that was designed for a smaller and simpler phenomenon to something that has, through the accumulation of individual decisions made under persistent material pressure, become something else entirely, a community of people who have organized themselves around the shared fact of their exclusion from the city’s official housing economy and who have done so with the resources available to them, which happen to include electricity drawn from a grid funded by the same taxpayers whose money has been moving through the intervention apparatus for the better part of a decade without producing any measurable reduction in the population that now lives beneath the city’s bridges.</w:t>
      </w:r>
    </w:p>
    <w:p>
      <w:pPr>
        <w:pStyle w:val="BodyText"/>
      </w:pPr>
      <w:r>
        <w:t xml:space="preserve">The question that the video posed, whether its creator intended it or not, was not whether the situation it documented was acceptable. Most people, across a wide range of political positions, would agree that it was not. The question it posed was more specific and more difficult, which is how a situation this elaborate, this expensive to sustain, this deeply integrated into the physical infrastructure of one of the wealthiest cities in the wealthiest state in the country, had been allowed to develop and persist and grow across the precise years during which the state was spending more money on homelessness than at any previous point in its history. The answer to that question is not simple, and it is not satisfying in the way that simple answers are satisfying, because it requires looking closely at the structure of the system itself, at who benefits from its continuation and who would be materially harmed by its genuine resolution, at the distance between what the apparatus says it does and what the evidence shows it actually produces. That examination is what this book is about, and it begins with a single reasonable assumption, which is that the situation visible in the May 2026 footage did not happen by accident.</w:t>
      </w:r>
    </w:p>
    <w:p>
      <w:r>
        <w:pict>
          <v:rect style="width:0;height:1.5pt" o:hralign="center" o:hrstd="t" o:hr="t"/>
        </w:pict>
      </w:r>
    </w:p>
    <w:p>
      <w:pPr>
        <w:pStyle w:val="FirstParagraph"/>
      </w:pPr>
      <w:r>
        <w:t xml:space="preserve">Reinaldo Escobar spent decades understanding, from the inside, what it means to live in a system that controls its population not through overt violence alone but through the deliberate management of material conditions. Born in Cuba and working as a journalist through the long years of a state that understood perfectly well the relationship between what a person can obtain and what a person can do, Escobar arrived at a formulation that is both simple and structurally precise. Speaking on Tinima TV in December 2025, in the context of a broader conversation about freedom and its preconditions, he stated a proposition that the Material Dignity Infrastructure (MDI) research corpus would later confirm from an entirely different empirical trajectory. Without material dignity, all freedom is a lie. The sentence is not rhetorical. It is a load-bearing structural claim, and its weight becomes apparent only when you follow the logic from one end to the other.</w:t>
      </w:r>
    </w:p>
    <w:p>
      <w:pPr>
        <w:pStyle w:val="BodyText"/>
      </w:pPr>
      <w:r>
        <w:t xml:space="preserve">The argument begins with the observation that freedom, in the sense that democratic political philosophy uses the word, requires the capacity for deliberate action. To act deliberately is to choose among possibilities rather than simply to respond to pressures, and the capacity to choose requires a baseline of material stability beneath which the architecture of choice collapses entirely. A person who cannot reliably satisfy the biological requirements of survival, who wakes each day uncertain about food and shelter and physical safety, is not in a position to exercise freedom in any meaningful sense of the term. The neurological machinery for deliberate choice, the prefrontal executive capacity that makes planning and decision-making possible, degrades under chronic threat exposure in ways that are now extensively documented in the clinical literature. This is not a moral argument about the deserving poor or the dignity of the human person, though it touches on those things. It is a mechanical argument about the conditions under which the human nervous system can and cannot function as intended. Material deprivation is not a context in which freedom operates poorly. It is a context in which the biological substrate for freedom is progressively dismantled.</w:t>
      </w:r>
    </w:p>
    <w:p>
      <w:pPr>
        <w:pStyle w:val="BodyText"/>
      </w:pPr>
      <w:r>
        <w:t xml:space="preserve">What Escobar understood, through the specific experience of living under a state that had refined this mechanism into a governing instrument, was that the relationship between material deprivation and behavioral control is not incidental. States that deny adequate material conditions to their populations do not do so because they have failed to provide those conditions. They do so because the denial of those conditions produces a population that is controllable in ways that a materially stable population would not be. A person whose energy is consumed entirely by the problem of physical survival has no surplus capacity for political organization, for sustained attention to the mechanisms of governance, for the kind of collective action that holds power accountable. The scarcity is the policy. The deprivation is the instrument. Escobar’s formulation, arrived at through the lived experience of a specific authoritarian system in a specific historical context, maps with uncomfortable precision onto the structural analysis that researchers like Frank Perez, examining an entirely different context, would later produce through academic methods.</w:t>
      </w:r>
    </w:p>
    <w:p>
      <w:pPr>
        <w:pStyle w:val="BodyText"/>
      </w:pPr>
      <w:r>
        <w:t xml:space="preserve">The connection matters because it reframes what the video from beneath the Los Angeles bridge actually shows. If the footage is read as evidence of policy failure, the appropriate response is to identify where the policy went wrong and correct it. If it is read as evidence that the system is functioning exactly as the incentive structure demands, the appropriate response is structurally different, because you are no longer dealing with a mistake that can be fixed but with an outcome that the apparatus is organized to produce. Escobar’s framework supplies the analytical lens that makes the second reading possible, because it provides a rigorous account of why a system would rationally maintain the conditions it claims to be combating, of how the management of a crisis and the perpetuation of a crisis can be, under the right incentive conditions, the same activity. To understand that a Cuban exile articulating this principle on a Spanish-language broadcast network in December 2025 was describing the same structural logic that an American researcher would document in a peer-reviewed analysis of Los Angeles municipal policy is to recognize that the phenomenon is not local. The geography changes. The governing institutions change. The populations managed by the deprivation apparatus change. The underlying mechanism does not.</w:t>
      </w:r>
    </w:p>
    <w:p>
      <w:pPr>
        <w:pStyle w:val="BodyText"/>
      </w:pPr>
      <w:r>
        <w:t xml:space="preserve">Hannah Arendt, writing decades before the specific crisis that this book addresses, drew a distinction that reinforces the Escobar formulation from the direction of political philosophy. She differentiated between what she called labor, the biological maintenance work that keeps a human organism alive, the constant cycling of food and shelter and warmth and hygiene that the body demands without negotiation, and action, the genuinely political and creative engagement with the world that constitutes the specifically human capacity for making something new. Her argument was that a life absorbed entirely in labor, in the relentless work of keeping the body functioning, is a life from which action has been structurally excluded, not by any deliberate decision of the person living it but by the material conditions that consume all available energy before any surplus remains for anything beyond survival. The street destroys this surplus. The metabolic demands of unsheltered urban life, the management of temperature and hydration and safety and the daily logistics of accessing food and sanitation without a fixed address, are total in a way that anyone who has not experienced them from the inside consistently underestimates. And what is destroyed when that surplus disappears is not a luxury. It is the precondition for everything that distinguishes a citizen from a subject.</w:t>
      </w:r>
    </w:p>
    <w:p>
      <w:pPr>
        <w:pStyle w:val="BodyText"/>
      </w:pPr>
      <w:r>
        <w:t xml:space="preserve">Thirty years of participant observation within the unsheltered ecologies of cities across the United States, Southeast Asia, and Europe, and the accumulated analysis of that observation applied specifically to the Los Angeles crisis, brought me to a formulation that sits at the intersection of the Escobar and Arendt frameworks without having been designed to do so. Sovereign space, I wrote in my 2026 working papers, operates as the clinical precondition for stabilization. The language is deliberate. Sovereign space is not comfort. It is not amenity. It is the minimum acoustic and physical privacy required for the human nervous system to begin the process of recovering from the hypervigilance that chronic outdoor exposure produces, the state in which the threat-detection apparatus runs at permanent maximum because the environment genuinely requires it to. Without sovereign space, the metabolic stabilization that precedes any durable change in housing status cannot begin. Without metabolic stabilization, the neurological recovery that precedes any sustained engagement with employment or education or community cannot begin. The clinical sequence is not optional. It is the structure of the problem. All three formulations, Escobar’s from lived political experience, Arendt’s from political philosophy, my own from participant observation and economic analysis, converge on the same mechanical truth. Material conditions are the precondition for freedom, not its reward. The implications of that convergence for the system visible in the Los Angeles footage are the subject of every chapter that follows.</w:t>
      </w:r>
    </w:p>
    <w:p>
      <w:r>
        <w:pict>
          <v:rect style="width:0;height:1.5pt" o:hralign="center" o:hrstd="t" o:hr="t"/>
        </w:pict>
      </w:r>
    </w:p>
    <w:p>
      <w:pPr>
        <w:pStyle w:val="FirstParagraph"/>
      </w:pPr>
      <w:r>
        <w:t xml:space="preserve">In January 2006, a blog post circulated through California policy circles under the title Ghost in the System, documenting what its author described as a twenty-four billion dollar data integrity collapse. The figure referred to the cumulative total that California had committed to addressing homelessness between 2019 and 2024, and the ghost in the system was the near-total absence of any auditable record of what that money had produced. Legislative audits conducted during the period found that the agencies receiving and distributing the funds had applied inconsistent definitions of success across programs, had tracked outcomes in ways that made cross-program comparison impossible, and had in many instances reported outputs, the number of people served, beds provided, meals distributed, rather than outcomes, the number of people who had moved from unsheltered conditions into stable housing and remained there. The distinction between outputs and outcomes is not bureaucratic pedantry. It is the structural hinge on which the entire question of institutional capture turns, because a system that is measured by outputs and funded by outputs has no financial incentive to produce outcomes. An organization that receives its operating budget based on the number of people it serves has a rational, structural reason to ensure that the population it serves remains large.</w:t>
      </w:r>
    </w:p>
    <w:p>
      <w:pPr>
        <w:pStyle w:val="BodyText"/>
      </w:pPr>
      <w:r>
        <w:t xml:space="preserve">This incentive structure was not invented in California. It did not emerge from any individual decision to manage rather than solve the crisis. It is the predictable consequence of applying the logic of service delivery to a problem that service delivery alone cannot resolve, and it operates across the full architecture of the intervention apparatus, from the largest county-funded programs to the smallest street outreach nonprofits, wherever the funding mechanism rewards contact rather than resolution. Frank Perez, whose 2025 research examined the historical development of federal funding structures within the homelessness policy framework, documented that service organizations had over time become structurally reliant on the continuation of the problem they were formally tasked with solving. The language of institutional capture is precise here. Capture does not imply conspiracy. It implies that the incentive environment has progressively shaped the behavior of the institutions operating within it until those institutions function primarily to maintain their own existence rather than to achieve the outcomes that justified their creation. The apparatus captures itself. The crisis becomes, through this process, the apparatus’s most essential resource.</w:t>
      </w:r>
    </w:p>
    <w:p>
      <w:pPr>
        <w:pStyle w:val="BodyText"/>
      </w:pPr>
      <w:r>
        <w:t xml:space="preserve">The twenty-four billion dollar figure, examined against what it produced, illuminates this mechanism with particular clarity. California’s unsheltered population grew across the same five-year period during which the state was spending at levels unprecedented in its history, reaching more than one hundred and eighty-seven thousand individuals by the most recent available count. Los Angeles County alone accounted for more than seventy thousand of that total, making it home to the largest concentration of unsheltered people of any metropolitan area in the United States. The standard interpretation of this data treats the spending and the growth of the crisis as a failure of execution, a well-intentioned program that encountered problems of scale or coordination or political will and produced results below what its designers intended. The alternative interpretation, the one that the institutional capture framework requires taking seriously, is that the spending and the growth of the crisis are not in tension at all. They are expressions of the same underlying logic, operating in parallel, each making the other more stable.</w:t>
      </w:r>
    </w:p>
    <w:p>
      <w:pPr>
        <w:pStyle w:val="BodyText"/>
      </w:pPr>
      <w:r>
        <w:t xml:space="preserve">The money did not disappear. It moved through the apparatus and produced the outputs that the apparatus was organized to produce. It funded staff salaries and facility leases and outreach vehicles and case management software and the administrative infrastructure required to document all of the above. It funded bed-nights in emergency shelters that required their occupants to leave by a fixed hour each morning and return through a lottery process each evening, a logistical arrangement that structurally prevented the kind of schedule stability on which any employment pathway depends. It funded programs that required sobriety as a condition of participation and programs that required participation as a condition of sobriety, and where these requirements conflicted, which they frequently did, they produced outcomes that neither program was designed to address. What the money did not fund, in quantities proportionate to the scale of the problem, was the permanent housing exits that every credible piece of research identified as the only intervention that prevented recurrence. The Department of Housing and Urban Development (HUD) Exchange evidence brief, drawing on municipal case studies from Houston, Dallas, and Santa Barbara, documented that permanent or short-term housing for encampment residents prevents encampments from recurring and generates gross savings of more than forty-six thousand dollars per person per year compared to leaving people on the streets. Dallas reported a twenty-four percent decrease in unsheltered homelessness and a nineteen percent reduction in overall homelessness after implementing a closure-via-housing approach. Houston engaged eight hundred and forty-nine encampment residents through a housing-focused strategy and successfully housed sixty-five percent of them. These outcomes exist in the federal evidence record. They were available to California policymakers throughout the period of the twenty-four billion dollar expenditure. The question that the institutional capture framework poses is why the evidence did not change the practice, and the answer it supplies is that the practice was not failing. It was succeeding at the thing it was actually organized to do.</w:t>
      </w:r>
    </w:p>
    <w:p>
      <w:pPr>
        <w:pStyle w:val="BodyText"/>
      </w:pPr>
      <w:r>
        <w:t xml:space="preserve">To understand Sacramento’s role in this architecture requires looking at the relationship between the legislative appropriations process and the organizations that receive its outputs. The nonprofits and county agencies that constitute the intervention apparatus are not passive recipients of state funding. They are active participants in the political process that determines how that funding is allocated, and they participate in it with the full understanding that their organizational survival depends on the continuation of the funding streams that sustain them. This is not corruption in the legal sense. It is the normal operation of democratic interest-group politics. Organizations that depend on government contracts hire lobbyists who argue for the expansion of those contracts. They build relationships with elected officials whose districts include concentrations of service recipients and who therefore have political incentives to demonstrate responsiveness to the crisis. They produce data that shows the value of their interventions measured in the outputs that their funding mechanisms incentivize them to track, and they present that data to the legislative bodies that control their funding in the most favorable light that accurate reporting permits. The result is a self-reinforcing political economy in which the growth of the crisis produces the political conditions for the growth of the apparatus, and the growth of the apparatus produces the organizational and political resistance to any intervention that would genuinely resolve the crisis, because genuine resolution would eliminate the apparatus’s reason for existing.</w:t>
      </w:r>
    </w:p>
    <w:p>
      <w:pPr>
        <w:pStyle w:val="BodyText"/>
      </w:pPr>
      <w:r>
        <w:t xml:space="preserve">The Sacramento chambers where these appropriations were authorized were not populated by legislators who wanted the crisis to continue. They were populated by legislators responding to the incentive environment that the apparatus, over decades, had constructed around them. The twenty-four billion dollar expenditure was not a conspiracy. It was the output of a democratic process that had been shaped, slowly and without anyone’s deliberate intention, into an instrument for producing something other than what it claimed to be producing. What it produced was the situation visible in the May 2026 footage. And the situation visible in the May 2026 footage produced, in turn, the political conditions for another round of appropriations. The cycle is not accidental. It is the system working exactly as its incentive structure demands.</w:t>
      </w:r>
    </w:p>
    <w:p>
      <w:r>
        <w:pict>
          <v:rect style="width:0;height:1.5pt" o:hralign="center" o:hrstd="t" o:hr="t"/>
        </w:pict>
      </w:r>
    </w:p>
    <w:p>
      <w:pPr>
        <w:pStyle w:val="FirstParagraph"/>
      </w:pPr>
      <w:r>
        <w:t xml:space="preserve">The sweep begins before dawn, typically, because the hours between four and six in the morning offer the combination of legal authority and practical advantage that enforcement operations require. The people sleeping on the sidewalk or beneath the overpass or along the concrete drainage channel are present and stationary and not yet organized to respond, and the cleaning crews and sanitation vehicles and police units that constitute the sweep apparatus can move through a space quickly and document their work as complete before the morning news cycle begins. What gets documented as complete is the clearing of the space, the removal of the tents and bedding and personal property that made the location visibly inhabited, and the departure, voluntary or compelled, of the people who were sleeping there. What does not get documented, because the apparatus has no mechanism for tracking it, is where those people go after the sweep concludes, or what condition they are in when they arrive there, or whether they are in better or worse circumstances than they were in before the operation began.</w:t>
      </w:r>
    </w:p>
    <w:p>
      <w:pPr>
        <w:pStyle w:val="BodyText"/>
      </w:pPr>
      <w:r>
        <w:t xml:space="preserve">The federal evidence record on this question is not ambiguous. A 2023 study published in the Journal of the American Medical Association, examining the population-level health effects of involuntary displacement among people experiencing unsheltered homelessness who inject drugs in United States cities, found that dispersing encampments without also housing residents leads to an increase in disease, death, and shortened life expectancy. The mechanism is not mysterious. When people who inject drugs are displaced from an established encampment without being connected to stable housing or supervised consumption services, they move to locations that are less familiar and less socially connected, where the informal networks of knowledge about safe drug supply and overdose response that accumulate within stable communities do not yet exist, and where the physical conditions for using drugs safely, if safety is possible at all in such circumstances, are degraded. The displacement does not reduce drug use. It relocates it into conditions where its consequences are more lethal. Published in the BMC Public Health journal, a 2022 study examining health risks associated with residential relocation among people who inject drugs in Los Angeles and San Francisco confirmed the same pattern from a different direction, documenting that encampment sweeps in those specific cities produced the health outcomes that the JAMA study identified at the population level.</w:t>
      </w:r>
    </w:p>
    <w:p>
      <w:pPr>
        <w:pStyle w:val="BodyText"/>
      </w:pPr>
      <w:r>
        <w:t xml:space="preserve">The broader health literature on involuntary displacement extends beyond the population that uses drugs. Studies published in the Journal of Social Distress and Homelessness, in BMC Public Health, and in SSM-Qualitative Research in Health documented that people experiencing unsheltered homelessness who were involuntarily displaced reported increased rates of physical assault, worsening self-reported mental health, disrupted sleep, changes in substance and alcohol use, and increased weather-related harms. Displacement without housing does not produce a resolved crisis. It produces a dispersed crisis, one that is now distributed across a wider geography and is consequently more difficult to address, more expensive to track, and less visible to the enforcement apparatus that generated it. The American Public Health Association, in a policy statement published in November 2023, concluded that forcible displacement of encampments is harmful to the health and well-being of people living unsheltered and called for federal, state, and local governments to stop the practice except where genuine housing alternatives were simultaneously made available. The United States Interagency Council on Homelessness, in its nineteen strategies guidance, explicitly warned that public camping bans and criminalization may be legal in some contexts but are often ineffective and expensive if they simply move people from one place to another or into jail.</w:t>
      </w:r>
    </w:p>
    <w:p>
      <w:pPr>
        <w:pStyle w:val="BodyText"/>
      </w:pPr>
      <w:r>
        <w:t xml:space="preserve">The enforcement apparatus knows this. The federal guidance that documents the health consequences of sweeps has been publicly available and widely circulated through the policy networks that the apparatus inhabits. County officials in Los Angeles, where the sweeps occur with a frequency and scale that no other American city matches, have access to the same HUD Exchange evidence briefs and USICH guidance documents that any policy researcher can access. The gap between what the evidence recommends and what the apparatus does is not a gap caused by ignorance. It is a gap caused by the same incentive structure that the previous chapter identified in the Sacramento funding mechanism. The sweep produces a documentable output. It produces a cleared space and a sanitation record and a count of contacts made and services offered, and these outputs satisfy the political requirements that elected officials face when their constituents demand visible action on the crisis. Whether the sweep produces any durable improvement in the condition of the people it displaces is a question that the apparatus’s measurement infrastructure is not designed to answer, and this is not an oversight. It is the predictable consequence of building a measurement system around the outputs that the funding mechanism rewards rather than the outcomes that the evidence demands.</w:t>
      </w:r>
    </w:p>
    <w:p>
      <w:pPr>
        <w:pStyle w:val="BodyText"/>
      </w:pPr>
      <w:r>
        <w:t xml:space="preserve">Anthony Giddens, writing on ontological security, defined it as the confidence that most human beings have in the continuity of their self-identity and in the constancy of the surrounding social and material environments. He identified four markers through which this security is maintained and recognized, environmental constancy, the reliability of daily routines, spatial control over one’s immediate surroundings, and a secure base from which identity can be projected into the world. The street destroys all four simultaneously. The sweep, by displacing people from whatever constancy they had accumulated in a given location, destroys whatever partial recovery toward ontological security the establishment of a stable encampment had made possible. Each displacement resets the clock. Each reset of the clock deepens the neurological disruption that my framework identifies as the primary clinical obstacle to any durable change in housing status, because the hypervigilance that chronic threat exposure produces cannot begin to resolve until the threat environment stabilizes, and the sweep ensures that the threat environment never stabilizes long enough for resolution to begin.</w:t>
      </w:r>
    </w:p>
    <w:p>
      <w:pPr>
        <w:pStyle w:val="BodyText"/>
      </w:pPr>
      <w:r>
        <w:t xml:space="preserve">The USICH guidance identifies this cycle with clinical precision and names it a failure of policy rather than an inevitability of the population. Communities that have broken the cycle, Houston and Dallas among them, did so not by intensifying the sweep apparatus but by redirecting its resources toward the permanent housing exits that the evidence identifies as the only intervention that prevents recurrence. Dallas’s twenty-four percent decrease in unsheltered homelessness came from closing encampments by placing people into housing rather than displacing them into the next block. Houston’s sixty-five percent housing rate among eight hundred and forty-nine engaged encampment residents came from treating the encampment as a point of contact rather than a problem to be cleared. These outcomes did not require the invention of new policy tools. They required the reorientation of existing resources away from the outputs the apparatus was organized to produce and toward the outcomes the evidence had long since identified. That reorientation has not occurred in Los Angeles, where the sweep apparatus continues to operate at scale, where the unsheltered population continues to grow, and where the gap between the federal evidence and the local practice continues to widen with each passing budget cycle. This is the execution of harm. It proceeds, documented in peer-reviewed literature and federal guidance reports, in full view of every official whose authorization it requires.</w:t>
      </w:r>
    </w:p>
    <w:p>
      <w:r>
        <w:pict>
          <v:rect style="width:0;height:1.5pt" o:hralign="center" o:hrstd="t" o:hr="t"/>
        </w:pict>
      </w:r>
    </w:p>
    <w:p>
      <w:pPr>
        <w:pStyle w:val="FirstParagraph"/>
      </w:pPr>
      <w:r>
        <w:t xml:space="preserve">Washington D.C. offers a case study not in the resolution of the homeless crisis but in the limits of enforcement-centered policy when it operates without the housing infrastructure that the federal evidence identifies as the precondition for durable change. Beginning in March 2025, the National Park Service, acting under an executive order directing it to make the capital safe and beautiful, intensified its enforcement of no-camping laws on federal land and closed more than one hundred encampments on federal property over the course of the year. District-led closures rose in parallel, from fifty-four in 2023 to sixty-nine in 2024 to one hundred and nine in 2025, and by early 2026 the District was averaging approximately seventeen clearings per month, roughly double the rate of the prior year. The physical spaces that had been encampments were cleared. The question the data raises, and the question that the D.C. case forces into the open, is whether the clearing of spaces and the resolution of the underlying condition are the same activity or two activities that can proceed independently of each other at any scale and at any speed.</w:t>
      </w:r>
    </w:p>
    <w:p>
      <w:pPr>
        <w:pStyle w:val="BodyText"/>
      </w:pPr>
      <w:r>
        <w:t xml:space="preserve">The evidence suggests they are not the same activity and that D.C., despite the scale and velocity of its enforcement operations, was discovering this through direct experience. Reports from organizations working in the District documented that federal encampment clearings frequently resulted in residents relocating to other areas within the city or to the surrounding jurisdictions of Maryland and Virginia, rather than moving into stable housing. Data from 2024 indicated that very few residents encountered during closures were connected to a housing process at all. The 2025 Point-in-Time count recorded five thousand one hundred and thirty-eight unhoused individuals in D.C., a nine percent decrease from the prior year, a result that was cited by enforcement advocates as evidence of the strategy’s effectiveness, but the May 2026 count indicated an uptick of more than four percent in the overall homeless population, including a sixteen percent increase among families, a figure that District officials attributed in part to families remaining in shelters while waiting for permanent housing matches rather than to a genuine increase in new homelessness. What the two data points together describe is a population in motion, moving through a system of closures and relocations and shelter entries and shelter exits, without the permanent housing exits that the evidence requires for the numbers to move durably in a single direction.</w:t>
      </w:r>
    </w:p>
    <w:p>
      <w:pPr>
        <w:pStyle w:val="BodyText"/>
      </w:pPr>
      <w:r>
        <w:t xml:space="preserve">The operational specifics of how the D.C. clearings were conducted illuminate a dynamic that the Houston and Dallas models had successfully avoided. When federal authorities and the National Guard became involved in encampment operations during the period of federalized oversight of D.C. policing in August 2025, local nonprofits reported that clearings sometimes occurred without prior coordination with the District’s own outreach teams, the organizations whose relationships with encampment residents are the primary mechanism through which housing connections are made. Outreach relationship is not a soft or supplementary element of a housing-based encampment strategy. It is the load-bearing mechanism. A person who has lived in an encampment for months or years has calibrated their trust in institutional actors based on direct experience with those actors, and the accumulation of that trust through consistent contact over time is the precondition for the moment when a housing offer can be accepted rather than declined. An enforcement operation that bypasses the outreach infrastructure does not simply fail to connect people to housing. It actively damages the trust-building process that makes future housing connections possible, by demonstrating that the presence of service workers in a space cannot be taken as a signal of safety from enforcement. The Houston model worked in part because it treated outreach workers as the primary operational agents of encampment engagement rather than as supplementary to enforcement. The D.C. model, in its federal iteration, reversed that priority, and the outcome data reflects the reversal.</w:t>
      </w:r>
    </w:p>
    <w:p>
      <w:pPr>
        <w:pStyle w:val="BodyText"/>
      </w:pPr>
      <w:r>
        <w:t xml:space="preserve">None of this means that the enforcement operations in D.C. produced no results. The physical clearance of more than a hundred encampments on federal land changed the visual character of those spaces, and this change was real and visible and meant something to the people who use those parks and public areas and who had experienced the accumulation of encampments as a deterioration of shared civic space. The capacity to use public space without the sense of displacement that large encampments in high-traffic areas produce is a legitimate civic interest, and no honest account of the policy tradeoffs involved can dismiss it. What the D.C. case demonstrates is that enforcing this interest through displacement alone, without the housing infrastructure that prevents displacement from simply relocating the problem, produces results that are temporary and geographically unstable, because the people who were in the cleared spaces are still in the city, still without housing, and still subject to the material conditions that the Escobar framework identifies as the precondition of their constrained behavioral range. The parks are cleared. The people are somewhere else. The condition has not changed.</w:t>
      </w:r>
    </w:p>
    <w:p>
      <w:pPr>
        <w:pStyle w:val="BodyText"/>
      </w:pPr>
      <w:r>
        <w:t xml:space="preserve">This is the central lesson of the comparative analysis, and it is a lesson that points not toward a rejection of enforcement but toward a precise understanding of what enforcement can and cannot accomplish without the infrastructure that makes its results durable. Houston did not avoid enforcement. It conditioned enforcement on housing availability, using the closure of an encampment as the occasion for connecting its residents to the housing process rather than as the endpoint of the operation. The clearing and the housing connection were the same act rather than sequential or parallel or disconnected activities. Dallas took the same approach and produced results that the federal evidence brief documented in its own published materials. D.C.’s enforcement operations, conducted at unprecedented scale and speed, produced a nine percent decrease in Point-in-Time counts in 2025 followed by a four percent increase in 2026, a net result that is indistinguishable from statistical noise, which is precisely what you would expect from an intervention that clears spaces without clearing the underlying condition. The architecture of accountability that this book’s outline promised to examine in Washington D.C. turns out, on close inspection, to be an architecture of enforcement, and the distinction between the two is not semantic. It is the difference between a policy that asks where people went and a policy that asks what happened to them when they got there.</w:t>
      </w:r>
    </w:p>
    <w:p>
      <w:r>
        <w:pict>
          <v:rect style="width:0;height:1.5pt" o:hralign="center" o:hrstd="t" o:hr="t"/>
        </w:pict>
      </w:r>
    </w:p>
    <w:p>
      <w:pPr>
        <w:pStyle w:val="FirstParagraph"/>
      </w:pPr>
      <w:r>
        <w:t xml:space="preserve">The five chapters preceding this one have traced the same mechanism from five different angles, and the shape that emerges from those tracings is consistent enough that it no longer requires argument. It requires only a clear account of what the evidence adds up to. The municipal intervention apparatus, funded at levels unprecedented in California history, grew alongside rather than against the crisis it claimed to be addressing. The federal health literature documented that the primary tool in the apparatus’s operational repertoire, the encampment sweep, produces measurable harm to the populations it displaces without producing durable reductions in the unsheltered count. The academic literature on institutional capture documented why this outcome is not an accident but a structural consequence of funding mechanisms that reward outputs over outcomes. The D.C. case demonstrated that enforcement velocity, applied without housing infrastructure, redistributes rather than resolves the underlying condition. And Reinaldo Escobar, speaking from the experience of a political system that had refined material deprivation into a governing instrument over decades, named the dynamic that all of this evidence circles without quite touching directly. Without material dignity, all freedom is a lie. The corollary, which the evidence makes unavoidable, is that a system organized to deny material dignity to a portion of its population is not a system that has failed its stated mission. It is a system that has succeeded at a different mission, one that its stated mission was never designed to accomplish.</w:t>
      </w:r>
    </w:p>
    <w:p>
      <w:pPr>
        <w:pStyle w:val="BodyText"/>
      </w:pPr>
      <w:r>
        <w:t xml:space="preserve">The question that this conclusion raises is what an alternative architecture would look like, and here the research record is less developed but not absent. My MDI working papers, published on the Social Science Research Network (SSRN) across 2025 and 2026 and representing thirty years of participant observation within unsheltered urban ecologies across three continents, propose a specific structural alternative to the welfare model that the evidence has found inadequate. The proposal rests on a distinction that is simple in articulation and radical in implication. Shelter, hygiene, thermal safety, and acoustic privacy are not goods that a compassionate society chooses to provide to vulnerable populations as an expression of its values. They are biological necessities, requirements of the human organism without which the neurological and physiological substrates for any durable change in life circumstance cannot function. Treating them as welfare, as benefits that the state may choose to extend or withhold based on behavioral compliance or bureaucratic eligibility, is not a policy failure. It is a categorical error, one that produces the apparatus whose consequences the preceding chapters have documented in clinical and epidemiological and financial detail.</w:t>
      </w:r>
    </w:p>
    <w:p>
      <w:pPr>
        <w:pStyle w:val="BodyText"/>
      </w:pPr>
      <w:r>
        <w:t xml:space="preserve">This framework reclassifies these necessities as public industrial consumables, delivered at cost through a utility model rather than allocated through a welfare model. The difference is structural and consequential. Utilities are not means-tested. They are not conditioned on behavioral compliance. They are not administered by organizations whose funding depends on the continuation of the crisis that the utility exists to resolve. They are delivered to everyone who connects to the system because the system’s logic is industrial rather than charitable, and industrial systems are designed for reliable throughput rather than for the management of a dependent population. The MDI specification, in its most developed form, proposes what I call a street-to-home pipeline, a sequence of precisely defined stages beginning with what I term metabolic stabilization, the physiological recovery that requires, at minimum, acoustic and spatial privacy, reliable nutrition, and access to hygiene, and proceeding through increasingly autonomous residential configurations until permanent housing is achieved. Each stage in the pipeline is verified through auditable metrics rather than professional judgment, because auditable metrics can be falsified by evidence in a way that professional judgment cannot, and the falsifiability of the specification is, I would argue, the most important structural feature distinguishing my model from the apparatus it proposes to replace.</w:t>
      </w:r>
    </w:p>
    <w:p>
      <w:pPr>
        <w:pStyle w:val="BodyText"/>
      </w:pPr>
      <w:r>
        <w:t xml:space="preserve">The four core principles of the MDI model, metabolic stabilization, ontological security, Dunbar communities, and the utility model, are not innovations in the sense of ideas that had never previously appeared in the homelessness research literature. Each of them has antecedents in the Housing First literature, in the trauma-informed care literature, in the community psychology literature on social network density and mental health outcomes. What the MDI framework does that the antecedent literatures do not do is assemble these principles into an operational specification, a physical and logistical architecture with defined input conditions, defined throughput processes, and defined output metrics, so that the question of whether the system is working can be answered by measuring physical facts rather than by consulting the judgment of the people who are paid to administer it. This is the utility logic applied to governance. It does not eliminate human judgment from the operation. It removes human judgment from the position of being the only thing standing between the resident of the facility and the outcome the facility claims to produce.</w:t>
      </w:r>
    </w:p>
    <w:p>
      <w:pPr>
        <w:pStyle w:val="BodyText"/>
      </w:pPr>
      <w:r>
        <w:t xml:space="preserve">The objection that this proposal will encounter, and that it has already encountered in the contexts where I have presented it, is that it underestimates the complexity of the population it proposes to serve, that people experiencing homelessness are not uniform units moving through an industrial pipeline but individuals with histories and traumas and specific needs that no standardized system can adequately address. The objection is sincere and it is partially correct. No system of any design can address every individual need with perfect precision. The question is not whether the MDI model is perfect but whether it is better than the alternative, and the alternative is the apparatus that the preceding chapters have described, the one that costs California thirty-seven billion dollars across five years, produces one hundred and eighty-seven thousand people still living without stable housing, deploys a primary operational tool that the JAMA and BMC literature has found to increase disease and shorten life expectancy among the most vulnerable members of the unsheltered population, and sustains itself through funding mechanisms that structurally reward the continuation of the crisis it claims to be resolving. Against that baseline, the relevant standard of comparison for any proposed alternative is not perfection. It is measurable improvement on outcomes that the current apparatus has demonstrated it cannot produce.</w:t>
      </w:r>
    </w:p>
    <w:p>
      <w:pPr>
        <w:pStyle w:val="BodyText"/>
      </w:pPr>
      <w:r>
        <w:t xml:space="preserve">What the evidence from Houston and Dallas and the accumulated clinical literature suggests is that measurable improvement is achievable, that it requires redirecting resources from the sweep apparatus toward permanent housing exits, that it requires treating outreach relationships as the load-bearing mechanism of any housing connection strategy, and that it requires measuring outcomes rather than outputs, counting the people who move from unsheltered conditions into stable housing and stay there rather than the contacts made and beds provided and cleanups conducted. These requirements are not technically difficult. They are politically difficult, because they require the organizations that constitute the intervention apparatus to accept measurement criteria that their current operations cannot satisfy, and to accept the funding consequences of failing to satisfy them. The Homeless Industrial Complex will not reform itself. It will not redirect its resources toward outcomes that eliminate the need for its own existence without external pressure that makes the continuation of the current arrangement more costly than the adoption of a different one. That pressure does not come from evidence. The evidence has been in the public record for years. It comes from the political will to treat shelter as a utility rather than a benefit, to measure what the money produces rather than what the money funds, and to hold the apparatus accountable to the same standard of falsifiable verification that every other public infrastructure system accepts as the precondition for continued operation. The rock beneath Los Angeles has been building itself for a very long time. The question the evidence poses is whether the institutions that manage the city above it have the patience to build something that lasts.</w:t>
      </w:r>
    </w:p>
    <w:p>
      <w:r>
        <w:pict>
          <v:rect style="width:0;height:1.5pt" o:hralign="center" o:hrstd="t" o:hr="t"/>
        </w:pict>
      </w:r>
    </w:p>
    <w:bookmarkStart w:id="26" w:name="citations-and-sources"/>
    <w:p>
      <w:pPr>
        <w:pStyle w:val="Heading1"/>
      </w:pPr>
      <w:r>
        <w:t xml:space="preserve">Citations and Sources</w:t>
      </w:r>
    </w:p>
    <w:bookmarkStart w:id="20" w:name="chapter-one-the-synthetic-commons"/>
    <w:p>
      <w:pPr>
        <w:pStyle w:val="Heading2"/>
      </w:pPr>
      <w:r>
        <w:t xml:space="preserve">Chapter One: The Synthetic Commons</w:t>
      </w:r>
    </w:p>
    <w:p>
      <w:pPr>
        <w:pStyle w:val="FirstParagraph"/>
      </w:pPr>
      <w:r>
        <w:t xml:space="preserve">Viral footage of Los Angeles bridge encampment. Originally documented by</w:t>
      </w:r>
      <w:r>
        <w:t xml:space="preserve"> </w:t>
      </w:r>
      <w:r>
        <w:t xml:space="preserve">@whitewallstuntz</w:t>
      </w:r>
      <w:r>
        <w:t xml:space="preserve">, circulated May 20, 2026. Referenced in Modernity News, May 21, 2026. https://modernity.news/2026/05/21/viral-video-reveals-extent-of-las-homeless-hell/</w:t>
      </w:r>
    </w:p>
    <w:p>
      <w:pPr>
        <w:pStyle w:val="BodyText"/>
      </w:pPr>
      <w:r>
        <w:t xml:space="preserve">California Department of Finance / Legislative Analyst’s Office. California homelessness expenditure, 2019–2024. Total cited: approximately $24 billion with later allocations approaching $37 billion.</w:t>
      </w:r>
    </w:p>
    <w:p>
      <w:pPr>
        <w:pStyle w:val="BodyText"/>
      </w:pPr>
      <w:r>
        <w:t xml:space="preserve">U.S. Department of Housing and Urban Development. The 2023 Annual Homelessness Assessment Report (AHAR) to Congress. 2024. Reported 187,000+ people experiencing homelessness in California; 70,000+ in Los Angeles County.</w:t>
      </w:r>
    </w:p>
    <w:bookmarkEnd w:id="20"/>
    <w:bookmarkStart w:id="21" w:name="chapter-two-the-precondition-of-freedom"/>
    <w:p>
      <w:pPr>
        <w:pStyle w:val="Heading2"/>
      </w:pPr>
      <w:r>
        <w:t xml:space="preserve">Chapter Two: The Precondition of Freedom</w:t>
      </w:r>
    </w:p>
    <w:p>
      <w:pPr>
        <w:pStyle w:val="FirstParagraph"/>
      </w:pPr>
      <w:r>
        <w:t xml:space="preserve">Escobar, Reinaldo. Tinima TV broadcast. December 2025.</w:t>
      </w:r>
      <w:r>
        <w:t xml:space="preserve"> </w:t>
      </w:r>
      <w:r>
        <w:t xml:space="preserve">“</w:t>
      </w:r>
      <w:r>
        <w:t xml:space="preserve">Without material dignity, all freedom is a lie.</w:t>
      </w:r>
      <w:r>
        <w:t xml:space="preserve">”</w:t>
      </w:r>
    </w:p>
    <w:p>
      <w:pPr>
        <w:pStyle w:val="BodyText"/>
      </w:pPr>
      <w:r>
        <w:t xml:space="preserve">Arendt, Hannah. The Human Condition. University of Chicago Press, 1958. (Labor vs. Action distinction.)</w:t>
      </w:r>
    </w:p>
    <w:p>
      <w:pPr>
        <w:pStyle w:val="BodyText"/>
      </w:pPr>
      <w:r>
        <w:t xml:space="preserve">Giddens, Anthony. Modernity and Self-Identity. Stanford University Press, 1991. (Ontological security framework.)</w:t>
      </w:r>
    </w:p>
    <w:bookmarkEnd w:id="21"/>
    <w:bookmarkStart w:id="22" w:name="chapter-three-the-incentive-engine"/>
    <w:p>
      <w:pPr>
        <w:pStyle w:val="Heading2"/>
      </w:pPr>
      <w:r>
        <w:t xml:space="preserve">Chapter Three: The Incentive Engine</w:t>
      </w:r>
    </w:p>
    <w:p>
      <w:pPr>
        <w:pStyle w:val="FirstParagraph"/>
      </w:pPr>
      <w:r>
        <w:t xml:space="preserve">DiBella, Charles J. Ghost in the System. Cycles of Change blog, bikepaths.org. January 6, 2026.</w:t>
      </w:r>
    </w:p>
    <w:p>
      <w:pPr>
        <w:pStyle w:val="BodyText"/>
      </w:pPr>
      <w:r>
        <w:t xml:space="preserve">Perez, Frank. Institutional Capture and Federal Funding in the Homelessness Policy Framework. Various preprints and analyses, 2025. Available via ResearchGate.</w:t>
      </w:r>
    </w:p>
    <w:p>
      <w:pPr>
        <w:pStyle w:val="BodyText"/>
      </w:pPr>
      <w:r>
        <w:t xml:space="preserve">U.S. Department of Housing and Urban Development (HUD) Exchange. Evidence for Housing-Based Encampment Strategies. https://files.hudexchange.info/resources/documents/Evidence-for-Housing-Based-Encampment-Strategies.pdf</w:t>
      </w:r>
    </w:p>
    <w:p>
      <w:pPr>
        <w:pStyle w:val="BodyText"/>
      </w:pPr>
      <w:r>
        <w:t xml:space="preserve">White, M. Coalition for the Homeless of Houston/Harris County. City of Houston/Harris County Homeless Encampment Response Strategy. 2021. (849 residents engaged; 65% housed.)</w:t>
      </w:r>
    </w:p>
    <w:p>
      <w:pPr>
        <w:pStyle w:val="BodyText"/>
      </w:pPr>
      <w:r>
        <w:t xml:space="preserve">Housing Forward. 2024 State of Homelessness in Dallas and Collin Counties. 2024. (24% decrease unsheltered; 19% reduction overall.)</w:t>
      </w:r>
    </w:p>
    <w:bookmarkEnd w:id="22"/>
    <w:bookmarkStart w:id="23" w:name="chapter-four-the-execution-of-harm"/>
    <w:p>
      <w:pPr>
        <w:pStyle w:val="Heading2"/>
      </w:pPr>
      <w:r>
        <w:t xml:space="preserve">Chapter Four: The Execution of Harm</w:t>
      </w:r>
    </w:p>
    <w:p>
      <w:pPr>
        <w:pStyle w:val="FirstParagraph"/>
      </w:pPr>
      <w:r>
        <w:t xml:space="preserve">Barocas, J.A., et al. Population-Level Health Effects of Involuntary Displacement of People Experiencing Unsheltered Homelessness Who Inject Drugs in US Cities. JAMA. 2023;329(17):1478–1486. doi:10.1001/jama.2023.4800.</w:t>
      </w:r>
    </w:p>
    <w:p>
      <w:pPr>
        <w:pStyle w:val="BodyText"/>
      </w:pPr>
      <w:r>
        <w:t xml:space="preserve">Chiang, J.C., et al. Health risk associated with residential relocation among people who inject drugs in Los Angeles and San Francisco, CA. BMC Public Health. 2022;22(823). doi:10.1186/s12889-022-13227-4.</w:t>
      </w:r>
    </w:p>
    <w:p>
      <w:pPr>
        <w:pStyle w:val="BodyText"/>
      </w:pPr>
      <w:r>
        <w:t xml:space="preserve">Westbrook, M., Robinson, T. Unhealthy by design: Health and safety consequences of the criminalization of homelessness. Journal of Social Distress and Homelessness. 2021;30(2):107–15.</w:t>
      </w:r>
    </w:p>
    <w:p>
      <w:pPr>
        <w:pStyle w:val="BodyText"/>
      </w:pPr>
      <w:r>
        <w:t xml:space="preserve">Chang, J.S., et al. Harms of encampment abatements on the health of unhoused people. SSM-Qualitative Research in Health. 2022;2:100064.</w:t>
      </w:r>
    </w:p>
    <w:p>
      <w:pPr>
        <w:pStyle w:val="BodyText"/>
      </w:pPr>
      <w:r>
        <w:t xml:space="preserve">American Public Health Association. Protecting the Health and Well-Being of People Living Unsheltered by Stopping Forcible Displacement of Encampments. APHA Policy Statement. November 14, 2023.</w:t>
      </w:r>
    </w:p>
    <w:p>
      <w:pPr>
        <w:pStyle w:val="BodyText"/>
      </w:pPr>
      <w:r>
        <w:t xml:space="preserve">United States Interagency Council on Homelessness (USICH). 19 Strategies for Communities to Address Encampments Humanely and Effectively. 2024. https://www.usich.gov/guidance-reports-data/federal-guidance-resources/19-strategies-communities-address-encampments</w:t>
      </w:r>
    </w:p>
    <w:p>
      <w:pPr>
        <w:pStyle w:val="BodyText"/>
      </w:pPr>
      <w:r>
        <w:t xml:space="preserve">Community Guide systematic review. Permanent Supportive Housing with Housing First. PubMed. 2020. PMID: 32732712. (26 studies; Housing First decreased homelessness 88%.)</w:t>
      </w:r>
    </w:p>
    <w:bookmarkEnd w:id="23"/>
    <w:bookmarkStart w:id="24" w:name="Xab98f4ab8de63fc6a845b44d2ac70c631bb9612"/>
    <w:p>
      <w:pPr>
        <w:pStyle w:val="Heading2"/>
      </w:pPr>
      <w:r>
        <w:t xml:space="preserve">Chapter Five: The Architecture of Accountability</w:t>
      </w:r>
    </w:p>
    <w:p>
      <w:pPr>
        <w:pStyle w:val="FirstParagraph"/>
      </w:pPr>
      <w:r>
        <w:t xml:space="preserve">Streets Sense Media. Washington D.C. encampment closure data, 2023–2026. (54 closures 2023; 69 in 2024; 109 in 2025; ~17/month early 2026.)</w:t>
      </w:r>
    </w:p>
    <w:p>
      <w:pPr>
        <w:pStyle w:val="BodyText"/>
      </w:pPr>
      <w:r>
        <w:t xml:space="preserve">Washington Post. D.C. Point-in-Time Count 2025: 5,138 individuals, 9% decrease from 2024. 2025.</w:t>
      </w:r>
    </w:p>
    <w:p>
      <w:pPr>
        <w:pStyle w:val="BodyText"/>
      </w:pPr>
      <w:r>
        <w:t xml:space="preserve">Washington Times. D.C. 2026 homeless count: 4%+ increase overall; 16% increase among families. May 2026.</w:t>
      </w:r>
    </w:p>
    <w:p>
      <w:pPr>
        <w:pStyle w:val="BodyText"/>
      </w:pPr>
      <w:r>
        <w:t xml:space="preserve">Executive Order. White House directive to National Park Service: make Washington D.C.</w:t>
      </w:r>
      <w:r>
        <w:t xml:space="preserve"> </w:t>
      </w:r>
      <w:r>
        <w:t xml:space="preserve">“</w:t>
      </w:r>
      <w:r>
        <w:t xml:space="preserve">safe and beautiful.</w:t>
      </w:r>
      <w:r>
        <w:t xml:space="preserve">”</w:t>
      </w:r>
      <w:r>
        <w:t xml:space="preserve"> </w:t>
      </w:r>
      <w:r>
        <w:t xml:space="preserve">March 2025.</w:t>
      </w:r>
    </w:p>
    <w:bookmarkEnd w:id="24"/>
    <w:bookmarkStart w:id="25" w:name="chapter-six-the-utility-mandate"/>
    <w:p>
      <w:pPr>
        <w:pStyle w:val="Heading2"/>
      </w:pPr>
      <w:r>
        <w:t xml:space="preserve">Chapter Six: The Utility Mandate</w:t>
      </w:r>
    </w:p>
    <w:p>
      <w:pPr>
        <w:pStyle w:val="FirstParagraph"/>
      </w:pPr>
      <w:r>
        <w:t xml:space="preserve">DiBella, Charles J. Material Dignity Infrastructure: A Distributed Stewardship Model for Homelessness Resolution. SSRN Abstract ID 5968756. 2025.</w:t>
      </w:r>
    </w:p>
    <w:p>
      <w:pPr>
        <w:pStyle w:val="BodyText"/>
      </w:pPr>
      <w:r>
        <w:t xml:space="preserve">DiBella, Charles J. Material Dignity Infrastructure: Structural Misalignment and the Activation of Surplus Shelter Capacity. SSRN Abstract ID 6211658. February 2026.</w:t>
      </w:r>
    </w:p>
    <w:p>
      <w:pPr>
        <w:pStyle w:val="BodyText"/>
      </w:pPr>
      <w:r>
        <w:t xml:space="preserve">DiBella, Charles J. Material Dignity Infrastructure: Los Angeles Metropolitan Stabilization — A Street-to-Home Pipeline Analysis. SSRN Abstract ID 6579600. May 2026. https://bikepaths.org/blog/topics/audio/podcasts/Working_Paper_Material_Dignity_Infrastructure_(2026).pdf</w:t>
      </w:r>
    </w:p>
    <w:p>
      <w:pPr>
        <w:pStyle w:val="BodyText"/>
      </w:pPr>
      <w:r>
        <w:t xml:space="preserve">Roebuck, et al. A Turning Point? Responses to COVID-19 Within the Homelessness Industrial Complex. 2022.</w:t>
      </w:r>
    </w:p>
    <w:p>
      <w:pPr>
        <w:pStyle w:val="BodyText"/>
      </w:pPr>
      <w:r>
        <w:t xml:space="preserve">Love, [Author]. Permanent Shelter in The Empire City: Youth Experiencing Family Homelessness and Navigating the Homeless Industrial Complex with a Narrative Inquiry Approach. Dissertation, CUNY, 2023.</w:t>
      </w:r>
    </w:p>
    <w:p>
      <w:pPr>
        <w:pStyle w:val="BodyText"/>
      </w:pPr>
      <w:r>
        <w:t xml:space="preserve">Staten, L., Rankin, S. Penny Wise But Pound Foolish: How Permanent Supportive Housing Can Prevent a World of Hurt. Seattle School of Law Homeless Rights Advocacy Project. SSRN. https://papers.ssrn.com/sol3/papers.cfm?abstract_id=3419187</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2026-05-24T03:31:27Z</dcterms:created>
  <dcterms:modified xsi:type="dcterms:W3CDTF">2026-05-24T03:31:27Z</dcterms:modified>
</cp:coreProperties>
</file>

<file path=docProps/custom.xml><?xml version="1.0" encoding="utf-8"?>
<Properties xmlns="http://schemas.openxmlformats.org/officeDocument/2006/custom-properties" xmlns:vt="http://schemas.openxmlformats.org/officeDocument/2006/docPropsVTypes"/>
</file>