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4 within the dense urban core.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completely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since dogs aren’t allowed in the corridors or common areas.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 Instead, the infrastructure mandated absolute elimination of congregate dormitories, strictly enforcing individual acoustic isolation.</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heard the soft, rhythmic breathing of Buster sleeping in the padded pet alcove near the bathroom.</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decompression suite measured twelve feet by fourteen feet, designed with the clean, quiet comfort of a premium hotel. Behind the smooth, seamless acoustic wall panels, an advanced environmental control system maintained the air at a steady sixty-eight degrees and forty percent relative humidity in absolute silence. A private bathroom, equipped with a full bath and pre-set, regulated hot water, sat behind a sliding door. In the corner, a dedicated alcove with a cushioned floor pad stood ready for a resident’s pet, accommodating the animal companions that were barred from the facility’s public corridors. A wall-mounted media screen, call buttons, and network access points sat ready, though the intake team had powered them down to provide Jenifer’s damaged sensory circuits with a period of absolute rest.</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misunderstanding of sensory biology. Punitive solitary confinement in prisons strips all meaningful stimuli while leaving the subject exposed to sudden, unpredictable threats like guard keys, cell checks, and ambient screaming. That environment elevates cortisol and exacerbates trauma.</w:t>
      </w:r>
    </w:p>
    <w:p>
      <w:pPr>
        <w:pStyle w:val="BodyText"/>
      </w:pPr>
      <w:r>
        <w:t xml:space="preserve">The STC-65 decompression wing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This was the critical operational distinction between the general voluntary population and a court-ordered medical conservatorship. For Pipeline 2 residents like Arthur, the decompression floor functions as a voluntary stabilization unit. They receive their own digital keycards at intake, remain free to leave after a brief exit interview, and use the call buttons or media screens to navigate their transition. Many require no metabolic stabilization protocol at all. But for Pipeline 4 residents under court order, the suite also serves as a secure medical containment unit. Jenifer’s keycard reader operated in override-only mode. Her door locked from the corridor side, and only credentialed personnel could release the magnetic seal in an emergency. Under all other conditions, the suite remained secured, providing containment and safety without the intrusive checks, counseling pamphlets, or forced interactions that would trigger her survival panic. The architecture did the work. The suite provided safety. The silence provided medicine.</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merely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heavy door locked behind her,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 completely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 completely.</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entirely from the other demographic pipelines. He did not require the ninety-day STC-65 Phase Zero decompression protocol that Arthur needed to recover from three years of riverbed hyper-vigilance. He did not need the locked-door containment that Jenifer’s shattered prefrontal cortex demanded.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5"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fundamentally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That conflation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finally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Start w:id="41" w:name="citations-and-sources"/>
    <w:p>
      <w:pPr>
        <w:pStyle w:val="Heading1"/>
      </w:pPr>
      <w:r>
        <w:t xml:space="preserve">Citations and Sources</w:t>
      </w:r>
    </w:p>
    <w:bookmarkStart w:id="36"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6"/>
    <w:bookmarkStart w:id="37"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2026-06-15T19:22:01Z</dcterms:created>
  <dcterms:modified xsi:type="dcterms:W3CDTF">2026-06-15T19:22:01Z</dcterms:modified>
</cp:coreProperties>
</file>

<file path=docProps/custom.xml><?xml version="1.0" encoding="utf-8"?>
<Properties xmlns="http://schemas.openxmlformats.org/officeDocument/2006/custom-properties" xmlns:vt="http://schemas.openxmlformats.org/officeDocument/2006/docPropsVTypes"/>
</file>