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4 within the dense urban core.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completely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When you’re ready to transition to a community pod upstairs, he’ll move to the veterinary kennel on the second floor with open daily visitation. Since dogs aren’t allowed in the corridors or common areas, you’ll visit him there.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 Instead, the infrastructure mandated absolute elimination of congregate dormitories, strictly enforcing individual acoustic isolation.</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heard the soft, rhythmic breathing of Buster sleeping in the padded pet alcove near the bathroom.</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stabilization suite measured twelve feet by fourteen feet, designed with the clean, quiet comfort of a premium hotel. Behind smooth, seamless acoustic wall panels, an advanced environmental control system maintained the air at a steady sixty-eight degrees and forty percent relative humidity in absolute silence. A private bathroom, equipped with a full bath and pre-set, regulated hot water, sat behind a sliding door. In the corner, a dedicated alcove with a cushioned floor pad stood ready for a resident’s pet, accommodating the animal companion. Natural sunlight entered through a sealed, double-glazed window. A living wall of low-maintenance ferns and moss occupied the panel beside the bathroom door, part of the biophilic design specification that the MDI architecture required on every residential floor. A wall-mounted media screen, call buttons, an outbound telephone, and network access points provided connectivity and diversion. The room was not a cell. It was a medical sanctuary engineered to the biological specifications that street survival destroys.</w:t>
      </w:r>
    </w:p>
    <w:p>
      <w:pPr>
        <w:pStyle w:val="BodyText"/>
      </w:pPr>
      <w:r>
        <w:t xml:space="preserve">For the vast majority of residents who entered Tower One’s Phase Zero decompression wing, the stabilization suite functioned as a voluntary recovery environment. Pipeline 1 and Pipeline 2 residents received digital keycards at intake. They locked and unlocked their own doors. They controlled the media screen, adjusted the ambient lighting, used the bath at any hour, and picked up the outbound telephone to speak with friends, relatives, caseworkers, or journalists, anyone they chose to call. Residents with animal companions kept their pets in the cushioned alcove beside the bathroom, maintaining the zero-separation bond that the MDI architecture treated as a clinical asset rather than a logistical inconvenience. Many of these residents required no formal metabolic stabilization protocol at all; they needed acoustic sanctuary, uninterrupted sleep, and the biological certainty that no threat would breach their walls. When they chose to leave, they requested an exit interview with the floor coordinator, signed a brief discharge summary, and walked out through the lobby with their belongings and their animals. The suite restored capability. The resident retained agency throughout.</w:t>
      </w:r>
    </w:p>
    <w:p>
      <w:pPr>
        <w:pStyle w:val="BodyText"/>
      </w:pPr>
      <w:r>
        <w:t xml:space="preserve">This voluntary baseline defined the operational identity of the decompression wing. The suite existed to provide the biological preconditions for human function that Amartya Sen’s capability framework identifies as the state’s foundational obligation: not merely resources delivered, but the physical capacity to convert those resources into a life worth choosing. A locked door the resident controls. Silence deep enough to permit sleep. Warmth regulated to the thermoneutral zone. Water heated to a preset temperature that eliminates the sensory shock of cold plumbing. These are not amenities. They are the minimum architectural inputs required to halt cortisol flooding, restore circadian rhythm, and return the prefrontal cortex to the baseline from which voluntary decision-making becomes neurologically possible.</w:t>
      </w:r>
    </w:p>
    <w:p>
      <w:pPr>
        <w:pStyle w:val="BodyText"/>
      </w:pPr>
      <w:r>
        <w:t xml:space="preserve">But the same architecture that healed the voluntary resident also served a second, distinct function for individuals who had lost the biological capacity to choose healing for themselves.</w:t>
      </w:r>
    </w:p>
    <w:p>
      <w:pPr>
        <w:pStyle w:val="BodyText"/>
      </w:pPr>
      <w:r>
        <w:t xml:space="preserve">Jenifer arrived under a court-ordered LPS conservatorship, the legal instrument described in Chapter 8. Her keycard reader operated in override-only mode. Her door locked from the corridor side, and only credentialed medical personnel could release the magnetic seal. The intake team had powered down the media screen, the network access points, and the call buttons to provide her damaged sensory circuits with a period of absolute rest. Under all other conditions, the suite remained secured, providing containment and safety without the intrusive checks, counseling pamphlets, or forced interactions that would trigger her survival panic.</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failure of biological reasoning. Punitive solitary confinement in prisons strips all meaningful stimuli while leaving the subject exposed to sudden, unpredictable threats like guard keys, cell checks, and ambient screaming. That environment elevates cortisol and exacerbates trauma. The civil libertarian position that equates acoustic medical stabilization with carceral punishment relies on a baseline of biological abandonment: the implicit assertion that leaving Jenifer on the pavement at Fifth and San Pedro, sorting torn clothing while delivery trucks pass inches from her skull, constitutes a defensible expression of personal liberty. It does not. A nervous system that cannot perceive a speeding vehicle is not exercising freedom. It is trapped in a feedback loop of physiological destruction that no amount of theoretical autonomy can interrupt.</w:t>
      </w:r>
    </w:p>
    <w:p>
      <w:pPr>
        <w:pStyle w:val="BodyText"/>
      </w:pPr>
      <w:r>
        <w:t xml:space="preserve">The STC-65 stabilization suite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merely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conservatorship order placed her in medical care,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 completely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 completely.</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entirely from the other demographic pipelines. He did not require the ninety-day STC-65 Phase Zero decompression protocol that Arthur needed to recover from three years of riverbed hyper-vigilance. He did not need the court-ordered medical containment that Jenifer’s conservatorship required.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5"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fundamentally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Before addressing the fifth pipeline, the board must understand the operational baseline: the overwhelming majority of our residents enter the tower entirely voluntarily because the architecture offers genuine biological sanctuary. They are victims. But the conflation you just described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finally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Start w:id="41" w:name="citations-and-sources"/>
    <w:p>
      <w:pPr>
        <w:pStyle w:val="Heading1"/>
      </w:pPr>
      <w:r>
        <w:t xml:space="preserve">Citations and Sources</w:t>
      </w:r>
    </w:p>
    <w:bookmarkStart w:id="36"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6"/>
    <w:bookmarkStart w:id="37"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2026-06-15T20:24:53Z</dcterms:created>
  <dcterms:modified xsi:type="dcterms:W3CDTF">2026-06-15T20:24:53Z</dcterms:modified>
</cp:coreProperties>
</file>

<file path=docProps/custom.xml><?xml version="1.0" encoding="utf-8"?>
<Properties xmlns="http://schemas.openxmlformats.org/officeDocument/2006/custom-properties" xmlns:vt="http://schemas.openxmlformats.org/officeDocument/2006/docPropsVTypes"/>
</file>