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p>
      <w:pPr>
        <w:pStyle w:val="FirstParagraph"/>
      </w:pPr>
      <w:r>
        <w:rPr>
          <w:bCs/>
          <w:b/>
        </w:rPr>
        <w:t xml:space="preserve">Author:</w:t>
      </w:r>
      <w:r>
        <w:t xml:space="preserve"> </w:t>
      </w:r>
      <w:r>
        <w:t xml:space="preserve">Charles J. DiBella</w:t>
      </w:r>
      <w:r>
        <w:br/>
      </w:r>
      <w:r>
        <w:rPr>
          <w:bCs/>
          <w:b/>
        </w:rPr>
        <w:t xml:space="preserve">Affiliation:</w:t>
      </w:r>
      <w:r>
        <w:t xml:space="preserve"> </w:t>
      </w:r>
      <w:r>
        <w:t xml:space="preserve">Independent Scholar</w:t>
      </w:r>
      <w:r>
        <w:br/>
      </w:r>
      <w:r>
        <w:rPr>
          <w:bCs/>
          <w:b/>
        </w:rPr>
        <w:t xml:space="preserve">Contact:</w:t>
      </w:r>
      <w:r>
        <w:t xml:space="preserve"> </w:t>
      </w:r>
      <w:r>
        <w:t xml:space="preserve">bikepaths@duck.com</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normative theoretical framework for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(Maritain, 1951).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normative model argues that mainstream policy designs fail to account for the physical requirements of biological agency under conditions of extreme environmental trauma (McEwen, 2017).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(McEwen, 2017). Sustained high concentrations of cortisol are associated with neurotoxic effects, particularly in the prefrontal cortex and the hippocampus (Sapolsky, 2004). In the prefrontal cortex, chronic cortisol exposure frequently correlates with dendrite retraction and loss of dendritic spines, reducing the brain’s capacity for working memory, executive planning, and impulse regulation (Arnsten, 2009).</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6" w:name="conceptual-framework"/>
    <w:p>
      <w:pPr>
        <w:pStyle w:val="Heading2"/>
      </w:pPr>
      <w:r>
        <w:t xml:space="preserve">3. Conceptual Framework</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(Maritain, 1951).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conceptual framework utilizes thermodynamics as an analogical heuristic rather than a formal mathematical model. By treating human agency as a thermodynamic property, this heuristic illustrates how a human being operates as an open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w:t>
      </w:r>
    </w:p>
    <w:p>
      <w:pPr>
        <w:pStyle w:val="BodyText"/>
      </w:pPr>
      <w:r>
        <w:t xml:space="preserve">Our ethical structure is derived from the physical requirement to arrest this entropic slide. Because biological life is the necessary substrate for all moral and political action, the laws governing biological persistence—thermodynamic maintenance—generate a foundational tier of moral obligation. If a society claims to value human life, it is logically compelled to provide the material conditions required to sustain it. Entropy, therefore, is not merely a physical process but a normative boundary: crossing the homeostatic threshold destroys the individual’s capacity to participate in the moral community.</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within a public utility framework, we must establish quantitative biological metrics for the survival floor. While individual requirements vary by age, sex, body size, and climate, clinical physiology provides median reference ranges for the human homeostatic envelope. As a baseline municipal standard, thermoregulation generally requires an ambient temperature range between 65 and 75 degrees Fahrenheit to minimize the metabolic work of shivering or sweating. The median adult body requires approximately 2.5 liters of clean water and 2200 kilocalories of nutritionally balanced inputs daily to maintain cellular function and prevent cachexia.</w:t>
      </w:r>
    </w:p>
    <w:p>
      <w:pPr>
        <w:pStyle w:val="BodyText"/>
      </w:pPr>
      <w:r>
        <w:t xml:space="preserve">Similarly, median neurological recovery requires a baseline of six to eight hours of continuous, low-decibel, dark sleep (Walker, 2017). Without these core inputs, the body’s internal homeostasis collapses, triggering the neurobiological stress cascade described in literature. MDI specifications must be derived from these median metabolic reference ranges. By defining these parameters systematically, this framework proposes a measurable baseline that removes municipal obligations from the realm of subjective political negotiation and grounds them in the objective constraints of human physiology and cellular survival.</w:t>
      </w:r>
    </w:p>
    <w:bookmarkEnd w:id="34"/>
    <w:bookmarkStart w:id="35" w:name="X0830eff780d096d9c172d11e7706a21ead0bb0d"/>
    <w:p>
      <w:pPr>
        <w:pStyle w:val="Heading3"/>
      </w:pPr>
      <w:r>
        <w:t xml:space="preserve">3.5 The Capability Approach and Sequential Resolution</w:t>
      </w:r>
    </w:p>
    <w:p>
      <w:pPr>
        <w:pStyle w:val="FirstParagraph"/>
      </w:pPr>
      <w:r>
        <w:t xml:space="preserve">The proposed model operationalizes Amartya Sen’s Capability Approach and Martha Nussbaum’s human rights list. Sen argues that well-being depends on real freedom to achieve functionings, which requires internal and external conversion factors (Sen, 1999). Chronic street survival degrades a person’s internal cognitive conversion capacity, making it impossible to utilize standard housing resources (Batterham, 2020).</w:t>
      </w:r>
    </w:p>
    <w:p>
      <w:pPr>
        <w:pStyle w:val="BodyText"/>
      </w:pPr>
      <w:r>
        <w:t xml:space="preserve">Nussbaum argues that societies must guarantee basic physical thresholds, defined as Life, Bodily Health, and Bodily Integrity, as a prerequisite for human dignity (Nussbaum, 2011). The MDI model resolves the debate between Nussbaum’s universal list and Sen’s democratic agency by structuring them into a chronological sequence (Crocker, 2008). Phase Zero functions as the Nussbaum Phase, enforcing biological stability and physical safety through clinical environment design. Once biological baselines are restored, the individual transitions to a self-governed Dunbar Pod, the Sen Phase, regaining agency and participating in pod councils. This sequential resolution argues that constitutional justice requires securing basic physiological thresholds before demanding democratic agency.</w:t>
      </w:r>
    </w:p>
    <w:bookmarkEnd w:id="35"/>
    <w:bookmarkEnd w:id="36"/>
    <w:bookmarkStart w:id="41" w:name="theoretical-implications"/>
    <w:p>
      <w:pPr>
        <w:pStyle w:val="Heading2"/>
      </w:pPr>
      <w:r>
        <w:t xml:space="preserve">4. Theoretical Implications</w:t>
      </w:r>
    </w:p>
    <w:bookmarkStart w:id="37"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(Maritain, 1951). By ignoring the physical requirements of biological survival, this assumption remains flawed.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7"/>
    <w:bookmarkStart w:id="38"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8"/>
    <w:bookmarkStart w:id="39"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9"/>
    <w:bookmarkStart w:id="40" w:name="Xc712383bc45e1f97b238d33b20edee20f9940fc"/>
    <w:p>
      <w:pPr>
        <w:pStyle w:val="Heading3"/>
      </w:pPr>
      <w:r>
        <w:t xml:space="preserve">4.4 Risks of Coercive Intervention and Institutional Abuse</w:t>
      </w:r>
    </w:p>
    <w:p>
      <w:pPr>
        <w:pStyle w:val="FirstParagraph"/>
      </w:pPr>
      <w:r>
        <w:t xml:space="preserve">The proposal for compelled clinical stabilization carries significant ethical risks and historical precedent for abuse. Critics from disability rights and civil liberties frameworks correctly argue that institutionalization has historically been deployed as a mechanism of social control rather than clinical care. The mid-twentieth century psychiatric hospital system demonstrated how isolated, closed facilities often result in severe human rights violations, prioritizing societal convenience over patient recovery.</w:t>
      </w:r>
    </w:p>
    <w:p>
      <w:pPr>
        <w:pStyle w:val="BodyText"/>
      </w:pPr>
      <w:r>
        <w:t xml:space="preserve">Any model of compelled stabilization must address these legitimate structural risks. Without robust, transparent safeguards, Material Dignity Infrastructure could devolve into a modern iteration of the carceral state. To mitigate these risks, compelled care must be strictly decoupled from the criminal justice system and governed by independent medical oversight.</w:t>
      </w:r>
    </w:p>
    <w:p>
      <w:pPr>
        <w:pStyle w:val="BodyText"/>
      </w:pPr>
      <w:r>
        <w:t xml:space="preserve">Under the least-restrictive-alternative doctrine, involuntary stabilization is legally permissible only when all voluntary community-based options have been exhausted and the individual faces imminent biological collapse (Appelbaum, 1994). Guardianship laws must be restructured to function as temporary, specific delegations of medical authority rather than permanent removals of civil rights (Szasz, 1960; Roth, 2001). Disability rights advocates correctly caution that forced care frequently conflates psychiatric variance with physical danger; therefore, confinement must be strictly limited to the duration required to restore biological and cognitive baselines, subject to automatic, recurring judicial review. While the ethical risks of compulsion are severe, they must be weighed against the ongoing, fatal reality of systemic abandonment on the street. A rigorous ethical framework does not ignore the dangers of intervention; it structures the intervention to maximize agency restoration while legally constraining state power.</w:t>
      </w:r>
    </w:p>
    <w:bookmarkEnd w:id="40"/>
    <w:bookmarkEnd w:id="41"/>
    <w:bookmarkStart w:id="46" w:name="X9fd7afb1ec787d4c9f8c93f8a2faba2af18ba38"/>
    <w:p>
      <w:pPr>
        <w:pStyle w:val="Heading2"/>
      </w:pPr>
      <w:r>
        <w:t xml:space="preserve">5. Discussion: From Normative Theory to Physical Infrastructure</w:t>
      </w:r>
    </w:p>
    <w:p>
      <w:pPr>
        <w:pStyle w:val="FirstParagraph"/>
      </w:pPr>
      <w:r>
        <w:t xml:space="preserve">Translating this normative ethical framework into public policy requires specifying the material infrastructure necessary to meet these biological baselines. If the state accepts the moral obligation to guarantee biological stabilization, it must codify that obligation into engineering specifications.</w:t>
      </w:r>
    </w:p>
    <w:bookmarkStart w:id="42"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in compliance with ASCE 7-22 structural standards (ASCE, 2022), protecting occupants during severe weather events.</w:t>
      </w:r>
    </w:p>
    <w:bookmarkEnd w:id="42"/>
    <w:bookmarkStart w:id="43"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in accordance with ASHRAE Standard 62.1 (ASHRAE, 2019),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3"/>
    <w:bookmarkStart w:id="44" w:name="X526f7f2c0239ecba7bd68a89b12318e046d2ff3"/>
    <w:p>
      <w:pPr>
        <w:pStyle w:val="Heading3"/>
      </w:pPr>
      <w:r>
        <w:t xml:space="preserve">5.3 Projected Theoretical Efficiencies and Public Finance</w:t>
      </w:r>
    </w:p>
    <w:p>
      <w:pPr>
        <w:pStyle w:val="FirstParagraph"/>
      </w:pPr>
      <w:r>
        <w:t xml:space="preserve">Implementing MDI requires significant capital investment. While formal empirical cost-benefit analyses remain outstanding, the framework projects high theoretical efficiencies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theoretically prevents the acute medical crises that lead to emergency room visits. Standardized sanitation reduces the vectors for infectious diseases, and protected sleep environments decrease the incidence of assault and physical trauma, projecting long-term reductions in municipal service loads.</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4"/>
    <w:bookmarkStart w:id="45" w:name="comparative-system-analysis"/>
    <w:p>
      <w:pPr>
        <w:pStyle w:val="Heading3"/>
      </w:pPr>
      <w:r>
        <w:t xml:space="preserve">5.4 Comparative System Analysis</w:t>
      </w:r>
    </w:p>
    <w:p>
      <w:pPr>
        <w:pStyle w:val="FirstParagraph"/>
      </w:pPr>
      <w:r>
        <w:t xml:space="preserve">Evaluating alternative infrastructure models across speed, cost, regulatory feasibility, and long-term stability demonstrates the systemic necessity of integrated MDI. Alternative frameworks include Autonomous Mobile Fleet Deployment (AMFD), Tax-Credit Decentralized Micro-Zoning (TDMZ), Universal Infrastructure Vouchers (UBIV), and standalone Automated Office-to-Pod Conversion (AOPC).</w:t>
      </w:r>
    </w:p>
    <w:p>
      <w:pPr>
        <w:pStyle w:val="BodyText"/>
      </w:pPr>
      <w:r>
        <w:t xml:space="preserve">Standalone AOPC rapidly retrofits commercial towers but fails because it lacks the Phase Zero metabolic stabilization layer, placing traumatized brains into independent apartments without addressing their damaged biology. AMFD provides rapid deployment through heavy-duty industrial vehicles but faces high municipal opposition and fails to provide long-term residential stability. TDMZ encounters local zoning battles and lacks the clinical concentration needed for medical delivery. Integrated MDI remains the only structurally complete solution because it synchronizes physical skyscraper conversions with biological triage and localized pod governance, succeeding where partial infrastructure models fail.</w:t>
      </w:r>
    </w:p>
    <w:bookmarkEnd w:id="45"/>
    <w:bookmarkEnd w:id="46"/>
    <w:bookmarkStart w:id="57" w:name="Xa30a2fe7a1d6246103c5fdeb305b8920b271ff7"/>
    <w:p>
      <w:pPr>
        <w:pStyle w:val="Heading2"/>
      </w:pPr>
      <w:r>
        <w:t xml:space="preserve">6. Anticipated Objections to the MDI Structure</w:t>
      </w:r>
    </w:p>
    <w:p>
      <w:pPr>
        <w:pStyle w:val="FirstParagraph"/>
      </w:pPr>
      <w:r>
        <w:t xml:space="preserve">Every objection cataloged below shares a single root error: the assumption that individuals below the thermodynamic survival threshold retain intact cognitive agency. When chronic HPA-axis overactivation has degraded prefrontal cortex function to the point of biological collapse, the capacity to exercise liberty, consent, privacy, or economic choice ceases to exist as a neurological fact. Each fallacy below derives from this false premise.</w:t>
      </w:r>
    </w:p>
    <w:bookmarkStart w:id="47" w:name="the-technocratic-authoritarian-fallacy"/>
    <w:p>
      <w:pPr>
        <w:pStyle w:val="Heading3"/>
      </w:pPr>
      <w:r>
        <w:t xml:space="preserve">6.1 The Technocratic Authoritarian Fallacy</w:t>
      </w:r>
    </w:p>
    <w:p>
      <w:pPr>
        <w:pStyle w:val="FirstParagraph"/>
      </w:pPr>
      <w:r>
        <w:rPr>
          <w:bCs/>
          <w:b/>
        </w:rPr>
        <w:t xml:space="preserve">Objection</w:t>
      </w:r>
      <w:r>
        <w:t xml:space="preserve">: MDI represents an expansion of the carceral state, using medicalized infrastructure to enforce universal social control and strip individuals of civil liberties through compelled care.</w:t>
      </w:r>
    </w:p>
    <w:p>
      <w:pPr>
        <w:pStyle w:val="BodyText"/>
      </w:pPr>
      <w:r>
        <w:rPr>
          <w:bCs/>
          <w:b/>
        </w:rPr>
        <w:t xml:space="preserve">Error Vector</w:t>
      </w:r>
      <w:r>
        <w:t xml:space="preserve">:</w:t>
      </w:r>
      <w:r>
        <w:t xml:space="preserve"> </w:t>
      </w:r>
      <w:r>
        <w:rPr>
          <w:iCs/>
          <w:i/>
        </w:rPr>
        <w:t xml:space="preserve">Blurring Cohorts and Misapplying Liberty</w:t>
      </w:r>
      <w:r>
        <w:t xml:space="preserve"> </w:t>
      </w:r>
      <w:r>
        <w:t xml:space="preserve">This objection ignores the boundary condition of the MDI structure: compulsion applies only when biological and cognitive agency collapses below the objective thermodynamic survival threshold. It conflates individuals suffering from temporary economic displacement with those experiencing chronic physiological collapse. By assuming intact cognitive agency where neurobiological degradation (e.g., cortisol toxicity, executive dysfunction) has occurred, this critique prioritizes the theoretical aesthetic of negative liberty over the physical reality of biological survival. Compelled extraction under conservatorship operates as a medical instrument under the Lanterman-Petris-Short Act, not a police action; secular natural law (Maritain, 1951) and the Capability Approach (Sen, 1999; Nussbaum, 2011) both ground the state’s positive obligation to preserve the biological basis of personhood.</w:t>
      </w:r>
    </w:p>
    <w:bookmarkEnd w:id="47"/>
    <w:bookmarkStart w:id="48" w:name="the-housing-reductionist-fallacy"/>
    <w:p>
      <w:pPr>
        <w:pStyle w:val="Heading3"/>
      </w:pPr>
      <w:r>
        <w:t xml:space="preserve">6.2 The Housing-Reductionist Fallacy</w:t>
      </w:r>
    </w:p>
    <w:p>
      <w:pPr>
        <w:pStyle w:val="FirstParagraph"/>
      </w:pPr>
      <w:r>
        <w:rPr>
          <w:bCs/>
          <w:b/>
        </w:rPr>
        <w:t xml:space="preserve">Objection</w:t>
      </w:r>
      <w:r>
        <w:t xml:space="preserve">: The crisis requires permanent residential apartments (Housing First), not medicalized, clinical-housing infrastructure or stabilization towers.</w:t>
      </w:r>
    </w:p>
    <w:p>
      <w:pPr>
        <w:pStyle w:val="BodyText"/>
      </w:pPr>
      <w:r>
        <w:rPr>
          <w:bCs/>
          <w:b/>
        </w:rPr>
        <w:t xml:space="preserve">Error Vector</w:t>
      </w:r>
      <w:r>
        <w:t xml:space="preserve">:</w:t>
      </w:r>
      <w:r>
        <w:t xml:space="preserve"> </w:t>
      </w:r>
      <w:r>
        <w:rPr>
          <w:iCs/>
          <w:i/>
        </w:rPr>
        <w:t xml:space="preserve">Misapplying Interventions</w:t>
      </w:r>
      <w:r>
        <w:t xml:space="preserve"> </w:t>
      </w:r>
      <w:r>
        <w:t xml:space="preserve">This objection applies unstructured independent housing to a neurobiological emergency. Placing a traumatized, sleep-deprived brain suffering from profound HPA-axis dysregulation into an isolated apartment without immediate, managed metabolic stabilization bypasses the required Phase Zero triage. The housing-reductionist fallacy incorrectly assumes that physical shelter automatically restores dismantled prefrontal cortex function.</w:t>
      </w:r>
    </w:p>
    <w:bookmarkEnd w:id="48"/>
    <w:bookmarkStart w:id="49" w:name="the-monolithic-cohort-fallacy"/>
    <w:p>
      <w:pPr>
        <w:pStyle w:val="Heading3"/>
      </w:pPr>
      <w:r>
        <w:t xml:space="preserve">6.3 The Monolithic Cohort Fallacy</w:t>
      </w:r>
    </w:p>
    <w:p>
      <w:pPr>
        <w:pStyle w:val="FirstParagraph"/>
      </w:pPr>
      <w:r>
        <w:rPr>
          <w:bCs/>
          <w:b/>
        </w:rPr>
        <w:t xml:space="preserve">Objection</w:t>
      </w:r>
      <w:r>
        <w:t xml:space="preserve">: MDI restricts the agency of the</w:t>
      </w:r>
      <w:r>
        <w:t xml:space="preserve"> </w:t>
      </w:r>
      <w:r>
        <w:t xml:space="preserve">“</w:t>
      </w:r>
      <w:r>
        <w:t xml:space="preserve">homeless population</w:t>
      </w:r>
      <w:r>
        <w:t xml:space="preserve">”</w:t>
      </w:r>
      <w:r>
        <w:t xml:space="preserve"> </w:t>
      </w:r>
      <w:r>
        <w:t xml:space="preserve">and subjects them to excessive structural regulation.</w:t>
      </w:r>
    </w:p>
    <w:p>
      <w:pPr>
        <w:pStyle w:val="BodyText"/>
      </w:pPr>
      <w:r>
        <w:rPr>
          <w:bCs/>
          <w:b/>
        </w:rPr>
        <w:t xml:space="preserve">Error Vector</w:t>
      </w:r>
      <w:r>
        <w:t xml:space="preserve">:</w:t>
      </w:r>
      <w:r>
        <w:t xml:space="preserve"> </w:t>
      </w:r>
      <w:r>
        <w:rPr>
          <w:iCs/>
          <w:i/>
        </w:rPr>
        <w:t xml:space="preserve">Failing to Segment Cohorts</w:t>
      </w:r>
      <w:r>
        <w:t xml:space="preserve"> </w:t>
      </w:r>
      <w:r>
        <w:t xml:space="preserve">This objection fails to segment the demographic.</w:t>
      </w:r>
      <w:r>
        <w:t xml:space="preserve"> </w:t>
      </w:r>
      <w:r>
        <w:t xml:space="preserve">“</w:t>
      </w:r>
      <w:r>
        <w:t xml:space="preserve">Homelessness</w:t>
      </w:r>
      <w:r>
        <w:t xml:space="preserve">”</w:t>
      </w:r>
      <w:r>
        <w:t xml:space="preserve"> </w:t>
      </w:r>
      <w:r>
        <w:t xml:space="preserve">is an administrative category, not a monolithic physiological state. MDI targets the subset of the population undergoing chronic physiological decay and thermodynamic collapse in public space. Applying the stabilization requirements of this cohort to the entire unhoused demographic represents an analytical failure.</w:t>
      </w:r>
    </w:p>
    <w:bookmarkEnd w:id="49"/>
    <w:bookmarkStart w:id="50" w:name="the-fiscal-isolation-fallacy"/>
    <w:p>
      <w:pPr>
        <w:pStyle w:val="Heading3"/>
      </w:pPr>
      <w:r>
        <w:t xml:space="preserve">6.4 The Fiscal Isolation Fallacy</w:t>
      </w:r>
    </w:p>
    <w:p>
      <w:pPr>
        <w:pStyle w:val="FirstParagraph"/>
      </w:pPr>
      <w:r>
        <w:rPr>
          <w:bCs/>
          <w:b/>
        </w:rPr>
        <w:t xml:space="preserve">Objection</w:t>
      </w:r>
      <w:r>
        <w:t xml:space="preserve">: Standalone stabilization towers, automated sanitation pods, and vertical triage infrastructure require impossible political capital expenditure.</w:t>
      </w:r>
    </w:p>
    <w:p>
      <w:pPr>
        <w:pStyle w:val="BodyText"/>
      </w:pPr>
      <w:r>
        <w:rPr>
          <w:bCs/>
          <w:b/>
        </w:rPr>
        <w:t xml:space="preserve">Error Vector</w:t>
      </w:r>
      <w:r>
        <w:t xml:space="preserve">:</w:t>
      </w:r>
      <w:r>
        <w:t xml:space="preserve"> </w:t>
      </w:r>
      <w:r>
        <w:rPr>
          <w:iCs/>
          <w:i/>
        </w:rPr>
        <w:t xml:space="preserve">Ignoring Dispersed Costs</w:t>
      </w:r>
      <w:r>
        <w:t xml:space="preserve"> </w:t>
      </w:r>
      <w:r>
        <w:t xml:space="preserve">This critique views MDI capitalization in a fiscal vacuum. It ignores the dispersed, high-velocity expenditure of uncompensated emergency medical transport, recurring psychiatric holds, emergency room triage, and continuous police sweep operations. By ignoring the established municipal drain caused by systemic abandonment, the objection misunderstands the financial mechanics of preventative infrastructure investment (e.g., municipal social impact bonds). Acquiring distressed Class B/C commercial towers at post-COVID discounts reduces all-in conversion costs to roughly one-sixth of ground-up construction (Urban Land Institute, 2023), converting real estate market correction into fiscal stewardship rather than speculation.</w:t>
      </w:r>
    </w:p>
    <w:bookmarkEnd w:id="50"/>
    <w:bookmarkStart w:id="51" w:name="the-privacy-and-surveillance-fallacy"/>
    <w:p>
      <w:pPr>
        <w:pStyle w:val="Heading3"/>
      </w:pPr>
      <w:r>
        <w:t xml:space="preserve">6.5 The Privacy and Surveillance Fallacy</w:t>
      </w:r>
    </w:p>
    <w:p>
      <w:pPr>
        <w:pStyle w:val="FirstParagraph"/>
      </w:pPr>
      <w:r>
        <w:rPr>
          <w:bCs/>
          <w:b/>
        </w:rPr>
        <w:t xml:space="preserve">Objection</w:t>
      </w:r>
      <w:r>
        <w:t xml:space="preserve">: Deploying biometric vestibules, automated entry monitoring, and managed clinical access violates basic civil liberties and individual privacy.</w:t>
      </w:r>
    </w:p>
    <w:p>
      <w:pPr>
        <w:pStyle w:val="BodyText"/>
      </w:pPr>
      <w:r>
        <w:rPr>
          <w:bCs/>
          <w:b/>
        </w:rPr>
        <w:t xml:space="preserve">Error Vector</w:t>
      </w:r>
      <w:r>
        <w:t xml:space="preserve">:</w:t>
      </w:r>
      <w:r>
        <w:t xml:space="preserve"> </w:t>
      </w:r>
      <w:r>
        <w:rPr>
          <w:iCs/>
          <w:i/>
        </w:rPr>
        <w:t xml:space="preserve">Misapplying Privacy Norms</w:t>
      </w:r>
      <w:r>
        <w:t xml:space="preserve"> </w:t>
      </w:r>
      <w:r>
        <w:t xml:space="preserve">This objection imposes middle-class privacy expectations onto a population experiencing lethal physical decay in public spaces. It prioritizes the theoretical preservation of anonymity over the biological necessity of survival. Protected, monitored access is an architectural requisite for eliminating street-level violence and assault; discarding it in the name of privacy guarantees continued predation. Defensible Space Theory (Newman, 1972) resolves the apparent contradiction between open access and population protection: a no-gate ground-floor commons provides survival services without identification, while secured residential floors enforce biometric access to protect the stabilized population from predatory intrusion.</w:t>
      </w:r>
    </w:p>
    <w:bookmarkEnd w:id="51"/>
    <w:bookmarkStart w:id="52" w:name="the-classification-bias-fallacy"/>
    <w:p>
      <w:pPr>
        <w:pStyle w:val="Heading3"/>
      </w:pPr>
      <w:r>
        <w:t xml:space="preserve">6.6 The Classification Bias Fallacy</w:t>
      </w:r>
    </w:p>
    <w:p>
      <w:pPr>
        <w:pStyle w:val="FirstParagraph"/>
      </w:pPr>
      <w:r>
        <w:rPr>
          <w:bCs/>
          <w:b/>
        </w:rPr>
        <w:t xml:space="preserve">Objection</w:t>
      </w:r>
      <w:r>
        <w:t xml:space="preserve">: Defining</w:t>
      </w:r>
      <w:r>
        <w:t xml:space="preserve"> </w:t>
      </w:r>
      <w:r>
        <w:t xml:space="preserve">“</w:t>
      </w:r>
      <w:r>
        <w:t xml:space="preserve">cognitive collapse</w:t>
      </w:r>
      <w:r>
        <w:t xml:space="preserve">”</w:t>
      </w:r>
      <w:r>
        <w:t xml:space="preserve"> </w:t>
      </w:r>
      <w:r>
        <w:t xml:space="preserve">and mandating stabilization weaponizes medical assessment against marginalized groups and enforces behavioral conformity.</w:t>
      </w:r>
    </w:p>
    <w:p>
      <w:pPr>
        <w:pStyle w:val="BodyText"/>
      </w:pPr>
      <w:r>
        <w:rPr>
          <w:bCs/>
          <w:b/>
        </w:rPr>
        <w:t xml:space="preserve">Error Vector</w:t>
      </w:r>
      <w:r>
        <w:t xml:space="preserve">:</w:t>
      </w:r>
      <w:r>
        <w:t xml:space="preserve"> </w:t>
      </w:r>
      <w:r>
        <w:rPr>
          <w:iCs/>
          <w:i/>
        </w:rPr>
        <w:t xml:space="preserve">Confusing Psychiatry with Biology</w:t>
      </w:r>
      <w:r>
        <w:t xml:space="preserve"> </w:t>
      </w:r>
      <w:r>
        <w:t xml:space="preserve">This objection confuses psychiatric variance with objective biological indicators. MDI thresholds are not determined by behavioral non-conformity; they are defined by critical thermoregulatory failure, advanced cachexia, profound sleep deprivation, and measurable physical decay. Treating empirical biological failure as a socially constructed bias misreads the clinical nature of the intervention. STC-65 acoustic decompression operates as a neurological ICU protocol: chronic cortisol toxicity degrades prefrontal tissue (Arnsten, 2009; McEwen, 2017), and silence within ASHRAE-compliant environmental parameters is the clinical intervention required to lower allostatic load, not punitive isolation.</w:t>
      </w:r>
    </w:p>
    <w:bookmarkEnd w:id="52"/>
    <w:bookmarkStart w:id="53" w:name="the-thermodynamic-determinism-fallacy"/>
    <w:p>
      <w:pPr>
        <w:pStyle w:val="Heading3"/>
      </w:pPr>
      <w:r>
        <w:t xml:space="preserve">6.7 The Thermodynamic Determinism Fallacy</w:t>
      </w:r>
    </w:p>
    <w:p>
      <w:pPr>
        <w:pStyle w:val="FirstParagraph"/>
      </w:pPr>
      <w:r>
        <w:rPr>
          <w:bCs/>
          <w:b/>
        </w:rPr>
        <w:t xml:space="preserve">Objection</w:t>
      </w:r>
      <w:r>
        <w:t xml:space="preserve">: The application of</w:t>
      </w:r>
      <w:r>
        <w:t xml:space="preserve"> </w:t>
      </w:r>
      <w:r>
        <w:t xml:space="preserve">“</w:t>
      </w:r>
      <w:r>
        <w:t xml:space="preserve">Moral Physics</w:t>
      </w:r>
      <w:r>
        <w:t xml:space="preserve">”</w:t>
      </w:r>
      <w:r>
        <w:t xml:space="preserve"> </w:t>
      </w:r>
      <w:r>
        <w:t xml:space="preserve">and thermodynamics to human dignity is a pseudoscientific overreach that maps physical entropy onto social phenomena.</w:t>
      </w:r>
    </w:p>
    <w:p>
      <w:pPr>
        <w:pStyle w:val="BodyText"/>
      </w:pPr>
      <w:r>
        <w:rPr>
          <w:bCs/>
          <w:b/>
        </w:rPr>
        <w:t xml:space="preserve">Error Vector</w:t>
      </w:r>
      <w:r>
        <w:t xml:space="preserve">:</w:t>
      </w:r>
      <w:r>
        <w:t xml:space="preserve"> </w:t>
      </w:r>
      <w:r>
        <w:rPr>
          <w:iCs/>
          <w:i/>
        </w:rPr>
        <w:t xml:space="preserve">Literalizing Analogies</w:t>
      </w:r>
      <w:r>
        <w:t xml:space="preserve"> </w:t>
      </w:r>
      <w:r>
        <w:t xml:space="preserve">This objection mistakes a conceptual model for a formal mathematical equation. MDI applies thermodynamics as an analogical heuristic to illustrate how biological life operates as an open system that must continuously import negative entropy to survive. It bridges the gap between the material requirement to arrest entropic slide and the moral obligation of the state.</w:t>
      </w:r>
    </w:p>
    <w:bookmarkEnd w:id="53"/>
    <w:bookmarkStart w:id="54" w:name="the-engineering-feasibility-fallacy"/>
    <w:p>
      <w:pPr>
        <w:pStyle w:val="Heading3"/>
      </w:pPr>
      <w:r>
        <w:t xml:space="preserve">6.8 The Engineering Feasibility Fallacy</w:t>
      </w:r>
    </w:p>
    <w:p>
      <w:pPr>
        <w:pStyle w:val="FirstParagraph"/>
      </w:pPr>
      <w:r>
        <w:rPr>
          <w:bCs/>
          <w:b/>
        </w:rPr>
        <w:t xml:space="preserve">Objection</w:t>
      </w:r>
      <w:r>
        <w:t xml:space="preserve">: Zoning regulations, building codes, and community opposition (NIMBYism) make the rapid deployment of standardized pods and Vertically Integrated Stabilization Towers structurally impossible.</w:t>
      </w:r>
    </w:p>
    <w:p>
      <w:pPr>
        <w:pStyle w:val="BodyText"/>
      </w:pPr>
      <w:r>
        <w:rPr>
          <w:bCs/>
          <w:b/>
        </w:rPr>
        <w:t xml:space="preserve">Error Vector</w:t>
      </w:r>
      <w:r>
        <w:t xml:space="preserve">:</w:t>
      </w:r>
      <w:r>
        <w:t xml:space="preserve"> </w:t>
      </w:r>
      <w:r>
        <w:rPr>
          <w:iCs/>
          <w:i/>
        </w:rPr>
        <w:t xml:space="preserve">Surrendering to Zoning Codes</w:t>
      </w:r>
      <w:r>
        <w:t xml:space="preserve"> </w:t>
      </w:r>
      <w:r>
        <w:t xml:space="preserve">This objection accepts municipal administrative barriers as permanent laws of nature. MDI positions these infrastructure developments as critical public utilities, bypassing standard residential zoning queues through emergency or utility-classification structures. Treating regulatory hurdles as insurmountable stops systemic public works reform.</w:t>
      </w:r>
    </w:p>
    <w:bookmarkEnd w:id="54"/>
    <w:bookmarkStart w:id="55" w:name="the-predator-victim-binary-fallacy"/>
    <w:p>
      <w:pPr>
        <w:pStyle w:val="Heading3"/>
      </w:pPr>
      <w:r>
        <w:t xml:space="preserve">6.9 The Predator-Victim Binary Fallacy</w:t>
      </w:r>
    </w:p>
    <w:p>
      <w:pPr>
        <w:pStyle w:val="FirstParagraph"/>
      </w:pPr>
      <w:r>
        <w:rPr>
          <w:bCs/>
          <w:b/>
        </w:rPr>
        <w:t xml:space="preserve">Objection</w:t>
      </w:r>
      <w:r>
        <w:t xml:space="preserve">: Separating street populations into defenseless casualties and predatory exploiters oversimplifies survival economics and justifies carceral sweeps under the guise of medical extraction.</w:t>
      </w:r>
    </w:p>
    <w:p>
      <w:pPr>
        <w:pStyle w:val="BodyText"/>
      </w:pPr>
      <w:r>
        <w:rPr>
          <w:bCs/>
          <w:b/>
        </w:rPr>
        <w:t xml:space="preserve">Error Vector</w:t>
      </w:r>
      <w:r>
        <w:t xml:space="preserve">:</w:t>
      </w:r>
      <w:r>
        <w:t xml:space="preserve"> </w:t>
      </w:r>
      <w:r>
        <w:rPr>
          <w:iCs/>
          <w:i/>
        </w:rPr>
        <w:t xml:space="preserve">Confusing Predation with Subsistence</w:t>
      </w:r>
      <w:r>
        <w:t xml:space="preserve"> </w:t>
      </w:r>
      <w:r>
        <w:t xml:space="preserve">This objection treats narcotics distribution and sexual exploitation as survival behavior equivalent to panhandling or scavenging. Routine Activity Theory (Cohen &amp; Felson, 1979) establishes that crime requires a motivated offender, a suitable target, and the absence of a capable guardian. Encampments concentrate neurologically defenseless targets in unguarded space, creating an optimal predator marketplace. When MDI extracts the victim population, the predator economy loses its captive customer base, its human camouflage, and its reason to congregate. Crime Prevention Through Environmental Design (Jeffery, 1971) confirms that altering the spatial conditions of predation collapses the predatory structure without requiring expanded policing.</w:t>
      </w:r>
    </w:p>
    <w:bookmarkEnd w:id="55"/>
    <w:bookmarkStart w:id="56" w:name="the-silver-bullet-fallacy"/>
    <w:p>
      <w:pPr>
        <w:pStyle w:val="Heading3"/>
      </w:pPr>
      <w:r>
        <w:t xml:space="preserve">6.10 The Silver Bullet Fallacy</w:t>
      </w:r>
    </w:p>
    <w:p>
      <w:pPr>
        <w:pStyle w:val="FirstParagraph"/>
      </w:pPr>
      <w:r>
        <w:rPr>
          <w:bCs/>
          <w:b/>
        </w:rPr>
        <w:t xml:space="preserve">Objection</w:t>
      </w:r>
      <w:r>
        <w:t xml:space="preserve">: Homelessness is a multi-dimensional crisis rooted in housing markets, structural racism, psychiatric illness, and deindustrialization. Proposing a single engineering intervention ignores social complexity.</w:t>
      </w:r>
    </w:p>
    <w:p>
      <w:pPr>
        <w:pStyle w:val="BodyText"/>
      </w:pPr>
      <w:r>
        <w:rPr>
          <w:bCs/>
          <w:b/>
        </w:rPr>
        <w:t xml:space="preserve">Error Vector</w:t>
      </w:r>
      <w:r>
        <w:t xml:space="preserve">:</w:t>
      </w:r>
      <w:r>
        <w:t xml:space="preserve"> </w:t>
      </w:r>
      <w:r>
        <w:rPr>
          <w:iCs/>
          <w:i/>
        </w:rPr>
        <w:t xml:space="preserve">Conflating Prerequisites with Complete Solutions</w:t>
      </w:r>
      <w:r>
        <w:t xml:space="preserve"> </w:t>
      </w:r>
      <w:r>
        <w:t xml:space="preserve">This objection uses structural complexity to justify administrative paralysis. MDI does not claim to resolve long-term economic inequality or psychiatric disorders. It restores the biological floor required for all subsequent social programs to function. Phase Zero metabolic stabilization is a prerequisite, not a replacement: without restored prefrontal cortex function, the target cohort lacks the neurological capacity to participate in housing programs, vocational training, or therapeutic intervention. Treating a baseline biological prerequisite as a silver-bullet illusion guarantees continued lethal drift.</w:t>
      </w:r>
    </w:p>
    <w:bookmarkEnd w:id="56"/>
    <w:bookmarkEnd w:id="57"/>
    <w:bookmarkStart w:id="60" w:name="conclusion"/>
    <w:p>
      <w:pPr>
        <w:pStyle w:val="Heading2"/>
      </w:pPr>
      <w:r>
        <w:t xml:space="preserve">7. Conclusion</w:t>
      </w:r>
    </w:p>
    <w:bookmarkStart w:id="58" w:name="summary-of-the-model-shift"/>
    <w:p>
      <w:pPr>
        <w:pStyle w:val="Heading3"/>
      </w:pPr>
      <w:r>
        <w:t xml:space="preserve">7.1 Summary of the Model Shift</w:t>
      </w:r>
    </w:p>
    <w:p>
      <w:pPr>
        <w:pStyle w:val="FirstParagraph"/>
      </w:pPr>
      <w:r>
        <w:t xml:space="preserve">Urban design provides the primary mechanism for arresting bodily decay among vulnerable populations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58"/>
    <w:bookmarkStart w:id="59" w:name="future-research-directions"/>
    <w:p>
      <w:pPr>
        <w:pStyle w:val="Heading3"/>
      </w:pPr>
      <w:r>
        <w:t xml:space="preserve">7.2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59"/>
    <w:bookmarkEnd w:id="60"/>
    <w:bookmarkStart w:id="64" w:name="declarations"/>
    <w:p>
      <w:pPr>
        <w:pStyle w:val="Heading2"/>
      </w:pPr>
      <w:r>
        <w:t xml:space="preserve">Declarations</w:t>
      </w:r>
    </w:p>
    <w:bookmarkStart w:id="61" w:name="funding"/>
    <w:p>
      <w:pPr>
        <w:pStyle w:val="Heading3"/>
      </w:pPr>
      <w:r>
        <w:t xml:space="preserve">Funding</w:t>
      </w:r>
    </w:p>
    <w:p>
      <w:pPr>
        <w:pStyle w:val="FirstParagraph"/>
      </w:pPr>
      <w:r>
        <w:t xml:space="preserve">This work received no grant from any funding agency in the public, commercial, or not-for-profit sectors.</w:t>
      </w:r>
    </w:p>
    <w:bookmarkEnd w:id="61"/>
    <w:bookmarkStart w:id="62" w:name="disclosure-statement"/>
    <w:p>
      <w:pPr>
        <w:pStyle w:val="Heading3"/>
      </w:pPr>
      <w:r>
        <w:t xml:space="preserve">Disclosure Statement</w:t>
      </w:r>
    </w:p>
    <w:p>
      <w:pPr>
        <w:pStyle w:val="FirstParagraph"/>
      </w:pPr>
      <w:r>
        <w:t xml:space="preserve">No potential conflict of interest was reported by the authors.</w:t>
      </w:r>
    </w:p>
    <w:bookmarkEnd w:id="62"/>
    <w:bookmarkStart w:id="63"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63"/>
    <w:bookmarkEnd w:id="64"/>
    <w:bookmarkStart w:id="65" w:name="references"/>
    <w:p>
      <w:pPr>
        <w:pStyle w:val="Heading2"/>
      </w:pPr>
      <w:r>
        <w:t xml:space="preserve">References</w:t>
      </w:r>
    </w:p>
    <w:p>
      <w:pPr>
        <w:pStyle w:val="FirstParagraph"/>
      </w:pPr>
      <w:r>
        <w:t xml:space="preserve">Appelbaum, P. S. (1994).</w:t>
      </w:r>
      <w:r>
        <w:t xml:space="preserve"> </w:t>
      </w:r>
      <w:r>
        <w:rPr>
          <w:iCs/>
          <w:i/>
        </w:rPr>
        <w:t xml:space="preserve">Almost a revolution: Mental health law and the limits of change</w:t>
      </w:r>
      <w:r>
        <w:t xml:space="preserve">. Oxford University Press.</w:t>
      </w:r>
    </w:p>
    <w:p>
      <w:pPr>
        <w:pStyle w:val="BodyText"/>
      </w:pPr>
      <w:r>
        <w:t xml:space="preserve">Aravena, A. (2016).</w:t>
      </w:r>
      <w:r>
        <w:t xml:space="preserve"> </w:t>
      </w:r>
      <w:r>
        <w:rPr>
          <w:iCs/>
          <w:i/>
        </w:rPr>
        <w:t xml:space="preserve">Elemental: Incremental housing and participatory design manual</w:t>
      </w:r>
      <w:r>
        <w:t xml:space="preserve">. Hatje Cantz.</w:t>
      </w:r>
    </w:p>
    <w:p>
      <w:pPr>
        <w:pStyle w:val="BodyText"/>
      </w:pPr>
      <w:r>
        <w:t xml:space="preserve">Arnsten, A. F. (2009). Stress signalling pathways that impair prefrontal cortex structure and function.</w:t>
      </w:r>
      <w:r>
        <w:t xml:space="preserve"> </w:t>
      </w:r>
      <w:r>
        <w:rPr>
          <w:iCs/>
          <w:i/>
        </w:rPr>
        <w:t xml:space="preserve">Nature Reviews Neuroscience</w:t>
      </w:r>
      <w:r>
        <w:t xml:space="preserve">, 10(6), 410-422.</w:t>
      </w:r>
    </w:p>
    <w:p>
      <w:pPr>
        <w:pStyle w:val="BodyText"/>
      </w:pPr>
      <w:r>
        <w:t xml:space="preserve">ASCE. (2022).</w:t>
      </w:r>
      <w:r>
        <w:t xml:space="preserve"> </w:t>
      </w:r>
      <w:r>
        <w:rPr>
          <w:iCs/>
          <w:i/>
        </w:rPr>
        <w:t xml:space="preserve">Minimum design loads and associated criteria for buildings and other structures</w:t>
      </w:r>
      <w:r>
        <w:t xml:space="preserve"> </w:t>
      </w:r>
      <w:r>
        <w:t xml:space="preserve">(ASCE/SEI 7-22). American Society of Civil Engineers.</w:t>
      </w:r>
    </w:p>
    <w:p>
      <w:pPr>
        <w:pStyle w:val="BodyText"/>
      </w:pPr>
      <w:r>
        <w:t xml:space="preserve">ASHRAE. (2019).</w:t>
      </w:r>
      <w:r>
        <w:t xml:space="preserve"> </w:t>
      </w:r>
      <w:r>
        <w:rPr>
          <w:iCs/>
          <w:i/>
        </w:rPr>
        <w:t xml:space="preserve">Ventilation for acceptable indoor air quality</w:t>
      </w:r>
      <w:r>
        <w:t xml:space="preserve"> </w:t>
      </w:r>
      <w:r>
        <w:t xml:space="preserve">(Standard 62.1-2019). American Society of Heating, Refrigerating and Air-Conditioning Engineers.</w:t>
      </w:r>
    </w:p>
    <w:p>
      <w:pPr>
        <w:pStyle w:val="BodyText"/>
      </w:pPr>
      <w:r>
        <w:t xml:space="preserve">Cohen, L. E., &amp; Felson, M. (1979). Social change and crime rate trends: A routine activity approach.</w:t>
      </w:r>
      <w:r>
        <w:t xml:space="preserve"> </w:t>
      </w:r>
      <w:r>
        <w:rPr>
          <w:iCs/>
          <w:i/>
        </w:rPr>
        <w:t xml:space="preserve">American Sociological Review</w:t>
      </w:r>
      <w:r>
        <w:t xml:space="preserve">, 44(4), 588-608.</w:t>
      </w:r>
    </w:p>
    <w:p>
      <w:pPr>
        <w:pStyle w:val="BodyText"/>
      </w:pPr>
      <w:r>
        <w:t xml:space="preserve">Batterham, D. (2020). Homelessness as capability deprivation: A conceptual model.</w:t>
      </w:r>
      <w:r>
        <w:t xml:space="preserve"> </w:t>
      </w:r>
      <w:r>
        <w:rPr>
          <w:iCs/>
          <w:i/>
        </w:rPr>
        <w:t xml:space="preserve">Housing, Theory and Society</w:t>
      </w:r>
      <w:r>
        <w:t xml:space="preserve">, 37(3), 274-297.</w:t>
      </w:r>
    </w:p>
    <w:p>
      <w:pPr>
        <w:pStyle w:val="BodyText"/>
      </w:pPr>
      <w:r>
        <w:t xml:space="preserve">Crocker, D. A. (2008).</w:t>
      </w:r>
      <w:r>
        <w:t xml:space="preserve"> </w:t>
      </w:r>
      <w:r>
        <w:rPr>
          <w:iCs/>
          <w:i/>
        </w:rPr>
        <w:t xml:space="preserve">Ethics of global development: Agency, capability, and deliberative democracy</w:t>
      </w:r>
      <w:r>
        <w:t xml:space="preserve">. Cambridge University Press.</w:t>
      </w:r>
    </w:p>
    <w:p>
      <w:pPr>
        <w:pStyle w:val="BodyText"/>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Jeffery, C. R. (1971).</w:t>
      </w:r>
      <w:r>
        <w:t xml:space="preserve"> </w:t>
      </w:r>
      <w:r>
        <w:rPr>
          <w:iCs/>
          <w:i/>
        </w:rPr>
        <w:t xml:space="preserve">Crime prevention through environmental design</w:t>
      </w:r>
      <w:r>
        <w:t xml:space="preserve">. Sage Publications.</w:t>
      </w:r>
    </w:p>
    <w:p>
      <w:pPr>
        <w:pStyle w:val="BodyText"/>
      </w:pPr>
      <w:r>
        <w:t xml:space="preserve">Maritain, J. (1951).</w:t>
      </w:r>
      <w:r>
        <w:t xml:space="preserve"> </w:t>
      </w:r>
      <w:r>
        <w:rPr>
          <w:iCs/>
          <w:i/>
        </w:rPr>
        <w:t xml:space="preserve">Man and the state</w:t>
      </w:r>
      <w:r>
        <w:t xml:space="preserve">. University of Chicago Press.</w:t>
      </w:r>
    </w:p>
    <w:p>
      <w:pPr>
        <w:pStyle w:val="BodyText"/>
      </w:pPr>
      <w:r>
        <w:t xml:space="preserve">McEwen, B. S. (2017). Neurobiological and systemic effects of chronic stress.</w:t>
      </w:r>
      <w:r>
        <w:t xml:space="preserve"> </w:t>
      </w:r>
      <w:r>
        <w:rPr>
          <w:iCs/>
          <w:i/>
        </w:rPr>
        <w:t xml:space="preserve">Chronic Stress</w:t>
      </w:r>
      <w:r>
        <w:t xml:space="preserve">, 1.</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Newman, O. (1972).</w:t>
      </w:r>
      <w:r>
        <w:t xml:space="preserve"> </w:t>
      </w:r>
      <w:r>
        <w:rPr>
          <w:iCs/>
          <w:i/>
        </w:rPr>
        <w:t xml:space="preserve">Defensible space: Crime prevention through urban design</w:t>
      </w:r>
      <w:r>
        <w:t xml:space="preserve">. Macmillan.</w:t>
      </w:r>
    </w:p>
    <w:p>
      <w:pPr>
        <w:pStyle w:val="BodyText"/>
      </w:pPr>
      <w:r>
        <w:t xml:space="preserve">Nussbaum, M. C. (2011).</w:t>
      </w:r>
      <w:r>
        <w:t xml:space="preserve"> </w:t>
      </w:r>
      <w:r>
        <w:rPr>
          <w:iCs/>
          <w:i/>
        </w:rPr>
        <w:t xml:space="preserve">Creating capabilities: The human development approach</w:t>
      </w:r>
      <w:r>
        <w:t xml:space="preserve">. Harvard University Press.</w:t>
      </w:r>
    </w:p>
    <w:p>
      <w:pPr>
        <w:pStyle w:val="BodyText"/>
      </w:pPr>
      <w:r>
        <w:t xml:space="preserve">Roth, M. (2001). Guardianship and the least restrictive alternative.</w:t>
      </w:r>
      <w:r>
        <w:t xml:space="preserve"> </w:t>
      </w:r>
      <w:r>
        <w:rPr>
          <w:iCs/>
          <w:i/>
        </w:rPr>
        <w:t xml:space="preserve">Journal of Health Politics, Policy and Law</w:t>
      </w:r>
      <w:r>
        <w:t xml:space="preserve">, 26(3), 603-625.</w:t>
      </w:r>
    </w:p>
    <w:p>
      <w:pPr>
        <w:pStyle w:val="BodyText"/>
      </w:pPr>
      <w:r>
        <w:t xml:space="preserve">Sapolsky, R. M. (2004).</w:t>
      </w:r>
      <w:r>
        <w:t xml:space="preserve"> </w:t>
      </w:r>
      <w:r>
        <w:rPr>
          <w:iCs/>
          <w:i/>
        </w:rPr>
        <w:t xml:space="preserve">Why zebras don’t get ulcers</w:t>
      </w:r>
      <w:r>
        <w:t xml:space="preserve">. Holt Paperbacks.</w:t>
      </w:r>
    </w:p>
    <w:p>
      <w:pPr>
        <w:pStyle w:val="BodyText"/>
      </w:pPr>
      <w:r>
        <w:t xml:space="preserve">Sen, A. (1999).</w:t>
      </w:r>
      <w:r>
        <w:t xml:space="preserve"> </w:t>
      </w:r>
      <w:r>
        <w:rPr>
          <w:iCs/>
          <w:i/>
        </w:rPr>
        <w:t xml:space="preserve">Development as freedom</w:t>
      </w:r>
      <w:r>
        <w:t xml:space="preserve">. Oxford University Press.</w:t>
      </w:r>
    </w:p>
    <w:p>
      <w:pPr>
        <w:pStyle w:val="BodyText"/>
      </w:pPr>
      <w:r>
        <w:t xml:space="preserve">Szasz, T. S. (1960). The myth of mental illness.</w:t>
      </w:r>
      <w:r>
        <w:t xml:space="preserve"> </w:t>
      </w:r>
      <w:r>
        <w:rPr>
          <w:iCs/>
          <w:i/>
        </w:rPr>
        <w:t xml:space="preserve">American Psychologist</w:t>
      </w:r>
      <w:r>
        <w:t xml:space="preserve">, 15(2), 113-118.</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Walker, M. (2017).</w:t>
      </w:r>
      <w:r>
        <w:t xml:space="preserve"> </w:t>
      </w:r>
      <w:r>
        <w:rPr>
          <w:iCs/>
          <w:i/>
        </w:rPr>
        <w:t xml:space="preserve">Why we sleep: Unlocking the power of sleep and dreams</w:t>
      </w:r>
      <w:r>
        <w:t xml:space="preserve">. Simon and Schuster.</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2026-06-15T18:29:04Z</dcterms:created>
  <dcterms:modified xsi:type="dcterms:W3CDTF">2026-06-15T18:29:04Z</dcterms:modified>
</cp:coreProperties>
</file>

<file path=docProps/custom.xml><?xml version="1.0" encoding="utf-8"?>
<Properties xmlns="http://schemas.openxmlformats.org/officeDocument/2006/custom-properties" xmlns:vt="http://schemas.openxmlformats.org/officeDocument/2006/docPropsVTypes"/>
</file>