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Documenting the physiological, neurological, and social transition of a single individual from chronic unsheltered homelessness to stable independence, this case study validates the clinical mechanics of the Material Dignity Infrastructure. Through architectural and clinical stabilization, the model restores autonomic agency.</w:t>
      </w:r>
    </w:p>
    <w:p>
      <w:r>
        <w:pict>
          <v:rect style="width:0;height:1.5pt" o:hralign="center" o:hrstd="t" o:hr="t"/>
        </w:pict>
      </w:r>
    </w:p>
    <w:bookmarkEnd w:id="20"/>
    <w:bookmarkStart w:id="21" w:name="chapter-1-the-extraction"/>
    <w:p>
      <w:pPr>
        <w:pStyle w:val="Heading1"/>
      </w:pPr>
      <w:r>
        <w:t xml:space="preserve">Chapter 1: The Extraction</w:t>
      </w:r>
    </w:p>
    <w:p>
      <w:pPr>
        <w:pStyle w:val="FirstParagraph"/>
      </w:pPr>
      <w:r>
        <w:t xml:space="preserve">Outreach in Bunker Hill requires understanding the neurobiology of chronic survival states. For seven years, Marcus occupied the concrete alcove beneath the Third Street tunnel, entering a deep dorsal-vagal shutdown that blocked voluntary engagement with municipal services. Every human approach registered within his nervous system as a threat. By bypassing traditional clinical intake, street medicine teams deploy mobile hygiene units and food inputs to establish baseline physiological safety before requesting program participation. Physical safety must precede cognitive processing.</w:t>
      </w:r>
    </w:p>
    <w:p>
      <w:pPr>
        <w:pStyle w:val="BodyText"/>
      </w:pPr>
      <w:r>
        <w:t xml:space="preserve">During sustained street exposure, continuous threat drives cortisol production to toxic levels; sleep deprivation disrupts cellular repair and breaks circadian rhythms. Clinical evaluation of long-term street exposure reveals advanced metabolic and neurological degradation. To initiate recovery, the team executed a relational intake process over three weeks, delivering daily meals and clean water without demanding compliance or personal information. Trust builds through predictable repetition. Once Marcus accepted a transit ride, the team routed him to the Phase Zero decompression floor.</w:t>
      </w:r>
    </w:p>
    <w:p>
      <w:r>
        <w:pict>
          <v:rect style="width:0;height:1.5pt" o:hralign="center" o:hrstd="t" o:hr="t"/>
        </w:pict>
      </w:r>
    </w:p>
    <w:bookmarkEnd w:id="21"/>
    <w:bookmarkStart w:id="22" w:name="chapter-2-the-decompression"/>
    <w:p>
      <w:pPr>
        <w:pStyle w:val="Heading1"/>
      </w:pPr>
      <w:r>
        <w:t xml:space="preserve">Chapter 2: The Decompression</w:t>
      </w:r>
    </w:p>
    <w:p>
      <w:pPr>
        <w:pStyle w:val="FirstParagraph"/>
      </w:pPr>
      <w:r>
        <w:t xml:space="preserve">For recovery to begin, the physical environment must contain external threats. Inside the room, Marcus locked the door from the inside, establishing a physical barrier between his body and the external environment. Except under emergency clinical protocols requiring two-person authorization, staff members possessed no override key. By using acoustic insulation rated at sound transmission class sixty-five, the building reduced hallway and street noise to levels below human hearing. Silence operates as a clinical intervention.</w:t>
      </w:r>
    </w:p>
    <w:p>
      <w:pPr>
        <w:pStyle w:val="BodyText"/>
      </w:pPr>
      <w:r>
        <w:t xml:space="preserve">During the first thirty days, Marcus remained inside the unit while staff delivered meals and nutritional inputs to his door. Through prolonged sleep reaching fourteen hours daily, his nervous system shifted from sympathetic hyperarousal to parasympathetic dominance. Stabilization occurs when the body ceases scanning for predatory cues. To avoid triggering flight responses, staff executed clinical checks through non-invasive biochemical screening and observation. The brain recovers when the body rests.</w:t>
      </w:r>
    </w:p>
    <w:p>
      <w:r>
        <w:pict>
          <v:rect style="width:0;height:1.5pt" o:hralign="center" o:hrstd="t" o:hr="t"/>
        </w:pict>
      </w:r>
    </w:p>
    <w:bookmarkEnd w:id="22"/>
    <w:bookmarkStart w:id="23" w:name="chapter-3-cognitive-resurgence"/>
    <w:p>
      <w:pPr>
        <w:pStyle w:val="Heading1"/>
      </w:pPr>
      <w:r>
        <w:t xml:space="preserve">Chapter 3: Cognitive Resurgence</w:t>
      </w:r>
    </w:p>
    <w:p>
      <w:pPr>
        <w:pStyle w:val="FirstParagraph"/>
      </w:pPr>
      <w:r>
        <w:t xml:space="preserve">Executive function recovers as systemic inflammation recedes. Between day thirty-one and day ninety, Marcus demonstrated improved working memory and emotional regulation during brief clinical interactions. Normalizing cortisol levels allows the prefrontal cortex to rebuild cognitive pathways damaged by street exposure. In the absence of behavioral contracts or institutional demands, he began initiating contact with pod support staff to discuss transitional options. Autonomy returns when pressure ceases.</w:t>
      </w:r>
    </w:p>
    <w:p>
      <w:pPr>
        <w:pStyle w:val="BodyText"/>
      </w:pPr>
      <w:r>
        <w:t xml:space="preserve">By the third month, metabolic markers indicated verified physiological stabilization. Nutrition plans targeted adrenal recovery while clinical teams coordinated medication management for co-occurring conditions. Instead of forcing rapid community integration, the model allowed Marcus to observe the shared kitchen and common areas through a video feed. Safe observation builds social confidence. When the ninety-day window concluded, he requested transfer to a permanent residential pod.</w:t>
      </w:r>
    </w:p>
    <w:p>
      <w:r>
        <w:pict>
          <v:rect style="width:0;height:1.5pt" o:hralign="center" o:hrstd="t" o:hr="t"/>
        </w:pict>
      </w:r>
    </w:p>
    <w:bookmarkEnd w:id="23"/>
    <w:bookmarkStart w:id="24" w:name="chapter-4-pod-integration"/>
    <w:p>
      <w:pPr>
        <w:pStyle w:val="Heading1"/>
      </w:pPr>
      <w:r>
        <w:t xml:space="preserve">Chapter 4: Pod Integration</w:t>
      </w:r>
    </w:p>
    <w:p>
      <w:pPr>
        <w:pStyle w:val="FirstParagraph"/>
      </w:pPr>
      <w:r>
        <w:t xml:space="preserve">Social reintegration requires scaling the community to human limits. After completing Phase Zero, Marcus entered Pod Twelve, a residential floor hosting one hundred fifty residents who share cooking, laundry, and dining spaces. Under Dunbar cognitive specifications, this limit matches the capacity for human relationship maintenance. To reduce social anxiety, the pod steward introduced Marcus to his immediate suite neighbors before presenting him to the larger group. By routing daily interactions through small, consistent clusters, the design avoids the stress of congregate halls. Community scales through small groups.</w:t>
      </w:r>
    </w:p>
    <w:p>
      <w:pPr>
        <w:pStyle w:val="BodyText"/>
      </w:pPr>
      <w:r>
        <w:t xml:space="preserve">Stewardship develops through shared operational responsibility. Within Pod Twelve, Marcus assumed maintenance duties for the communal kitchen, establishing routine and accountability. Participating in weekly pod councils gave Marcus a voice in resolving community conflicts and proposing physical improvements to shared spaces. Through cooperative management, residents rebuild the social agency that street survival had dismantled. Cooperation restores agency.</w:t>
      </w:r>
    </w:p>
    <w:p>
      <w:r>
        <w:pict>
          <v:rect style="width:0;height:1.5pt" o:hralign="center" o:hrstd="t" o:hr="t"/>
        </w:pict>
      </w:r>
    </w:p>
    <w:bookmarkEnd w:id="24"/>
    <w:bookmarkStart w:id="25" w:name="Xca13553937d95910a7bdc9fa9cdc5323038f63c"/>
    <w:p>
      <w:pPr>
        <w:pStyle w:val="Heading1"/>
      </w:pPr>
      <w:r>
        <w:t xml:space="preserve">Chapter 5: Graduation and Autonomic Agency</w:t>
      </w:r>
    </w:p>
    <w:p>
      <w:pPr>
        <w:pStyle w:val="FirstParagraph"/>
      </w:pPr>
      <w:r>
        <w:t xml:space="preserve">Graduation constitutes the final transition to independent living. After ten months of residency, Marcus demonstrated stabilized metabolic markers, consistent social engagement, and recovered executive function. To transition to independent housing, he worked with case managers to secure an apartment using state-funded vouchers. By pacing the intervention through biological milestones, the model achieved permanent stability. Recovery requires time.</w:t>
      </w:r>
    </w:p>
    <w:p>
      <w:pPr>
        <w:pStyle w:val="BodyText"/>
      </w:pPr>
      <w:r>
        <w:t xml:space="preserve">Marcus exited the Bunker Hill tower as a self-regulating individual capable of navigating social and economic environments. Confirming this biological thesis, the case study demonstrates that resolving long-term homelessness requires a sequence of physiological stabilization and architectural interventions rather than punitive behavioral contracts. By establishing material dignity as a public utility, the municipality terminates the cycle of street-level biological decay. Systemic change follows physical infrastructure.</w:t>
      </w:r>
    </w:p>
    <w:p>
      <w:r>
        <w:pict>
          <v:rect style="width:0;height:1.5pt" o:hralign="center" o:hrstd="t" o:hr="t"/>
        </w:pict>
      </w:r>
    </w:p>
    <w:bookmarkEnd w:id="25"/>
    <w:bookmarkStart w:id="31" w:name="citations-and-sources"/>
    <w:p>
      <w:pPr>
        <w:pStyle w:val="Heading1"/>
      </w:pPr>
      <w:r>
        <w:t xml:space="preserve">Citations and Sources</w:t>
      </w:r>
    </w:p>
    <w:bookmarkStart w:id="26" w:name="chapter-one-the-extraction"/>
    <w:p>
      <w:pPr>
        <w:pStyle w:val="Heading2"/>
      </w:pPr>
      <w:r>
        <w:t xml:space="preserve">Chapter One: The Extraction</w:t>
      </w:r>
    </w:p>
    <w:p>
      <w:pPr>
        <w:pStyle w:val="FirstParagraph"/>
      </w:pPr>
      <w:r>
        <w:t xml:space="preserve">California Department of Health Care Services.</w:t>
      </w:r>
      <w:r>
        <w:t xml:space="preserve"> </w:t>
      </w:r>
      <w:r>
        <w:rPr>
          <w:iCs/>
          <w:i/>
        </w:rPr>
        <w:t xml:space="preserve">CalAIM Enhanced Care Management and Community Supports Operational Guide</w:t>
      </w:r>
      <w:r>
        <w:t xml:space="preserve">. Sacramento: DHCS, 2024.</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bookmarkEnd w:id="26"/>
    <w:bookmarkStart w:id="27" w:name="chapter-two-the-decompression"/>
    <w:p>
      <w:pPr>
        <w:pStyle w:val="Heading2"/>
      </w:pPr>
      <w:r>
        <w:t xml:space="preserve">Chapter Two: The Decompression</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bookmarkEnd w:id="27"/>
    <w:bookmarkStart w:id="28" w:name="chapter-three-cognitive-resurgence"/>
    <w:p>
      <w:pPr>
        <w:pStyle w:val="Heading2"/>
      </w:pPr>
      <w:r>
        <w:t xml:space="preserve">Chapter Three: Cognitive Resurgence</w:t>
      </w:r>
    </w:p>
    <w:p>
      <w:pPr>
        <w:pStyle w:val="FirstParagraph"/>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bookmarkEnd w:id="28"/>
    <w:bookmarkStart w:id="29" w:name="chapter-four-pod-integration"/>
    <w:p>
      <w:pPr>
        <w:pStyle w:val="Heading2"/>
      </w:pPr>
      <w:r>
        <w:t xml:space="preserve">Chapter Four: Pod Integration</w:t>
      </w:r>
    </w:p>
    <w:p>
      <w:pPr>
        <w:pStyle w:val="FirstParagraph"/>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bookmarkEnd w:id="29"/>
    <w:bookmarkStart w:id="30" w:name="X1b08ba527dba495334fb89cfad265984809c86f"/>
    <w:p>
      <w:pPr>
        <w:pStyle w:val="Heading2"/>
      </w:pPr>
      <w:r>
        <w:t xml:space="preserve">Chapter Five: Graduation and Autonomic Agency</w:t>
      </w:r>
    </w:p>
    <w:p>
      <w:pPr>
        <w:pStyle w:val="FirstParagraph"/>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2026-06-13T22:09:18Z</dcterms:created>
  <dcterms:modified xsi:type="dcterms:W3CDTF">2026-06-13T22:09:18Z</dcterms:modified>
</cp:coreProperties>
</file>

<file path=docProps/custom.xml><?xml version="1.0" encoding="utf-8"?>
<Properties xmlns="http://schemas.openxmlformats.org/officeDocument/2006/custom-properties" xmlns:vt="http://schemas.openxmlformats.org/officeDocument/2006/docPropsVTypes"/>
</file>